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95E26B">
      <w:pPr>
        <w:spacing w:line="186" w:lineRule="auto"/>
        <w:jc w:val="right"/>
        <w:outlineLvl w:val="0"/>
        <w:rPr>
          <w:rFonts w:ascii="Times New Roman" w:hAnsi="Times New Roman" w:eastAsia="Times New Roman" w:cs="Times New Roman"/>
          <w:sz w:val="96"/>
          <w:szCs w:val="96"/>
        </w:rPr>
      </w:pPr>
      <w:r>
        <w:rPr>
          <w:rFonts w:ascii="Times New Roman" w:hAnsi="Times New Roman" w:eastAsia="Times New Roman" w:cs="Times New Roman"/>
          <w:b/>
          <w:bCs/>
          <w:spacing w:val="73"/>
          <w:w w:val="116"/>
          <w:sz w:val="96"/>
          <w:szCs w:val="96"/>
        </w:rPr>
        <w:t>DB5108</w:t>
      </w:r>
    </w:p>
    <w:p w14:paraId="442B2121">
      <w:pPr>
        <w:pStyle w:val="3"/>
        <w:keepNext w:val="0"/>
        <w:keepLines w:val="0"/>
        <w:pageBreakBefore w:val="0"/>
        <w:widowControl/>
        <w:kinsoku w:val="0"/>
        <w:wordWrap/>
        <w:overflowPunct/>
        <w:topLinePunct w:val="0"/>
        <w:autoSpaceDE w:val="0"/>
        <w:autoSpaceDN w:val="0"/>
        <w:bidi w:val="0"/>
        <w:adjustRightInd w:val="0"/>
        <w:snapToGrid w:val="0"/>
        <w:spacing w:before="314" w:line="400" w:lineRule="exact"/>
        <w:jc w:val="distribute"/>
        <w:textAlignment w:val="baseline"/>
        <w:rPr>
          <w:sz w:val="44"/>
          <w:szCs w:val="44"/>
        </w:rPr>
      </w:pPr>
      <w:r>
        <w:rPr>
          <w:spacing w:val="-31"/>
          <w:sz w:val="44"/>
          <w:szCs w:val="44"/>
        </w:rPr>
        <w:t>四川省</w:t>
      </w:r>
      <w:r>
        <w:rPr>
          <w:spacing w:val="-30"/>
          <w:sz w:val="44"/>
          <w:szCs w:val="44"/>
        </w:rPr>
        <w:t>（广元市）地方标</w:t>
      </w:r>
      <w:r>
        <w:rPr>
          <w:spacing w:val="-27"/>
          <w:sz w:val="44"/>
          <w:szCs w:val="44"/>
        </w:rPr>
        <w:t>准</w:t>
      </w:r>
    </w:p>
    <w:p w14:paraId="0C67F0D7">
      <w:pPr>
        <w:pStyle w:val="3"/>
        <w:keepNext w:val="0"/>
        <w:keepLines w:val="0"/>
        <w:pageBreakBefore w:val="0"/>
        <w:widowControl/>
        <w:kinsoku w:val="0"/>
        <w:wordWrap/>
        <w:overflowPunct/>
        <w:topLinePunct w:val="0"/>
        <w:autoSpaceDE w:val="0"/>
        <w:autoSpaceDN w:val="0"/>
        <w:bidi w:val="0"/>
        <w:adjustRightInd w:val="0"/>
        <w:snapToGrid w:val="0"/>
        <w:spacing w:before="326" w:line="400" w:lineRule="exact"/>
        <w:ind w:firstLine="5282" w:firstLineChars="1900"/>
        <w:textAlignment w:val="baseline"/>
        <w:rPr>
          <w:rFonts w:hint="eastAsia" w:eastAsia="黑体"/>
          <w:lang w:eastAsia="zh-CN"/>
        </w:rPr>
      </w:pPr>
      <w:r>
        <w:rPr>
          <w:rFonts w:ascii="Times New Roman" w:hAnsi="Times New Roman" w:eastAsia="Times New Roman" w:cs="Times New Roman"/>
          <w:spacing w:val="-1"/>
        </w:rPr>
        <w:t xml:space="preserve">DB </w:t>
      </w:r>
      <w:r>
        <w:rPr>
          <w:spacing w:val="-1"/>
        </w:rPr>
        <w:t>5108/ T</w:t>
      </w:r>
      <w:r>
        <w:rPr>
          <w:rFonts w:hint="eastAsia"/>
          <w:spacing w:val="-1"/>
          <w:lang w:val="en-US" w:eastAsia="zh-CN"/>
        </w:rPr>
        <w:t>XX</w:t>
      </w:r>
      <w:r>
        <w:rPr>
          <w:spacing w:val="-1"/>
        </w:rPr>
        <w:t>—202</w:t>
      </w:r>
      <w:r>
        <w:rPr>
          <w:rFonts w:hint="eastAsia"/>
          <w:spacing w:val="-1"/>
          <w:lang w:val="en-US" w:eastAsia="zh-CN"/>
        </w:rPr>
        <w:t>5</w:t>
      </w:r>
    </w:p>
    <w:p w14:paraId="4AE99967">
      <w:pPr>
        <w:spacing w:line="245" w:lineRule="auto"/>
        <w:rPr>
          <w:rFonts w:ascii="Arial"/>
          <w:sz w:val="21"/>
        </w:rPr>
      </w:pPr>
      <w:r>
        <mc:AlternateContent>
          <mc:Choice Requires="wps">
            <w:drawing>
              <wp:anchor distT="0" distB="0" distL="114300" distR="114300" simplePos="0" relativeHeight="251660288" behindDoc="0" locked="0" layoutInCell="1" allowOverlap="1">
                <wp:simplePos x="0" y="0"/>
                <wp:positionH relativeFrom="column">
                  <wp:posOffset>-386715</wp:posOffset>
                </wp:positionH>
                <wp:positionV relativeFrom="paragraph">
                  <wp:posOffset>98425</wp:posOffset>
                </wp:positionV>
                <wp:extent cx="6129655"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6129655" cy="9525"/>
                        </a:xfrm>
                        <a:custGeom>
                          <a:avLst/>
                          <a:gdLst/>
                          <a:ahLst/>
                          <a:cxnLst/>
                          <a:pathLst>
                            <a:path w="9652" h="15">
                              <a:moveTo>
                                <a:pt x="7" y="7"/>
                              </a:moveTo>
                              <a:lnTo>
                                <a:pt x="9645" y="7"/>
                              </a:lnTo>
                            </a:path>
                          </a:pathLst>
                        </a:custGeom>
                        <a:noFill/>
                        <a:ln w="9525"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30.45pt;margin-top:7.75pt;height:0.75pt;width:482.65pt;z-index:251660288;mso-width-relative:page;mso-height-relative:page;" filled="f" stroked="t" coordsize="9652,15" o:gfxdata="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torsOdQAAAAJAQAADwAAAAAAAAABACAAAAAiAAAAZHJzL2Rvd25yZXYueG1s&#10;UEsBAhQAFAAAAAgAh07iQGzaEVE1AgAAiwQAAA4AAAAAAAAAAQAgAAAAIwEAAGRycy9lMm9Eb2Mu&#10;eG1sUEsFBgAAAAAGAAYAWQEAAMoFAAAAAA==&#10;" path="m7,7l9645,7e">
                <v:fill on="f" focussize="0,0"/>
                <v:stroke color="#000000" joinstyle="round" endcap="round"/>
                <v:imagedata o:title=""/>
                <o:lock v:ext="edit" aspectratio="f"/>
              </v:shape>
            </w:pict>
          </mc:Fallback>
        </mc:AlternateContent>
      </w:r>
    </w:p>
    <w:p w14:paraId="3190F638">
      <w:pPr>
        <w:pStyle w:val="3"/>
        <w:spacing w:line="240" w:lineRule="auto"/>
        <w:jc w:val="center"/>
        <w:outlineLvl w:val="1"/>
        <w:rPr>
          <w:rFonts w:hint="eastAsia" w:eastAsia="黑体"/>
          <w:spacing w:val="-1"/>
          <w:w w:val="95"/>
          <w:sz w:val="52"/>
          <w:szCs w:val="52"/>
          <w:lang w:eastAsia="zh-CN"/>
        </w:rPr>
      </w:pPr>
      <w:r>
        <w:rPr>
          <w:spacing w:val="-1"/>
          <w:w w:val="95"/>
          <w:sz w:val="52"/>
          <w:szCs w:val="52"/>
        </w:rPr>
        <w:t>地理标志产品</w:t>
      </w:r>
      <w:r>
        <w:rPr>
          <w:rFonts w:hint="eastAsia"/>
          <w:spacing w:val="-1"/>
          <w:w w:val="95"/>
          <w:sz w:val="52"/>
          <w:szCs w:val="52"/>
          <w:lang w:val="en-US" w:eastAsia="zh-CN"/>
        </w:rPr>
        <w:t xml:space="preserve">  </w:t>
      </w:r>
      <w:r>
        <w:rPr>
          <w:spacing w:val="-1"/>
          <w:w w:val="95"/>
          <w:sz w:val="52"/>
          <w:szCs w:val="52"/>
        </w:rPr>
        <w:t>王家贡米</w:t>
      </w:r>
      <w:r>
        <w:rPr>
          <w:rFonts w:hint="eastAsia"/>
          <w:spacing w:val="-1"/>
          <w:w w:val="95"/>
          <w:sz w:val="52"/>
          <w:szCs w:val="52"/>
          <w:lang w:val="en-US" w:eastAsia="zh-CN"/>
        </w:rPr>
        <w:t xml:space="preserve"> </w:t>
      </w:r>
    </w:p>
    <w:p w14:paraId="4BA7116F">
      <w:pPr>
        <w:pStyle w:val="3"/>
        <w:spacing w:line="240" w:lineRule="auto"/>
        <w:outlineLvl w:val="1"/>
        <w:rPr>
          <w:rFonts w:hint="eastAsia"/>
          <w:spacing w:val="-1"/>
          <w:w w:val="95"/>
          <w:sz w:val="52"/>
          <w:szCs w:val="52"/>
        </w:rPr>
      </w:pPr>
    </w:p>
    <w:p w14:paraId="18747026">
      <w:pPr>
        <w:pStyle w:val="3"/>
        <w:spacing w:before="169" w:line="219" w:lineRule="auto"/>
        <w:ind w:left="1704"/>
        <w:outlineLvl w:val="1"/>
        <w:rPr>
          <w:spacing w:val="-1"/>
          <w:sz w:val="52"/>
          <w:szCs w:val="52"/>
        </w:rPr>
      </w:pPr>
    </w:p>
    <w:p w14:paraId="42C13EF0">
      <w:pPr>
        <w:spacing w:line="242" w:lineRule="auto"/>
        <w:rPr>
          <w:rFonts w:ascii="Arial"/>
          <w:sz w:val="21"/>
        </w:rPr>
      </w:pPr>
    </w:p>
    <w:p w14:paraId="45F451F6">
      <w:pPr>
        <w:spacing w:line="242" w:lineRule="auto"/>
        <w:rPr>
          <w:rFonts w:ascii="Arial"/>
          <w:sz w:val="21"/>
        </w:rPr>
      </w:pPr>
    </w:p>
    <w:p w14:paraId="66FAB27F">
      <w:pPr>
        <w:spacing w:line="242" w:lineRule="auto"/>
        <w:rPr>
          <w:rFonts w:ascii="Arial"/>
          <w:sz w:val="21"/>
        </w:rPr>
      </w:pPr>
    </w:p>
    <w:p w14:paraId="65B8BADC">
      <w:pPr>
        <w:spacing w:line="242" w:lineRule="auto"/>
        <w:rPr>
          <w:rFonts w:ascii="Arial"/>
          <w:sz w:val="21"/>
        </w:rPr>
      </w:pPr>
    </w:p>
    <w:p w14:paraId="21D138CD">
      <w:pPr>
        <w:spacing w:line="242" w:lineRule="auto"/>
        <w:rPr>
          <w:rFonts w:ascii="Arial"/>
          <w:sz w:val="21"/>
        </w:rPr>
      </w:pPr>
    </w:p>
    <w:p w14:paraId="3FB865C7">
      <w:pPr>
        <w:spacing w:line="242" w:lineRule="auto"/>
        <w:rPr>
          <w:rFonts w:ascii="Arial"/>
          <w:sz w:val="21"/>
        </w:rPr>
      </w:pPr>
    </w:p>
    <w:p w14:paraId="04E145F9">
      <w:pPr>
        <w:spacing w:line="242" w:lineRule="auto"/>
        <w:rPr>
          <w:rFonts w:ascii="Arial"/>
          <w:sz w:val="21"/>
        </w:rPr>
      </w:pPr>
    </w:p>
    <w:p w14:paraId="6750ABEF">
      <w:pPr>
        <w:spacing w:line="242" w:lineRule="auto"/>
        <w:rPr>
          <w:rFonts w:ascii="Arial"/>
          <w:sz w:val="21"/>
        </w:rPr>
      </w:pPr>
    </w:p>
    <w:p w14:paraId="773C6252">
      <w:pPr>
        <w:spacing w:line="242" w:lineRule="auto"/>
        <w:rPr>
          <w:rFonts w:ascii="Arial"/>
          <w:sz w:val="21"/>
        </w:rPr>
      </w:pPr>
    </w:p>
    <w:p w14:paraId="52034A31">
      <w:pPr>
        <w:spacing w:line="242" w:lineRule="auto"/>
        <w:rPr>
          <w:rFonts w:ascii="Arial"/>
          <w:sz w:val="21"/>
        </w:rPr>
      </w:pPr>
    </w:p>
    <w:p w14:paraId="60180D18">
      <w:pPr>
        <w:spacing w:line="242" w:lineRule="auto"/>
        <w:rPr>
          <w:rFonts w:ascii="Arial"/>
          <w:sz w:val="21"/>
        </w:rPr>
      </w:pPr>
    </w:p>
    <w:p w14:paraId="378082D4">
      <w:pPr>
        <w:spacing w:line="242" w:lineRule="auto"/>
        <w:rPr>
          <w:rFonts w:ascii="Arial"/>
          <w:sz w:val="21"/>
        </w:rPr>
      </w:pPr>
    </w:p>
    <w:p w14:paraId="2EA17920">
      <w:pPr>
        <w:spacing w:line="242" w:lineRule="auto"/>
        <w:rPr>
          <w:rFonts w:ascii="Arial"/>
          <w:sz w:val="21"/>
        </w:rPr>
      </w:pPr>
    </w:p>
    <w:p w14:paraId="64D558E0">
      <w:pPr>
        <w:spacing w:line="242" w:lineRule="auto"/>
        <w:rPr>
          <w:rFonts w:ascii="Arial"/>
          <w:sz w:val="21"/>
        </w:rPr>
      </w:pPr>
    </w:p>
    <w:p w14:paraId="21A46961">
      <w:pPr>
        <w:spacing w:line="242" w:lineRule="auto"/>
        <w:rPr>
          <w:rFonts w:ascii="Arial"/>
          <w:sz w:val="21"/>
        </w:rPr>
      </w:pPr>
    </w:p>
    <w:p w14:paraId="0F80E08E">
      <w:pPr>
        <w:spacing w:line="242" w:lineRule="auto"/>
        <w:rPr>
          <w:rFonts w:ascii="Arial"/>
          <w:sz w:val="21"/>
        </w:rPr>
      </w:pPr>
    </w:p>
    <w:p w14:paraId="034B1B4E">
      <w:pPr>
        <w:spacing w:line="242" w:lineRule="auto"/>
        <w:rPr>
          <w:rFonts w:ascii="Arial"/>
          <w:sz w:val="21"/>
        </w:rPr>
      </w:pPr>
    </w:p>
    <w:p w14:paraId="34BF3C16">
      <w:pPr>
        <w:spacing w:line="242" w:lineRule="auto"/>
        <w:rPr>
          <w:rFonts w:ascii="Arial"/>
          <w:sz w:val="21"/>
        </w:rPr>
      </w:pPr>
    </w:p>
    <w:p w14:paraId="1A135159">
      <w:pPr>
        <w:spacing w:line="242" w:lineRule="auto"/>
        <w:rPr>
          <w:rFonts w:ascii="Arial"/>
          <w:sz w:val="21"/>
        </w:rPr>
      </w:pPr>
    </w:p>
    <w:p w14:paraId="6EED4210">
      <w:pPr>
        <w:spacing w:line="242" w:lineRule="auto"/>
        <w:rPr>
          <w:rFonts w:ascii="Arial"/>
          <w:sz w:val="21"/>
        </w:rPr>
      </w:pPr>
    </w:p>
    <w:p w14:paraId="2494E2FD">
      <w:pPr>
        <w:spacing w:line="243" w:lineRule="auto"/>
        <w:rPr>
          <w:rFonts w:ascii="Arial"/>
          <w:sz w:val="21"/>
        </w:rPr>
      </w:pPr>
    </w:p>
    <w:p w14:paraId="00235C16">
      <w:pPr>
        <w:spacing w:line="243" w:lineRule="auto"/>
        <w:rPr>
          <w:rFonts w:ascii="Arial"/>
          <w:sz w:val="21"/>
        </w:rPr>
      </w:pPr>
    </w:p>
    <w:p w14:paraId="2F1B20F5">
      <w:pPr>
        <w:spacing w:line="243" w:lineRule="auto"/>
        <w:rPr>
          <w:rFonts w:ascii="Arial"/>
          <w:sz w:val="21"/>
        </w:rPr>
      </w:pPr>
    </w:p>
    <w:p w14:paraId="0970B4CE">
      <w:pPr>
        <w:spacing w:line="243" w:lineRule="auto"/>
        <w:rPr>
          <w:rFonts w:ascii="Arial"/>
          <w:sz w:val="21"/>
        </w:rPr>
      </w:pPr>
    </w:p>
    <w:p w14:paraId="7544B276">
      <w:pPr>
        <w:spacing w:line="243" w:lineRule="auto"/>
        <w:rPr>
          <w:rFonts w:ascii="Arial"/>
          <w:sz w:val="21"/>
        </w:rPr>
      </w:pPr>
    </w:p>
    <w:p w14:paraId="537C58F0">
      <w:pPr>
        <w:spacing w:line="243" w:lineRule="auto"/>
        <w:rPr>
          <w:rFonts w:ascii="Arial"/>
          <w:sz w:val="21"/>
        </w:rPr>
      </w:pPr>
    </w:p>
    <w:p w14:paraId="174F55DE">
      <w:pPr>
        <w:spacing w:line="243" w:lineRule="auto"/>
        <w:rPr>
          <w:rFonts w:ascii="Arial"/>
          <w:sz w:val="21"/>
        </w:rPr>
      </w:pPr>
    </w:p>
    <w:p w14:paraId="697FC57E">
      <w:pPr>
        <w:spacing w:line="243" w:lineRule="auto"/>
        <w:rPr>
          <w:rFonts w:ascii="Arial"/>
          <w:sz w:val="21"/>
        </w:rPr>
      </w:pPr>
    </w:p>
    <w:p w14:paraId="5E2D36BF">
      <w:pPr>
        <w:spacing w:line="243" w:lineRule="auto"/>
        <w:rPr>
          <w:rFonts w:ascii="Arial"/>
          <w:sz w:val="21"/>
        </w:rPr>
      </w:pPr>
    </w:p>
    <w:p w14:paraId="10AA3BFF">
      <w:pPr>
        <w:pStyle w:val="3"/>
        <w:spacing w:before="91" w:line="219" w:lineRule="auto"/>
        <w:ind w:left="18"/>
      </w:pPr>
      <w: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248920</wp:posOffset>
                </wp:positionV>
                <wp:extent cx="6129655" cy="9525"/>
                <wp:effectExtent l="0" t="0" r="0" b="0"/>
                <wp:wrapNone/>
                <wp:docPr id="2" name="任意多边形 2"/>
                <wp:cNvGraphicFramePr/>
                <a:graphic xmlns:a="http://schemas.openxmlformats.org/drawingml/2006/main">
                  <a:graphicData uri="http://schemas.microsoft.com/office/word/2010/wordprocessingShape">
                    <wps:wsp>
                      <wps:cNvSpPr/>
                      <wps:spPr>
                        <a:xfrm>
                          <a:off x="0" y="0"/>
                          <a:ext cx="6129655" cy="9525"/>
                        </a:xfrm>
                        <a:custGeom>
                          <a:avLst/>
                          <a:gdLst/>
                          <a:ahLst/>
                          <a:cxnLst/>
                          <a:pathLst>
                            <a:path w="9652" h="15">
                              <a:moveTo>
                                <a:pt x="7" y="7"/>
                              </a:moveTo>
                              <a:lnTo>
                                <a:pt x="9645" y="7"/>
                              </a:lnTo>
                            </a:path>
                          </a:pathLst>
                        </a:custGeom>
                        <a:noFill/>
                        <a:ln w="9525" cap="rnd"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35pt;margin-top:19.6pt;height:0.75pt;width:482.65pt;z-index:251659264;mso-width-relative:page;mso-height-relative:page;" filled="f" stroked="t" coordsize="9652,15" o:gfxdata="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rvKBb0gAAAAYBAAAPAAAAAAAAAAEAIAAAACIAAABkcnMvZG93bnJldi54bWxQ&#10;SwECFAAUAAAACACHTuJA12K+6zYCAACLBAAADgAAAAAAAAABACAAAAAhAQAAZHJzL2Uyb0RvYy54&#10;bWxQSwUGAAAAAAYABgBZAQAAyQUAAAAA&#10;" path="m7,7l9645,7e">
                <v:fill on="f" focussize="0,0"/>
                <v:stroke color="#000000" joinstyle="round" endcap="round"/>
                <v:imagedata o:title=""/>
                <o:lock v:ext="edit" aspectratio="f"/>
              </v:shape>
            </w:pict>
          </mc:Fallback>
        </mc:AlternateContent>
      </w:r>
      <w:r>
        <w:rPr>
          <w:spacing w:val="-4"/>
        </w:rPr>
        <w:t>202</w:t>
      </w:r>
      <w:r>
        <w:rPr>
          <w:rFonts w:hint="eastAsia"/>
          <w:spacing w:val="-4"/>
          <w:lang w:val="en-US" w:eastAsia="zh-CN"/>
        </w:rPr>
        <w:t>5</w:t>
      </w:r>
      <w:r>
        <w:rPr>
          <w:spacing w:val="-59"/>
        </w:rPr>
        <w:t xml:space="preserve"> </w:t>
      </w:r>
      <w:r>
        <w:rPr>
          <w:spacing w:val="-4"/>
        </w:rPr>
        <w:t>-</w:t>
      </w:r>
      <w:r>
        <w:rPr>
          <w:spacing w:val="-62"/>
        </w:rPr>
        <w:t xml:space="preserve"> </w:t>
      </w:r>
      <w:r>
        <w:rPr>
          <w:rFonts w:hint="eastAsia"/>
          <w:spacing w:val="-4"/>
          <w:lang w:val="en-US" w:eastAsia="zh-CN"/>
        </w:rPr>
        <w:t>XX</w:t>
      </w:r>
      <w:r>
        <w:rPr>
          <w:spacing w:val="-66"/>
        </w:rPr>
        <w:t xml:space="preserve"> </w:t>
      </w:r>
      <w:r>
        <w:rPr>
          <w:spacing w:val="-4"/>
        </w:rPr>
        <w:t>-</w:t>
      </w:r>
      <w:r>
        <w:rPr>
          <w:spacing w:val="-61"/>
        </w:rPr>
        <w:t xml:space="preserve"> </w:t>
      </w:r>
      <w:r>
        <w:rPr>
          <w:rFonts w:hint="eastAsia"/>
          <w:spacing w:val="-4"/>
          <w:lang w:val="en-US" w:eastAsia="zh-CN"/>
        </w:rPr>
        <w:t>XX</w:t>
      </w:r>
      <w:r>
        <w:rPr>
          <w:spacing w:val="-4"/>
        </w:rPr>
        <w:t>发布</w:t>
      </w:r>
      <w:r>
        <w:t xml:space="preserve">                            </w:t>
      </w:r>
      <w:r>
        <w:rPr>
          <w:spacing w:val="-4"/>
        </w:rPr>
        <w:t>202</w:t>
      </w:r>
      <w:r>
        <w:rPr>
          <w:rFonts w:hint="eastAsia"/>
          <w:spacing w:val="-4"/>
          <w:lang w:val="en-US" w:eastAsia="zh-CN"/>
        </w:rPr>
        <w:t>5</w:t>
      </w:r>
      <w:r>
        <w:rPr>
          <w:spacing w:val="-4"/>
        </w:rPr>
        <w:t>-</w:t>
      </w:r>
      <w:r>
        <w:rPr>
          <w:spacing w:val="-62"/>
        </w:rPr>
        <w:t xml:space="preserve"> </w:t>
      </w:r>
      <w:r>
        <w:rPr>
          <w:rFonts w:hint="eastAsia"/>
          <w:spacing w:val="-4"/>
          <w:lang w:val="en-US" w:eastAsia="zh-CN"/>
        </w:rPr>
        <w:t>XX</w:t>
      </w:r>
      <w:r>
        <w:rPr>
          <w:spacing w:val="-66"/>
        </w:rPr>
        <w:t xml:space="preserve"> </w:t>
      </w:r>
      <w:r>
        <w:rPr>
          <w:spacing w:val="-4"/>
        </w:rPr>
        <w:t>-</w:t>
      </w:r>
      <w:r>
        <w:rPr>
          <w:spacing w:val="-61"/>
        </w:rPr>
        <w:t xml:space="preserve"> </w:t>
      </w:r>
      <w:r>
        <w:rPr>
          <w:rFonts w:hint="eastAsia"/>
          <w:spacing w:val="-4"/>
          <w:lang w:val="en-US" w:eastAsia="zh-CN"/>
        </w:rPr>
        <w:t>XX</w:t>
      </w:r>
      <w:r>
        <w:rPr>
          <w:spacing w:val="-4"/>
        </w:rPr>
        <w:t>实施</w:t>
      </w:r>
    </w:p>
    <w:p w14:paraId="731EEAE6">
      <w:pPr>
        <w:spacing w:line="330" w:lineRule="auto"/>
        <w:rPr>
          <w:rFonts w:ascii="Arial"/>
          <w:sz w:val="21"/>
        </w:rPr>
      </w:pPr>
    </w:p>
    <w:p w14:paraId="0BCDF7C6">
      <w:pPr>
        <w:spacing w:line="330" w:lineRule="auto"/>
        <w:rPr>
          <w:rFonts w:ascii="Arial"/>
          <w:sz w:val="21"/>
        </w:rPr>
      </w:pPr>
    </w:p>
    <w:p w14:paraId="64FD8897">
      <w:pPr>
        <w:pStyle w:val="3"/>
        <w:spacing w:before="92" w:line="226" w:lineRule="auto"/>
        <w:ind w:left="1906"/>
        <w:rPr>
          <w:spacing w:val="35"/>
          <w:w w:val="125"/>
          <w:position w:val="2"/>
        </w:rPr>
      </w:pPr>
      <w:r>
        <w:rPr>
          <w:spacing w:val="35"/>
          <w:w w:val="125"/>
        </w:rPr>
        <w:t>广元市市场监督管理局</w:t>
      </w:r>
      <w:r>
        <w:rPr>
          <w:spacing w:val="16"/>
        </w:rPr>
        <w:t xml:space="preserve">    </w:t>
      </w:r>
      <w:r>
        <w:rPr>
          <w:spacing w:val="35"/>
          <w:w w:val="125"/>
          <w:position w:val="2"/>
        </w:rPr>
        <w:t>发 布</w:t>
      </w:r>
    </w:p>
    <w:p w14:paraId="335B5EEA">
      <w:pPr>
        <w:pStyle w:val="3"/>
        <w:spacing w:before="92" w:line="226" w:lineRule="auto"/>
        <w:rPr>
          <w:spacing w:val="35"/>
          <w:w w:val="125"/>
          <w:position w:val="2"/>
        </w:rPr>
      </w:pPr>
    </w:p>
    <w:p w14:paraId="0C72F542">
      <w:pPr>
        <w:pStyle w:val="10"/>
        <w:numPr>
          <w:ilvl w:val="0"/>
          <w:numId w:val="0"/>
        </w:numPr>
        <w:shd w:val="clear" w:color="auto" w:fill="auto"/>
        <w:spacing w:after="468"/>
        <w:rPr>
          <w:rFonts w:hint="eastAsia" w:ascii="Times New Roman"/>
          <w:spacing w:val="320"/>
        </w:rPr>
        <w:sectPr>
          <w:footerReference r:id="rId5" w:type="default"/>
          <w:pgSz w:w="11906" w:h="16838"/>
          <w:pgMar w:top="1440" w:right="1800" w:bottom="1440" w:left="1800" w:header="851" w:footer="992" w:gutter="0"/>
          <w:pgNumType w:fmt="decimal"/>
          <w:cols w:space="425" w:num="1"/>
          <w:docGrid w:type="lines" w:linePitch="312" w:charSpace="0"/>
        </w:sectPr>
      </w:pPr>
    </w:p>
    <w:p w14:paraId="2109EB05">
      <w:pPr>
        <w:keepNext w:val="0"/>
        <w:keepLines w:val="0"/>
        <w:widowControl/>
        <w:suppressLineNumbers w:val="0"/>
        <w:ind w:firstLine="3720" w:firstLineChars="1200"/>
        <w:jc w:val="left"/>
        <w:rPr>
          <w:rFonts w:ascii="黑体" w:hAnsi="宋体" w:eastAsia="黑体" w:cs="黑体"/>
          <w:snapToGrid w:val="0"/>
          <w:color w:val="000000"/>
          <w:kern w:val="0"/>
          <w:sz w:val="31"/>
          <w:szCs w:val="31"/>
          <w:lang w:val="en-US" w:eastAsia="zh-CN" w:bidi="ar"/>
        </w:rPr>
      </w:pPr>
    </w:p>
    <w:p w14:paraId="78D95FF8">
      <w:pPr>
        <w:keepNext w:val="0"/>
        <w:keepLines w:val="0"/>
        <w:widowControl/>
        <w:suppressLineNumbers w:val="0"/>
        <w:ind w:firstLine="3720" w:firstLineChars="1200"/>
        <w:jc w:val="left"/>
        <w:rPr>
          <w:rFonts w:ascii="黑体" w:hAnsi="宋体" w:eastAsia="黑体" w:cs="黑体"/>
          <w:snapToGrid w:val="0"/>
          <w:color w:val="000000"/>
          <w:kern w:val="0"/>
          <w:sz w:val="31"/>
          <w:szCs w:val="31"/>
          <w:lang w:val="en-US" w:eastAsia="zh-CN" w:bidi="ar"/>
        </w:rPr>
      </w:pPr>
    </w:p>
    <w:p w14:paraId="7F062B6D">
      <w:pPr>
        <w:keepNext w:val="0"/>
        <w:keepLines w:val="0"/>
        <w:widowControl/>
        <w:suppressLineNumbers w:val="0"/>
        <w:ind w:firstLine="3720" w:firstLineChars="1200"/>
        <w:jc w:val="left"/>
        <w:rPr>
          <w:rFonts w:ascii="黑体" w:hAnsi="宋体" w:eastAsia="黑体" w:cs="黑体"/>
          <w:snapToGrid w:val="0"/>
          <w:color w:val="000000"/>
          <w:kern w:val="0"/>
          <w:sz w:val="31"/>
          <w:szCs w:val="31"/>
          <w:lang w:val="en-US" w:eastAsia="zh-CN" w:bidi="ar"/>
        </w:rPr>
      </w:pPr>
      <w:r>
        <w:rPr>
          <w:rFonts w:ascii="黑体" w:hAnsi="宋体" w:eastAsia="黑体" w:cs="黑体"/>
          <w:snapToGrid w:val="0"/>
          <w:color w:val="000000"/>
          <w:kern w:val="0"/>
          <w:sz w:val="31"/>
          <w:szCs w:val="31"/>
          <w:lang w:val="en-US" w:eastAsia="zh-CN" w:bidi="ar"/>
        </w:rPr>
        <w:t xml:space="preserve">目 次 </w:t>
      </w:r>
    </w:p>
    <w:p w14:paraId="4FA2B741">
      <w:pPr>
        <w:keepNext w:val="0"/>
        <w:keepLines w:val="0"/>
        <w:widowControl/>
        <w:suppressLineNumbers w:val="0"/>
        <w:ind w:firstLine="3720" w:firstLineChars="1200"/>
        <w:jc w:val="left"/>
        <w:rPr>
          <w:rFonts w:ascii="黑体" w:hAnsi="宋体" w:eastAsia="黑体" w:cs="黑体"/>
          <w:snapToGrid w:val="0"/>
          <w:color w:val="000000"/>
          <w:kern w:val="0"/>
          <w:sz w:val="31"/>
          <w:szCs w:val="31"/>
          <w:lang w:val="en-US" w:eastAsia="zh-CN" w:bidi="ar"/>
        </w:rPr>
      </w:pPr>
    </w:p>
    <w:p w14:paraId="3B8DEBAE">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前言......................................................................... 1</w:t>
      </w:r>
    </w:p>
    <w:p w14:paraId="7750D611">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 范围 ...................................................................... 2 </w:t>
      </w:r>
    </w:p>
    <w:p w14:paraId="7EDD8D40">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2 规范性引用文件 ............................................................ 2 </w:t>
      </w:r>
    </w:p>
    <w:p w14:paraId="35B7E9D1">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3 术语和定义 ................................................................ 2 </w:t>
      </w:r>
    </w:p>
    <w:p w14:paraId="0399D3F3">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4 地理标志产品保护范围 ...................................................... 2 </w:t>
      </w:r>
    </w:p>
    <w:p w14:paraId="16B89BA8">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5 稻谷原料 .................................................................. 2 </w:t>
      </w:r>
    </w:p>
    <w:p w14:paraId="03FFC765">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6 加工工艺 .................................................................. 2 </w:t>
      </w:r>
    </w:p>
    <w:p w14:paraId="042EB1A2">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7 质量要求 ...................................................................3 </w:t>
      </w:r>
    </w:p>
    <w:p w14:paraId="62BEC387">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 检验方法 .................................................................. 3 </w:t>
      </w:r>
    </w:p>
    <w:p w14:paraId="522DC4D2">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 检验规则 .................................................................. 3 </w:t>
      </w:r>
    </w:p>
    <w:p w14:paraId="0A2EBD1F">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 标志、标签、包装 ......................................................... 4 </w:t>
      </w:r>
    </w:p>
    <w:p w14:paraId="1F1E91BE">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11 储存及运输 ............................................................... 4 </w:t>
      </w:r>
    </w:p>
    <w:p w14:paraId="44B04290">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附录 A （规范性） 地理标志产品 王家贡米保护区域图............................ 5 </w:t>
      </w:r>
    </w:p>
    <w:p w14:paraId="5181A375">
      <w:pPr>
        <w:keepNext w:val="0"/>
        <w:keepLines w:val="0"/>
        <w:widowControl/>
        <w:suppressLineNumbers w:val="0"/>
        <w:jc w:val="left"/>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附录 B （规范性） 国家质量监督检验检疫总局《关于批准对达茂马铃薯等产品实施地理标志产品保 护的公告》（2015 年第 162 号）.........................................7</w:t>
      </w:r>
    </w:p>
    <w:p w14:paraId="57060E03">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p>
    <w:p w14:paraId="5EAA9451">
      <w:pPr>
        <w:pStyle w:val="10"/>
        <w:numPr>
          <w:ilvl w:val="0"/>
          <w:numId w:val="0"/>
        </w:numPr>
        <w:shd w:val="clear" w:color="auto" w:fill="auto"/>
        <w:spacing w:after="468"/>
        <w:rPr>
          <w:rFonts w:hint="eastAsia" w:ascii="Times New Roman"/>
          <w:spacing w:val="320"/>
        </w:rPr>
      </w:pPr>
    </w:p>
    <w:p w14:paraId="54A5E91B">
      <w:pPr>
        <w:rPr>
          <w:rFonts w:hint="eastAsia" w:ascii="Times New Roman"/>
          <w:spacing w:val="320"/>
        </w:rPr>
      </w:pPr>
    </w:p>
    <w:p w14:paraId="3C262166">
      <w:pPr>
        <w:rPr>
          <w:rFonts w:hint="eastAsia" w:ascii="Times New Roman"/>
          <w:spacing w:val="320"/>
        </w:rPr>
      </w:pPr>
    </w:p>
    <w:p w14:paraId="0C2C7D47">
      <w:pPr>
        <w:rPr>
          <w:rFonts w:hint="eastAsia" w:ascii="Times New Roman"/>
          <w:spacing w:val="320"/>
        </w:rPr>
      </w:pPr>
    </w:p>
    <w:p w14:paraId="6CB6F652">
      <w:pPr>
        <w:rPr>
          <w:rFonts w:hint="eastAsia" w:ascii="Times New Roman"/>
          <w:spacing w:val="320"/>
        </w:rPr>
      </w:pPr>
    </w:p>
    <w:p w14:paraId="7D442422">
      <w:pPr>
        <w:rPr>
          <w:rFonts w:hint="eastAsia" w:ascii="Times New Roman"/>
          <w:spacing w:val="320"/>
        </w:rPr>
      </w:pPr>
    </w:p>
    <w:p w14:paraId="009BB1AB">
      <w:pPr>
        <w:rPr>
          <w:rFonts w:hint="eastAsia" w:ascii="Times New Roman"/>
          <w:spacing w:val="320"/>
        </w:rPr>
      </w:pPr>
    </w:p>
    <w:p w14:paraId="0257A57F">
      <w:pPr>
        <w:rPr>
          <w:rFonts w:hint="eastAsia" w:ascii="Times New Roman"/>
          <w:spacing w:val="320"/>
        </w:rPr>
      </w:pPr>
    </w:p>
    <w:p w14:paraId="21F81BC9">
      <w:pPr>
        <w:rPr>
          <w:rFonts w:hint="eastAsia" w:ascii="Times New Roman"/>
          <w:spacing w:val="320"/>
        </w:rPr>
      </w:pPr>
    </w:p>
    <w:p w14:paraId="32CF4A01">
      <w:pPr>
        <w:rPr>
          <w:rFonts w:hint="eastAsia" w:ascii="Times New Roman"/>
          <w:spacing w:val="320"/>
        </w:rPr>
      </w:pPr>
    </w:p>
    <w:p w14:paraId="7059B68C">
      <w:pPr>
        <w:rPr>
          <w:rFonts w:hint="eastAsia" w:ascii="Times New Roman"/>
          <w:spacing w:val="320"/>
        </w:rPr>
      </w:pPr>
    </w:p>
    <w:p w14:paraId="6F6F94CE">
      <w:pPr>
        <w:rPr>
          <w:rFonts w:hint="eastAsia" w:ascii="Times New Roman"/>
          <w:spacing w:val="320"/>
        </w:rPr>
      </w:pPr>
    </w:p>
    <w:p w14:paraId="446318CF">
      <w:pPr>
        <w:rPr>
          <w:rFonts w:hint="eastAsia" w:ascii="Times New Roman"/>
          <w:spacing w:val="320"/>
        </w:rPr>
      </w:pPr>
    </w:p>
    <w:p w14:paraId="4136BC68">
      <w:pPr>
        <w:rPr>
          <w:rFonts w:hint="eastAsia" w:ascii="Times New Roman"/>
          <w:spacing w:val="320"/>
        </w:rPr>
      </w:pPr>
    </w:p>
    <w:p w14:paraId="715AEC4C">
      <w:pPr>
        <w:rPr>
          <w:rFonts w:hint="eastAsia" w:ascii="Times New Roman"/>
          <w:spacing w:val="320"/>
        </w:rPr>
      </w:pPr>
    </w:p>
    <w:p w14:paraId="781ABCBE">
      <w:pPr>
        <w:rPr>
          <w:rFonts w:hint="eastAsia" w:ascii="Times New Roman"/>
          <w:spacing w:val="320"/>
        </w:rPr>
      </w:pPr>
    </w:p>
    <w:p w14:paraId="1262443F">
      <w:pPr>
        <w:rPr>
          <w:rFonts w:hint="eastAsia" w:ascii="Times New Roman"/>
          <w:spacing w:val="320"/>
        </w:rPr>
      </w:pPr>
    </w:p>
    <w:p w14:paraId="11B404E4">
      <w:pPr>
        <w:pStyle w:val="10"/>
        <w:numPr>
          <w:ilvl w:val="0"/>
          <w:numId w:val="0"/>
        </w:numPr>
        <w:shd w:val="clear" w:color="auto" w:fill="auto"/>
        <w:spacing w:after="468"/>
        <w:jc w:val="both"/>
        <w:rPr>
          <w:rFonts w:hint="eastAsia" w:ascii="Times New Roman"/>
          <w:spacing w:val="320"/>
        </w:rPr>
        <w:sectPr>
          <w:headerReference r:id="rId6" w:type="default"/>
          <w:footerReference r:id="rId7" w:type="default"/>
          <w:pgSz w:w="11907" w:h="16839"/>
          <w:pgMar w:top="1814" w:right="1134" w:bottom="1191" w:left="1134" w:header="1429" w:footer="1134" w:gutter="0"/>
          <w:pgNumType w:fmt="decimal" w:start="1"/>
          <w:cols w:space="0" w:num="1"/>
        </w:sectPr>
      </w:pPr>
    </w:p>
    <w:p w14:paraId="2A6917EB">
      <w:pPr>
        <w:pStyle w:val="10"/>
        <w:numPr>
          <w:ilvl w:val="0"/>
          <w:numId w:val="0"/>
        </w:numPr>
        <w:shd w:val="clear" w:color="auto" w:fill="auto"/>
        <w:spacing w:after="468"/>
        <w:rPr>
          <w:rFonts w:ascii="Times New Roman"/>
        </w:rPr>
      </w:pPr>
      <w:r>
        <w:rPr>
          <w:rFonts w:hint="eastAsia" w:ascii="Times New Roman"/>
          <w:spacing w:val="320"/>
        </w:rPr>
        <w:t>前</w:t>
      </w:r>
      <w:r>
        <w:rPr>
          <w:rFonts w:hint="eastAsia" w:ascii="Times New Roman"/>
        </w:rPr>
        <w:t>言</w:t>
      </w:r>
    </w:p>
    <w:p w14:paraId="1CC75F66">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本文件按照GB/T 1.1-2020《标准化工作导则 第1部分：标准化文件的结构和起草规则》的规定起草。</w:t>
      </w:r>
    </w:p>
    <w:p w14:paraId="27A39B68">
      <w:pPr>
        <w:pStyle w:val="11"/>
        <w:keepNext w:val="0"/>
        <w:keepLines w:val="0"/>
        <w:pageBreakBefore w:val="0"/>
        <w:widowControl/>
        <w:kinsoku/>
        <w:wordWrap/>
        <w:overflowPunct/>
        <w:topLinePunct w:val="0"/>
        <w:autoSpaceDE w:val="0"/>
        <w:autoSpaceDN w:val="0"/>
        <w:bidi w:val="0"/>
        <w:adjustRightInd/>
        <w:snapToGrid/>
        <w:spacing w:line="360" w:lineRule="exact"/>
        <w:ind w:firstLine="44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本文件根据原国家质量监督检验检疫总局令〔2005〕第78号《地理标志产品保护规定》和 GB/T 17924-2008《地理标志产品标准通用要求》及原国家质量监督检验检疫总局公告〔2015〕第162号《关于批准对达茂马铃薯等产品实施地理标志产品保护的公告》制定。</w:t>
      </w:r>
    </w:p>
    <w:p w14:paraId="4A8DA5F8">
      <w:pPr>
        <w:pStyle w:val="11"/>
        <w:keepNext w:val="0"/>
        <w:keepLines w:val="0"/>
        <w:pageBreakBefore w:val="0"/>
        <w:widowControl/>
        <w:kinsoku/>
        <w:wordWrap/>
        <w:overflowPunct/>
        <w:topLinePunct w:val="0"/>
        <w:autoSpaceDE w:val="0"/>
        <w:autoSpaceDN w:val="0"/>
        <w:bidi w:val="0"/>
        <w:adjustRightInd/>
        <w:snapToGrid/>
        <w:spacing w:line="360" w:lineRule="exact"/>
        <w:ind w:firstLine="412"/>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本文件共有2个附录，附录A、附录B均为规范性附录。</w:t>
      </w:r>
    </w:p>
    <w:p w14:paraId="3724F5FC">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本文件由广元市市场监督管理局提出并归口。</w:t>
      </w:r>
    </w:p>
    <w:p w14:paraId="5BD819FE">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本文件起草单位：广元市昭化区农业农村局、中国水稻研究所、广元市昭化区市场监督管理局、广元市昭化区王家贡米产业协会、四川金诚智度信息技术有限公司。</w:t>
      </w:r>
    </w:p>
    <w:p w14:paraId="68284F89">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r>
        <w:rPr>
          <w:rFonts w:hint="eastAsia" w:ascii="仿宋_GB2312" w:hAnsi="仿宋_GB2312" w:eastAsia="仿宋_GB2312" w:cs="仿宋_GB2312"/>
          <w:snapToGrid w:val="0"/>
          <w:color w:val="000000"/>
          <w:kern w:val="0"/>
          <w:sz w:val="24"/>
          <w:szCs w:val="24"/>
          <w:lang w:val="en-US" w:eastAsia="zh-CN" w:bidi="ar"/>
        </w:rPr>
        <w:t>本文件主要起草人：张玉强、吕志勇、王跃星、范家友、陈定全、李吉梅、李三峰、毛一剑、王建、苟元林、梁冬、吴彦、孙正明、赵斌、王炎殳。</w:t>
      </w:r>
    </w:p>
    <w:p w14:paraId="04BEA5C0">
      <w:pPr>
        <w:pStyle w:val="11"/>
        <w:keepNext w:val="0"/>
        <w:keepLines w:val="0"/>
        <w:pageBreakBefore w:val="0"/>
        <w:widowControl/>
        <w:kinsoku/>
        <w:wordWrap/>
        <w:overflowPunct/>
        <w:topLinePunct w:val="0"/>
        <w:autoSpaceDE w:val="0"/>
        <w:autoSpaceDN w:val="0"/>
        <w:bidi w:val="0"/>
        <w:adjustRightInd/>
        <w:snapToGrid/>
        <w:spacing w:line="360" w:lineRule="exact"/>
        <w:ind w:firstLine="420"/>
        <w:textAlignment w:val="auto"/>
        <w:rPr>
          <w:rFonts w:hint="eastAsia" w:ascii="仿宋_GB2312" w:hAnsi="仿宋_GB2312" w:eastAsia="仿宋_GB2312" w:cs="仿宋_GB2312"/>
          <w:snapToGrid w:val="0"/>
          <w:color w:val="000000"/>
          <w:kern w:val="0"/>
          <w:sz w:val="24"/>
          <w:szCs w:val="24"/>
          <w:lang w:val="en-US" w:eastAsia="zh-CN" w:bidi="ar"/>
        </w:rPr>
      </w:pPr>
    </w:p>
    <w:p w14:paraId="50C267E0">
      <w:pPr>
        <w:rPr>
          <w:rFonts w:ascii="宋体" w:hAnsi="宋体" w:eastAsia="宋体" w:cs="宋体"/>
          <w:sz w:val="21"/>
          <w:szCs w:val="21"/>
        </w:rPr>
      </w:pPr>
    </w:p>
    <w:p w14:paraId="3CF26540">
      <w:pPr>
        <w:rPr>
          <w:rFonts w:ascii="宋体" w:hAnsi="宋体" w:eastAsia="宋体" w:cs="宋体"/>
          <w:sz w:val="21"/>
          <w:szCs w:val="21"/>
        </w:rPr>
      </w:pPr>
    </w:p>
    <w:p w14:paraId="0B32805A">
      <w:pPr>
        <w:rPr>
          <w:rFonts w:ascii="宋体" w:hAnsi="宋体" w:eastAsia="宋体" w:cs="宋体"/>
          <w:sz w:val="21"/>
          <w:szCs w:val="21"/>
        </w:rPr>
      </w:pPr>
    </w:p>
    <w:p w14:paraId="103AAA32">
      <w:pPr>
        <w:rPr>
          <w:rFonts w:ascii="宋体" w:hAnsi="宋体" w:eastAsia="宋体" w:cs="宋体"/>
          <w:sz w:val="21"/>
          <w:szCs w:val="21"/>
        </w:rPr>
      </w:pPr>
    </w:p>
    <w:p w14:paraId="2A11E38A">
      <w:pPr>
        <w:rPr>
          <w:rFonts w:ascii="宋体" w:hAnsi="宋体" w:eastAsia="宋体" w:cs="宋体"/>
          <w:sz w:val="21"/>
          <w:szCs w:val="21"/>
        </w:rPr>
      </w:pPr>
    </w:p>
    <w:p w14:paraId="77F654CC">
      <w:pPr>
        <w:rPr>
          <w:rFonts w:ascii="宋体" w:hAnsi="宋体" w:eastAsia="宋体" w:cs="宋体"/>
          <w:sz w:val="21"/>
          <w:szCs w:val="21"/>
        </w:rPr>
      </w:pPr>
    </w:p>
    <w:p w14:paraId="00B9F1B8">
      <w:pPr>
        <w:rPr>
          <w:rFonts w:ascii="宋体" w:hAnsi="宋体" w:eastAsia="宋体" w:cs="宋体"/>
          <w:sz w:val="21"/>
          <w:szCs w:val="21"/>
        </w:rPr>
      </w:pPr>
    </w:p>
    <w:p w14:paraId="11C38ADB">
      <w:pPr>
        <w:rPr>
          <w:rFonts w:ascii="宋体" w:hAnsi="宋体" w:eastAsia="宋体" w:cs="宋体"/>
          <w:sz w:val="21"/>
          <w:szCs w:val="21"/>
        </w:rPr>
      </w:pPr>
    </w:p>
    <w:p w14:paraId="3CC75AC0">
      <w:pPr>
        <w:rPr>
          <w:rFonts w:ascii="宋体" w:hAnsi="宋体" w:eastAsia="宋体" w:cs="宋体"/>
          <w:sz w:val="21"/>
          <w:szCs w:val="21"/>
        </w:rPr>
      </w:pPr>
    </w:p>
    <w:p w14:paraId="6BCCB90A">
      <w:pPr>
        <w:rPr>
          <w:rFonts w:ascii="宋体" w:hAnsi="宋体" w:eastAsia="宋体" w:cs="宋体"/>
          <w:sz w:val="21"/>
          <w:szCs w:val="21"/>
        </w:rPr>
      </w:pPr>
    </w:p>
    <w:p w14:paraId="4D534DAC">
      <w:pPr>
        <w:rPr>
          <w:rFonts w:ascii="宋体" w:hAnsi="宋体" w:eastAsia="宋体" w:cs="宋体"/>
          <w:sz w:val="21"/>
          <w:szCs w:val="21"/>
        </w:rPr>
      </w:pPr>
    </w:p>
    <w:p w14:paraId="36A1E778">
      <w:pPr>
        <w:rPr>
          <w:rFonts w:ascii="宋体" w:hAnsi="宋体" w:eastAsia="宋体" w:cs="宋体"/>
          <w:sz w:val="21"/>
          <w:szCs w:val="21"/>
        </w:rPr>
      </w:pPr>
    </w:p>
    <w:p w14:paraId="4449190C">
      <w:pPr>
        <w:rPr>
          <w:rFonts w:ascii="宋体" w:hAnsi="宋体" w:eastAsia="宋体" w:cs="宋体"/>
          <w:sz w:val="21"/>
          <w:szCs w:val="21"/>
        </w:rPr>
      </w:pPr>
    </w:p>
    <w:p w14:paraId="75007A8F">
      <w:pPr>
        <w:rPr>
          <w:rFonts w:ascii="宋体" w:hAnsi="宋体" w:eastAsia="宋体" w:cs="宋体"/>
          <w:sz w:val="21"/>
          <w:szCs w:val="21"/>
        </w:rPr>
      </w:pPr>
    </w:p>
    <w:p w14:paraId="08F6257B">
      <w:pPr>
        <w:rPr>
          <w:rFonts w:ascii="宋体" w:hAnsi="宋体" w:eastAsia="宋体" w:cs="宋体"/>
          <w:sz w:val="21"/>
          <w:szCs w:val="21"/>
        </w:rPr>
      </w:pPr>
    </w:p>
    <w:p w14:paraId="627146C3">
      <w:pPr>
        <w:rPr>
          <w:rFonts w:ascii="宋体" w:hAnsi="宋体" w:eastAsia="宋体" w:cs="宋体"/>
          <w:sz w:val="21"/>
          <w:szCs w:val="21"/>
        </w:rPr>
      </w:pPr>
    </w:p>
    <w:p w14:paraId="4A733BBC">
      <w:pPr>
        <w:rPr>
          <w:rFonts w:ascii="宋体" w:hAnsi="宋体" w:eastAsia="宋体" w:cs="宋体"/>
          <w:sz w:val="21"/>
          <w:szCs w:val="21"/>
        </w:rPr>
      </w:pPr>
    </w:p>
    <w:p w14:paraId="70BA5D49">
      <w:pPr>
        <w:rPr>
          <w:rFonts w:ascii="宋体" w:hAnsi="宋体" w:eastAsia="宋体" w:cs="宋体"/>
          <w:sz w:val="21"/>
          <w:szCs w:val="21"/>
        </w:rPr>
      </w:pPr>
    </w:p>
    <w:p w14:paraId="47EE8B5C">
      <w:pPr>
        <w:rPr>
          <w:rFonts w:ascii="宋体" w:hAnsi="宋体" w:eastAsia="宋体" w:cs="宋体"/>
          <w:sz w:val="21"/>
          <w:szCs w:val="21"/>
        </w:rPr>
      </w:pPr>
    </w:p>
    <w:p w14:paraId="66F59CDA">
      <w:pPr>
        <w:rPr>
          <w:rFonts w:ascii="宋体" w:hAnsi="宋体" w:eastAsia="宋体" w:cs="宋体"/>
          <w:sz w:val="21"/>
          <w:szCs w:val="21"/>
        </w:rPr>
      </w:pPr>
    </w:p>
    <w:p w14:paraId="1C6AD4DC">
      <w:pPr>
        <w:rPr>
          <w:rFonts w:ascii="宋体" w:hAnsi="宋体" w:eastAsia="宋体" w:cs="宋体"/>
          <w:sz w:val="21"/>
          <w:szCs w:val="21"/>
        </w:rPr>
      </w:pPr>
    </w:p>
    <w:p w14:paraId="3C2BC1C9">
      <w:pPr>
        <w:rPr>
          <w:rFonts w:ascii="宋体" w:hAnsi="宋体" w:eastAsia="宋体" w:cs="宋体"/>
          <w:sz w:val="21"/>
          <w:szCs w:val="21"/>
        </w:rPr>
      </w:pPr>
    </w:p>
    <w:p w14:paraId="4D1E6AD8">
      <w:pPr>
        <w:rPr>
          <w:rFonts w:ascii="宋体" w:hAnsi="宋体" w:eastAsia="宋体" w:cs="宋体"/>
          <w:sz w:val="21"/>
          <w:szCs w:val="21"/>
        </w:rPr>
      </w:pPr>
    </w:p>
    <w:p w14:paraId="2EF74DC0">
      <w:pPr>
        <w:rPr>
          <w:rFonts w:ascii="宋体" w:hAnsi="宋体" w:eastAsia="宋体" w:cs="宋体"/>
          <w:sz w:val="21"/>
          <w:szCs w:val="21"/>
        </w:rPr>
      </w:pPr>
    </w:p>
    <w:p w14:paraId="390EA1F2">
      <w:pPr>
        <w:rPr>
          <w:rFonts w:ascii="宋体" w:hAnsi="宋体" w:eastAsia="宋体" w:cs="宋体"/>
          <w:sz w:val="21"/>
          <w:szCs w:val="21"/>
        </w:rPr>
      </w:pPr>
    </w:p>
    <w:p w14:paraId="32821562">
      <w:pPr>
        <w:rPr>
          <w:rFonts w:ascii="宋体" w:hAnsi="宋体" w:eastAsia="宋体" w:cs="宋体"/>
          <w:sz w:val="21"/>
          <w:szCs w:val="21"/>
        </w:rPr>
      </w:pPr>
    </w:p>
    <w:p w14:paraId="4962C1A3">
      <w:pPr>
        <w:rPr>
          <w:rFonts w:ascii="宋体" w:hAnsi="宋体" w:eastAsia="宋体" w:cs="宋体"/>
          <w:sz w:val="21"/>
          <w:szCs w:val="21"/>
        </w:rPr>
      </w:pPr>
    </w:p>
    <w:p w14:paraId="673B72B6">
      <w:pPr>
        <w:rPr>
          <w:rFonts w:ascii="宋体" w:hAnsi="宋体" w:eastAsia="宋体" w:cs="宋体"/>
          <w:sz w:val="21"/>
          <w:szCs w:val="21"/>
        </w:rPr>
      </w:pPr>
    </w:p>
    <w:p w14:paraId="3A792388">
      <w:pPr>
        <w:rPr>
          <w:rFonts w:ascii="宋体" w:hAnsi="宋体" w:eastAsia="宋体" w:cs="宋体"/>
          <w:sz w:val="21"/>
          <w:szCs w:val="21"/>
        </w:rPr>
      </w:pPr>
    </w:p>
    <w:p w14:paraId="3ADEEA3A">
      <w:pPr>
        <w:rPr>
          <w:rFonts w:ascii="宋体" w:hAnsi="宋体" w:eastAsia="宋体" w:cs="宋体"/>
          <w:sz w:val="21"/>
          <w:szCs w:val="21"/>
        </w:rPr>
      </w:pPr>
    </w:p>
    <w:p w14:paraId="7FB7A9A0">
      <w:pPr>
        <w:rPr>
          <w:rFonts w:ascii="宋体" w:hAnsi="宋体" w:eastAsia="宋体" w:cs="宋体"/>
          <w:sz w:val="21"/>
          <w:szCs w:val="21"/>
        </w:rPr>
      </w:pPr>
    </w:p>
    <w:p w14:paraId="067249F6">
      <w:pPr>
        <w:rPr>
          <w:rFonts w:ascii="宋体" w:hAnsi="宋体" w:eastAsia="宋体" w:cs="宋体"/>
          <w:sz w:val="21"/>
          <w:szCs w:val="21"/>
        </w:rPr>
        <w:sectPr>
          <w:footerReference r:id="rId8" w:type="default"/>
          <w:pgSz w:w="11907" w:h="16839"/>
          <w:pgMar w:top="1814" w:right="1134" w:bottom="1191" w:left="1134" w:header="1429" w:footer="1134" w:gutter="0"/>
          <w:pgNumType w:fmt="decimal" w:start="1"/>
          <w:cols w:space="0" w:num="1"/>
        </w:sectPr>
      </w:pPr>
    </w:p>
    <w:p w14:paraId="287B1560">
      <w:pPr>
        <w:rPr>
          <w:rFonts w:ascii="宋体" w:hAnsi="宋体" w:eastAsia="宋体" w:cs="宋体"/>
          <w:sz w:val="21"/>
          <w:szCs w:val="21"/>
        </w:rPr>
      </w:pPr>
    </w:p>
    <w:p w14:paraId="0E4F05F0">
      <w:pPr>
        <w:pStyle w:val="3"/>
        <w:spacing w:before="100" w:line="224" w:lineRule="auto"/>
        <w:jc w:val="center"/>
        <w:rPr>
          <w:rFonts w:hint="eastAsia" w:ascii="黑体" w:hAnsi="黑体" w:eastAsia="黑体" w:cs="黑体"/>
          <w:spacing w:val="7"/>
          <w:sz w:val="32"/>
          <w:szCs w:val="32"/>
          <w:lang w:val="en-US" w:eastAsia="zh-CN"/>
        </w:rPr>
      </w:pPr>
      <w:r>
        <w:rPr>
          <w:rFonts w:hint="eastAsia" w:ascii="黑体" w:hAnsi="黑体" w:eastAsia="黑体" w:cs="黑体"/>
          <w:spacing w:val="7"/>
          <w:sz w:val="32"/>
          <w:szCs w:val="32"/>
          <w:lang w:val="en-US" w:eastAsia="zh-CN"/>
        </w:rPr>
        <w:t xml:space="preserve">地理标志产品 王家贡米 </w:t>
      </w:r>
    </w:p>
    <w:p w14:paraId="10FCEFCE">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1 范围 </w:t>
      </w:r>
    </w:p>
    <w:p w14:paraId="1846D53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本文件规定了地理标志产品王家贡米的保护范围、稻谷原料、加工工艺、质量要求、检验方法、检验规则、标志、标签、包装、储存及运输等。 </w:t>
      </w:r>
    </w:p>
    <w:p w14:paraId="7C08B6A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仿宋_GB2312" w:hAnsi="仿宋_GB2312" w:eastAsia="仿宋_GB2312" w:cs="仿宋_GB2312"/>
          <w:spacing w:val="-2"/>
          <w:sz w:val="24"/>
          <w:szCs w:val="24"/>
          <w:lang w:val="en-US" w:eastAsia="zh-CN"/>
        </w:rPr>
        <w:t>本文件适用于原国家质量监督检验检疫总局公告〔2015〕第162号《关于批准对达茂马铃薯等产品实施地理标志产品保护的公告》批准的地理标志产品 王家贡米。</w:t>
      </w:r>
      <w:r>
        <w:rPr>
          <w:rFonts w:hint="eastAsia" w:ascii="黑体" w:hAnsi="黑体" w:eastAsia="黑体" w:cs="黑体"/>
          <w:snapToGrid w:val="0"/>
          <w:color w:val="000000"/>
          <w:spacing w:val="-8"/>
          <w:kern w:val="0"/>
          <w:sz w:val="24"/>
          <w:szCs w:val="24"/>
          <w:lang w:val="en-US" w:eastAsia="zh-CN" w:bidi="ar-SA"/>
        </w:rPr>
        <w:t xml:space="preserve"> </w:t>
      </w:r>
    </w:p>
    <w:p w14:paraId="7AE0EAA2">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2 规范性引用文件 </w:t>
      </w:r>
    </w:p>
    <w:p w14:paraId="3F08D37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pPr>
      <w:r>
        <w:rPr>
          <w:rFonts w:hint="eastAsia" w:ascii="仿宋_GB2312" w:hAnsi="仿宋_GB2312" w:eastAsia="仿宋_GB2312" w:cs="仿宋_GB2312"/>
          <w:spacing w:val="-2"/>
          <w:sz w:val="24"/>
          <w:szCs w:val="24"/>
          <w:lang w:val="en-US" w:eastAsia="zh-CN"/>
        </w:rPr>
        <w:t>下列文件中的内容通过文中的规范性引用而构成本文件必不可少的条款。其中，注日期的引用文件，仅该日期对应的版本适用于本文件；不注日期的引用文件，其最新版本（包括所有的修改单）适用于本文件</w:t>
      </w:r>
      <w:r>
        <w:rPr>
          <w:rFonts w:hint="eastAsia" w:ascii="宋体" w:hAnsi="宋体" w:eastAsia="宋体" w:cs="宋体"/>
          <w:snapToGrid w:val="0"/>
          <w:color w:val="000000"/>
          <w:kern w:val="0"/>
          <w:sz w:val="21"/>
          <w:szCs w:val="21"/>
          <w:lang w:val="en-US" w:eastAsia="zh-CN" w:bidi="ar"/>
        </w:rPr>
        <w:t xml:space="preserve">。 </w:t>
      </w:r>
    </w:p>
    <w:p w14:paraId="20B94F16">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191     包装储运图示标志 </w:t>
      </w:r>
    </w:p>
    <w:p w14:paraId="33447D00">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1354    大米 </w:t>
      </w:r>
    </w:p>
    <w:p w14:paraId="41B3FA1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 5009.3    食品安全国家标准 食品中水分的测定 </w:t>
      </w:r>
    </w:p>
    <w:p w14:paraId="39EDB94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5492    粮油检验 粮食、油料的色泽、气味、口味鉴定 </w:t>
      </w:r>
    </w:p>
    <w:p w14:paraId="4918F680">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5493    粮油检验 类型及互混检验 </w:t>
      </w:r>
    </w:p>
    <w:p w14:paraId="6F4B6413">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5494    粮油检验 粮食、油料的杂质、不完善粒检验 </w:t>
      </w:r>
    </w:p>
    <w:p w14:paraId="1B38A54A">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5496    粮食、油料检验 黄粒米及裂纹粒检验法 </w:t>
      </w:r>
    </w:p>
    <w:p w14:paraId="4818A8D7">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5502    粮油检验 大米加工精度检验 </w:t>
      </w:r>
    </w:p>
    <w:p w14:paraId="2F6E282F">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5503    粮油检验 碎米检验法 </w:t>
      </w:r>
    </w:p>
    <w:p w14:paraId="28404651">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15682   粮油检验 稻谷、大米蒸煮食用品质感官评价方法 </w:t>
      </w:r>
    </w:p>
    <w:p w14:paraId="16AF753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15683   大米 直链淀粉含量的测定 </w:t>
      </w:r>
    </w:p>
    <w:p w14:paraId="4B850D61">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17109   粮食销售包装 </w:t>
      </w:r>
    </w:p>
    <w:p w14:paraId="1946D31D">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17891   优质稻谷 </w:t>
      </w:r>
    </w:p>
    <w:p w14:paraId="725D5CF5">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22294   粮油检验 大米胶稠度的测定 </w:t>
      </w:r>
    </w:p>
    <w:p w14:paraId="0B666BD6">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 23350     限制商品过度包装要求 食品和化妆品 </w:t>
      </w:r>
    </w:p>
    <w:p w14:paraId="0681595E">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GB/T 35881   粮油检验 稻谷黄粒米含量测定 图像分析法 </w:t>
      </w:r>
    </w:p>
    <w:p w14:paraId="27FC38F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NY/T 2334    稻米整精米率、粒型、垩白粒率、垩白度及透明度的测定 图像法 </w:t>
      </w:r>
    </w:p>
    <w:p w14:paraId="025CFC2D">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JJF 1070     定量包装商品净含量计量检验规则 </w:t>
      </w:r>
    </w:p>
    <w:p w14:paraId="06D50459">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定量包装商品计量监督管理办法（国家质量监督检验检疫总局令〔2005〕第75号） </w:t>
      </w:r>
    </w:p>
    <w:p w14:paraId="07799EB3">
      <w:pPr>
        <w:keepNext w:val="0"/>
        <w:keepLines w:val="0"/>
        <w:pageBreakBefore w:val="0"/>
        <w:widowControl/>
        <w:kinsoku w:val="0"/>
        <w:wordWrap/>
        <w:overflowPunct/>
        <w:topLinePunct w:val="0"/>
        <w:autoSpaceDE w:val="0"/>
        <w:autoSpaceDN w:val="0"/>
        <w:bidi w:val="0"/>
        <w:adjustRightInd w:val="0"/>
        <w:snapToGrid w:val="0"/>
        <w:spacing w:line="240" w:lineRule="auto"/>
        <w:ind w:firstLine="464" w:firstLineChars="200"/>
        <w:textAlignment w:val="baseline"/>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lang w:val="en-US" w:eastAsia="zh-CN"/>
        </w:rPr>
        <w:t xml:space="preserve">地理标志专用标志使用管理办法（试行）(国家知识产权局公告 第354号) </w:t>
      </w:r>
    </w:p>
    <w:p w14:paraId="036DE9CB">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3 术语和定义 </w:t>
      </w:r>
    </w:p>
    <w:p w14:paraId="74FD08E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下列术语和定义适用于本文件。 </w:t>
      </w:r>
    </w:p>
    <w:p w14:paraId="353C89B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3.1 </w:t>
      </w:r>
    </w:p>
    <w:p w14:paraId="6A738AF4">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地理标志产品 王家贡米</w:t>
      </w:r>
    </w:p>
    <w:p w14:paraId="2B5319F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选用优质中晚籼稻种（油粘型）,种植在保护范围内，符合本文件稻谷原料、加工工艺、质量要求等规定的大米。 </w:t>
      </w:r>
    </w:p>
    <w:p w14:paraId="72FA8722">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4 地理标志产品保护范围 </w:t>
      </w:r>
    </w:p>
    <w:p w14:paraId="66DD704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地理标志产品 王家贡米保护范围限于原国家质量监督检验检疫总局公告〔2015〕第162号《关于批准对达茂马铃薯等产品实施地理标志产品保护的公告》批准的范围,见附录A。 </w:t>
      </w:r>
    </w:p>
    <w:p w14:paraId="0BAC0BCD">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5 稻谷原料 </w:t>
      </w:r>
    </w:p>
    <w:p w14:paraId="4E67735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选用优质中晚籼稻种（油粘型）,种植在保护范围内,符合GB/T 17891二级以上要求的优质稻谷。 </w:t>
      </w:r>
    </w:p>
    <w:p w14:paraId="5E5962F7">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6 加工工艺 </w:t>
      </w:r>
    </w:p>
    <w:p w14:paraId="722DF5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除杂-砻谷-选糙-碾米-抛光-色选-包装。 </w:t>
      </w:r>
    </w:p>
    <w:p w14:paraId="6A1784B3">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7 质量要求 </w:t>
      </w:r>
    </w:p>
    <w:p w14:paraId="19E318E9">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7.1 感官指标 </w:t>
      </w:r>
    </w:p>
    <w:p w14:paraId="7367E7E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米粒细长匀称，垩白小。米质半透明，油滑光亮，具有大米固有的自然清香味。煮时清香四溢，浓郁持久，入口软糯，冷后不返生。 </w:t>
      </w:r>
    </w:p>
    <w:p w14:paraId="6C42F73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7.2 质量指标 </w:t>
      </w:r>
    </w:p>
    <w:p w14:paraId="23AC2BB7">
      <w:pPr>
        <w:keepNext w:val="0"/>
        <w:keepLines w:val="0"/>
        <w:widowControl/>
        <w:suppressLineNumbers w:val="0"/>
        <w:ind w:firstLine="3780" w:firstLineChars="1800"/>
        <w:jc w:val="left"/>
        <w:rPr>
          <w:rFonts w:hint="eastAsia" w:ascii="仿宋_GB2312" w:hAnsi="仿宋_GB2312" w:eastAsia="仿宋_GB2312" w:cs="仿宋_GB2312"/>
          <w:spacing w:val="-2"/>
          <w:sz w:val="24"/>
          <w:szCs w:val="24"/>
          <w:lang w:val="en-US" w:eastAsia="zh-CN"/>
        </w:rPr>
      </w:pPr>
      <w:r>
        <w:rPr>
          <w:rFonts w:ascii="黑体" w:hAnsi="宋体" w:eastAsia="黑体" w:cs="黑体"/>
          <w:snapToGrid w:val="0"/>
          <w:color w:val="000000"/>
          <w:kern w:val="0"/>
          <w:sz w:val="21"/>
          <w:szCs w:val="21"/>
          <w:lang w:val="en-US" w:eastAsia="zh-CN" w:bidi="ar"/>
        </w:rPr>
        <w:t>表1 质量指标</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7"/>
        <w:gridCol w:w="4928"/>
      </w:tblGrid>
      <w:tr w14:paraId="4535C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3AC930F7">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baseline"/>
              <w:rPr>
                <w:rFonts w:hint="default" w:ascii="仿宋_GB2312" w:hAnsi="仿宋_GB2312" w:eastAsia="仿宋_GB2312" w:cs="仿宋_GB2312"/>
                <w:spacing w:val="-2"/>
                <w:sz w:val="24"/>
                <w:szCs w:val="24"/>
                <w:vertAlign w:val="baseline"/>
                <w:lang w:val="en-US" w:eastAsia="zh-CN"/>
              </w:rPr>
            </w:pPr>
            <w:r>
              <w:rPr>
                <w:rFonts w:hint="eastAsia" w:ascii="仿宋_GB2312" w:hAnsi="仿宋_GB2312" w:eastAsia="仿宋_GB2312" w:cs="仿宋_GB2312"/>
                <w:spacing w:val="-2"/>
                <w:sz w:val="24"/>
                <w:szCs w:val="24"/>
                <w:vertAlign w:val="baseline"/>
                <w:lang w:val="en-US" w:eastAsia="zh-CN"/>
              </w:rPr>
              <w:t>项目</w:t>
            </w:r>
          </w:p>
        </w:tc>
        <w:tc>
          <w:tcPr>
            <w:tcW w:w="4928" w:type="dxa"/>
          </w:tcPr>
          <w:p w14:paraId="46634B0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baseline"/>
              <w:rPr>
                <w:rFonts w:hint="default" w:ascii="仿宋_GB2312" w:hAnsi="仿宋_GB2312" w:eastAsia="仿宋_GB2312" w:cs="仿宋_GB2312"/>
                <w:spacing w:val="-2"/>
                <w:sz w:val="24"/>
                <w:szCs w:val="24"/>
                <w:vertAlign w:val="baseline"/>
                <w:lang w:val="en-US" w:eastAsia="zh-CN"/>
              </w:rPr>
            </w:pPr>
            <w:r>
              <w:rPr>
                <w:rFonts w:hint="eastAsia" w:ascii="仿宋_GB2312" w:hAnsi="仿宋_GB2312" w:eastAsia="仿宋_GB2312" w:cs="仿宋_GB2312"/>
                <w:spacing w:val="-2"/>
                <w:sz w:val="24"/>
                <w:szCs w:val="24"/>
                <w:vertAlign w:val="baseline"/>
                <w:lang w:val="en-US" w:eastAsia="zh-CN"/>
              </w:rPr>
              <w:t>要求</w:t>
            </w:r>
          </w:p>
        </w:tc>
      </w:tr>
      <w:tr w14:paraId="6B317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01D413D9">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碎米总量/%                                ≤</w:t>
            </w:r>
          </w:p>
        </w:tc>
        <w:tc>
          <w:tcPr>
            <w:tcW w:w="4928" w:type="dxa"/>
          </w:tcPr>
          <w:p w14:paraId="0759A2EE">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6.0</w:t>
            </w:r>
          </w:p>
        </w:tc>
      </w:tr>
      <w:tr w14:paraId="0EAA2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63186E69">
            <w:pPr>
              <w:keepNext w:val="0"/>
              <w:keepLines w:val="0"/>
              <w:widowControl/>
              <w:suppressLineNumbers w:val="0"/>
              <w:ind w:firstLine="420" w:firstLineChars="200"/>
              <w:jc w:val="left"/>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其中：小碎米含量/%                    ≤</w:t>
            </w:r>
          </w:p>
        </w:tc>
        <w:tc>
          <w:tcPr>
            <w:tcW w:w="4928" w:type="dxa"/>
          </w:tcPr>
          <w:p w14:paraId="1D13C16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jc w:val="center"/>
              <w:textAlignment w:val="baseline"/>
              <w:rPr>
                <w:rFonts w:hint="default" w:ascii="仿宋_GB2312" w:hAnsi="仿宋_GB2312" w:eastAsia="仿宋_GB2312" w:cs="仿宋_GB2312"/>
                <w:spacing w:val="-2"/>
                <w:sz w:val="24"/>
                <w:szCs w:val="24"/>
                <w:vertAlign w:val="baseline"/>
                <w:lang w:val="en-US" w:eastAsia="zh-CN"/>
              </w:rPr>
            </w:pPr>
            <w:r>
              <w:rPr>
                <w:rFonts w:hint="eastAsia" w:ascii="仿宋_GB2312" w:hAnsi="仿宋_GB2312" w:eastAsia="仿宋_GB2312" w:cs="仿宋_GB2312"/>
                <w:spacing w:val="-2"/>
                <w:sz w:val="24"/>
                <w:szCs w:val="24"/>
                <w:vertAlign w:val="baseline"/>
                <w:lang w:val="en-US" w:eastAsia="zh-CN"/>
              </w:rPr>
              <w:t>0.2</w:t>
            </w:r>
          </w:p>
        </w:tc>
      </w:tr>
      <w:tr w14:paraId="36868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2231F03E">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加工精度</w:t>
            </w:r>
          </w:p>
        </w:tc>
        <w:tc>
          <w:tcPr>
            <w:tcW w:w="4928" w:type="dxa"/>
          </w:tcPr>
          <w:p w14:paraId="504416A1">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精碾</w:t>
            </w:r>
          </w:p>
        </w:tc>
      </w:tr>
      <w:tr w14:paraId="66EDA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7CAA7BA3">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垩白度/%                                  ≤</w:t>
            </w:r>
          </w:p>
        </w:tc>
        <w:tc>
          <w:tcPr>
            <w:tcW w:w="4928" w:type="dxa"/>
          </w:tcPr>
          <w:p w14:paraId="7F1584E0">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2.0</w:t>
            </w:r>
          </w:p>
        </w:tc>
      </w:tr>
      <w:tr w14:paraId="56DFE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4D0B2BFD">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品尝评分值/分                             ≥</w:t>
            </w:r>
          </w:p>
        </w:tc>
        <w:tc>
          <w:tcPr>
            <w:tcW w:w="4928" w:type="dxa"/>
          </w:tcPr>
          <w:p w14:paraId="0A0D6795">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80</w:t>
            </w:r>
          </w:p>
        </w:tc>
      </w:tr>
      <w:tr w14:paraId="63B9E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2695A156">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直链淀粉含量/%</w:t>
            </w:r>
          </w:p>
        </w:tc>
        <w:tc>
          <w:tcPr>
            <w:tcW w:w="4928" w:type="dxa"/>
          </w:tcPr>
          <w:p w14:paraId="7C18B852">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15.0～20.0</w:t>
            </w:r>
          </w:p>
        </w:tc>
      </w:tr>
      <w:tr w14:paraId="67682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37ECA74F">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水分含量/%                                ≤</w:t>
            </w:r>
          </w:p>
        </w:tc>
        <w:tc>
          <w:tcPr>
            <w:tcW w:w="4928" w:type="dxa"/>
          </w:tcPr>
          <w:p w14:paraId="60CF700F">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14.0</w:t>
            </w:r>
          </w:p>
        </w:tc>
      </w:tr>
      <w:tr w14:paraId="7758D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0234A633">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不完善粒含量/%                            ≤</w:t>
            </w:r>
          </w:p>
        </w:tc>
        <w:tc>
          <w:tcPr>
            <w:tcW w:w="4928" w:type="dxa"/>
          </w:tcPr>
          <w:p w14:paraId="1E914227">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2.0</w:t>
            </w:r>
          </w:p>
        </w:tc>
      </w:tr>
      <w:tr w14:paraId="08CF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0450C917">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杂质总量/%                                ≤</w:t>
            </w:r>
          </w:p>
        </w:tc>
        <w:tc>
          <w:tcPr>
            <w:tcW w:w="4928" w:type="dxa"/>
          </w:tcPr>
          <w:p w14:paraId="37E9465C">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0.20</w:t>
            </w:r>
          </w:p>
        </w:tc>
      </w:tr>
      <w:tr w14:paraId="5023A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3C68927A">
            <w:pPr>
              <w:keepNext w:val="0"/>
              <w:keepLines w:val="0"/>
              <w:widowControl/>
              <w:suppressLineNumbers w:val="0"/>
              <w:ind w:firstLine="210" w:firstLineChars="10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其中：无机杂质含量/%                    ≤</w:t>
            </w:r>
          </w:p>
        </w:tc>
        <w:tc>
          <w:tcPr>
            <w:tcW w:w="4928" w:type="dxa"/>
          </w:tcPr>
          <w:p w14:paraId="5BBDB82A">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0.02</w:t>
            </w:r>
          </w:p>
        </w:tc>
      </w:tr>
      <w:tr w14:paraId="4665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7C844105">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黄粒米含量/%                              ≤</w:t>
            </w:r>
          </w:p>
        </w:tc>
        <w:tc>
          <w:tcPr>
            <w:tcW w:w="4928" w:type="dxa"/>
          </w:tcPr>
          <w:p w14:paraId="702A285F">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0.4</w:t>
            </w:r>
          </w:p>
        </w:tc>
      </w:tr>
      <w:tr w14:paraId="17C5B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255B5247">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互混率/%                                  ≤</w:t>
            </w:r>
          </w:p>
        </w:tc>
        <w:tc>
          <w:tcPr>
            <w:tcW w:w="4928" w:type="dxa"/>
          </w:tcPr>
          <w:p w14:paraId="78E4C540">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2.0</w:t>
            </w:r>
          </w:p>
        </w:tc>
      </w:tr>
      <w:tr w14:paraId="6AFE8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2C28E08A">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胶稠度/mm                                 ≥</w:t>
            </w:r>
          </w:p>
        </w:tc>
        <w:tc>
          <w:tcPr>
            <w:tcW w:w="4928" w:type="dxa"/>
          </w:tcPr>
          <w:p w14:paraId="444BB7C2">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70</w:t>
            </w:r>
          </w:p>
        </w:tc>
      </w:tr>
      <w:tr w14:paraId="7F367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7" w:type="dxa"/>
          </w:tcPr>
          <w:p w14:paraId="4F42B08D">
            <w:pPr>
              <w:keepNext w:val="0"/>
              <w:keepLines w:val="0"/>
              <w:widowControl/>
              <w:suppressLineNumbers w:val="0"/>
              <w:jc w:val="both"/>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稻谷长宽比                                ≥</w:t>
            </w:r>
          </w:p>
        </w:tc>
        <w:tc>
          <w:tcPr>
            <w:tcW w:w="4928" w:type="dxa"/>
          </w:tcPr>
          <w:p w14:paraId="7C336E15">
            <w:pPr>
              <w:keepNext w:val="0"/>
              <w:keepLines w:val="0"/>
              <w:widowControl/>
              <w:suppressLineNumbers w:val="0"/>
              <w:jc w:val="center"/>
              <w:rPr>
                <w:rFonts w:hint="eastAsia" w:ascii="仿宋_GB2312" w:hAnsi="仿宋_GB2312" w:eastAsia="仿宋_GB2312" w:cs="仿宋_GB2312"/>
                <w:spacing w:val="-2"/>
                <w:sz w:val="24"/>
                <w:szCs w:val="24"/>
                <w:vertAlign w:val="baseline"/>
                <w:lang w:val="en-US" w:eastAsia="zh-CN"/>
              </w:rPr>
            </w:pPr>
            <w:r>
              <w:rPr>
                <w:rFonts w:hint="eastAsia" w:ascii="宋体" w:hAnsi="宋体" w:eastAsia="宋体" w:cs="宋体"/>
                <w:snapToGrid w:val="0"/>
                <w:color w:val="000000"/>
                <w:kern w:val="0"/>
                <w:sz w:val="21"/>
                <w:szCs w:val="21"/>
                <w:lang w:val="en-US" w:eastAsia="zh-CN" w:bidi="ar"/>
              </w:rPr>
              <w:t>3.0</w:t>
            </w:r>
          </w:p>
        </w:tc>
      </w:tr>
    </w:tbl>
    <w:p w14:paraId="0B1E14F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p>
    <w:p w14:paraId="791C58A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7.3 净含量</w:t>
      </w:r>
    </w:p>
    <w:p w14:paraId="2389B94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708" w:firstLineChars="3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符合《定量包装商品计量监督管理办法》的规定，产品最大水分允许状况下的质量。 </w:t>
      </w:r>
    </w:p>
    <w:p w14:paraId="7B3D2CF4">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8 检验方法 </w:t>
      </w:r>
    </w:p>
    <w:p w14:paraId="73BEE99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8.1 碎米含量检验：按 GB/T 5503 规定的方法执行。 </w:t>
      </w:r>
    </w:p>
    <w:p w14:paraId="03B13EC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8.2 加工精度检验：按 GB/T 5502 规定的方法执行。 </w:t>
      </w:r>
    </w:p>
    <w:p w14:paraId="79A88B5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8.3 垩白度检验：按 GB/T 1354 附录 A 规定的方法执行。 </w:t>
      </w:r>
    </w:p>
    <w:p w14:paraId="397A09A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8.4 品尝评分值检验：按 GB/T 15682 规定的方法执行。 </w:t>
      </w:r>
    </w:p>
    <w:p w14:paraId="5E68313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8.5 直链淀粉含量检验：按 GB/T 15683 规定的方法执行。 </w:t>
      </w:r>
    </w:p>
    <w:p w14:paraId="44C64D2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8.6 水分含量检验：按 GB 5009.3 规定的方法执行。 </w:t>
      </w:r>
    </w:p>
    <w:p w14:paraId="448E811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8.7 杂质、不完善粒含量检验：按 GB/T 5494 规定的方法执行。 </w:t>
      </w:r>
    </w:p>
    <w:p w14:paraId="2770B73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8.8 黄粒米含量检验：按 GB/T 5496 或 GB/T 35881 规定的方法执行。 </w:t>
      </w:r>
    </w:p>
    <w:p w14:paraId="6ECACF4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8.9 互混率检验：按 GB/T 5493 规定的方法执行。 </w:t>
      </w:r>
    </w:p>
    <w:p w14:paraId="78906B8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8.10 胶稠度检验：按 GB/T 22294 规定的方法执行。 </w:t>
      </w:r>
    </w:p>
    <w:p w14:paraId="2605BB9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8.11 长宽比检验：按 NY/T 2334 规定的方法执行。 </w:t>
      </w:r>
    </w:p>
    <w:p w14:paraId="73EE147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8.12 感官要求检验：按 GB/T 5492 规定的方法执行。 </w:t>
      </w:r>
    </w:p>
    <w:p w14:paraId="54B6B3D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8.13 净含量检验：按 JJF 1070 规定执行。 </w:t>
      </w:r>
    </w:p>
    <w:p w14:paraId="65FB330A">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9 检验规则 </w:t>
      </w:r>
    </w:p>
    <w:p w14:paraId="016F3CF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9.1 </w:t>
      </w:r>
      <w:r>
        <w:rPr>
          <w:rFonts w:hint="eastAsia" w:ascii="黑体" w:hAnsi="黑体" w:eastAsia="黑体" w:cs="黑体"/>
          <w:snapToGrid w:val="0"/>
          <w:color w:val="000000"/>
          <w:spacing w:val="-8"/>
          <w:kern w:val="0"/>
          <w:sz w:val="24"/>
          <w:szCs w:val="24"/>
          <w:lang w:val="en-US" w:eastAsia="zh-CN" w:bidi="ar-SA"/>
        </w:rPr>
        <w:t>组批</w:t>
      </w:r>
      <w:r>
        <w:rPr>
          <w:rFonts w:hint="eastAsia" w:ascii="黑体" w:hAnsi="黑体" w:eastAsia="黑体" w:cs="黑体"/>
          <w:snapToGrid w:val="0"/>
          <w:color w:val="000000"/>
          <w:spacing w:val="-8"/>
          <w:kern w:val="0"/>
          <w:sz w:val="24"/>
          <w:szCs w:val="24"/>
          <w:lang w:val="en-US" w:eastAsia="zh-CN" w:bidi="ar-SA"/>
        </w:rPr>
        <w:t xml:space="preserve"> </w:t>
      </w:r>
    </w:p>
    <w:p w14:paraId="31CCE89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同一批投料、同一生产线、同一班次生产的同一生产日期、同一规格的产品为一批。 </w:t>
      </w:r>
    </w:p>
    <w:p w14:paraId="7FABC7D4">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9.2 抽</w:t>
      </w:r>
      <w:r>
        <w:rPr>
          <w:rFonts w:hint="eastAsia" w:ascii="黑体" w:hAnsi="黑体" w:eastAsia="黑体" w:cs="黑体"/>
          <w:snapToGrid w:val="0"/>
          <w:color w:val="000000"/>
          <w:spacing w:val="-8"/>
          <w:kern w:val="0"/>
          <w:sz w:val="24"/>
          <w:szCs w:val="24"/>
          <w:lang w:val="en-US" w:eastAsia="zh-CN" w:bidi="ar-SA"/>
        </w:rPr>
        <w:t xml:space="preserve">样 </w:t>
      </w:r>
    </w:p>
    <w:p w14:paraId="29A93A58">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每批次随机抽取样品，抽样基数不低于20 kg，样品总质量不低于2 kg。样品一式两份，供检验和 </w:t>
      </w:r>
    </w:p>
    <w:p w14:paraId="7491F5C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复验备用。 </w:t>
      </w:r>
    </w:p>
    <w:p w14:paraId="111C404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9.3 检验 </w:t>
      </w:r>
    </w:p>
    <w:p w14:paraId="62E9012B">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9.3.1 出厂检验 </w:t>
      </w:r>
    </w:p>
    <w:p w14:paraId="390114E1">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出厂检验项目应包括感官指标、碎米总量、小碎米含量、加工精度、水分含量、不完善粒、杂质总量、无机杂质含量、黄粒米含量、互混率，检验合格后方可出厂。 </w:t>
      </w:r>
    </w:p>
    <w:p w14:paraId="6E15BE0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9.3.2 型式检验 </w:t>
      </w:r>
    </w:p>
    <w:p w14:paraId="491AA44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9.3.2.1 正常生产每年进行一次型式检验。发生下列情况之一时，应即时进行型式检验： </w:t>
      </w:r>
    </w:p>
    <w:p w14:paraId="05745D75">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a) 出厂检验结果与上次型式检验结果有较大差异时； </w:t>
      </w:r>
    </w:p>
    <w:p w14:paraId="371FF8C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b) 原料或工艺有较大变化时； </w:t>
      </w:r>
    </w:p>
    <w:p w14:paraId="65F69B8A">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c) 更换设备或长期停产再复产时； </w:t>
      </w:r>
    </w:p>
    <w:p w14:paraId="3D21527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d) 新产品投产时； </w:t>
      </w:r>
    </w:p>
    <w:p w14:paraId="37CF996C">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e) 国家有关质量管理部门提出要求时。 </w:t>
      </w:r>
    </w:p>
    <w:p w14:paraId="44FACAD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9.3.2.2 型式检验为全项目检验。 </w:t>
      </w:r>
    </w:p>
    <w:p w14:paraId="41B30D8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9.4 判定 </w:t>
      </w:r>
    </w:p>
    <w:p w14:paraId="4900CF7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产品检验项目全部符合本标准要求时，判定该批次产品为合格品。检验结果不符合本标准要求时，使用备检样品对不合格项目进行复检，如复检结果仍有1项不合格，则判定该产品为不合格品。 </w:t>
      </w:r>
    </w:p>
    <w:p w14:paraId="6FF7D4D0">
      <w:pPr>
        <w:keepNext w:val="0"/>
        <w:keepLines w:val="0"/>
        <w:pageBreakBefore w:val="0"/>
        <w:widowControl/>
        <w:suppressLineNumbers w:val="0"/>
        <w:kinsoku w:val="0"/>
        <w:wordWrap/>
        <w:overflowPunct/>
        <w:topLinePunct w:val="0"/>
        <w:autoSpaceDE w:val="0"/>
        <w:autoSpaceDN w:val="0"/>
        <w:bidi w:val="0"/>
        <w:adjustRightInd w:val="0"/>
        <w:snapToGrid w:val="0"/>
        <w:ind w:firstLine="448" w:firstLineChars="200"/>
        <w:jc w:val="left"/>
        <w:textAlignment w:val="baseline"/>
        <w:rPr>
          <w:rFonts w:hint="eastAsia" w:ascii="黑体" w:hAnsi="黑体" w:eastAsia="黑体" w:cs="黑体"/>
          <w:snapToGrid w:val="0"/>
          <w:color w:val="000000"/>
          <w:spacing w:val="-8"/>
          <w:kern w:val="0"/>
          <w:sz w:val="24"/>
          <w:szCs w:val="24"/>
          <w:lang w:val="en-US" w:eastAsia="zh-CN" w:bidi="ar-SA"/>
        </w:rPr>
      </w:pPr>
      <w:r>
        <w:rPr>
          <w:rFonts w:hint="eastAsia" w:ascii="黑体" w:hAnsi="黑体" w:eastAsia="黑体" w:cs="黑体"/>
          <w:snapToGrid w:val="0"/>
          <w:color w:val="000000"/>
          <w:spacing w:val="-8"/>
          <w:kern w:val="0"/>
          <w:sz w:val="24"/>
          <w:szCs w:val="24"/>
          <w:lang w:val="en-US" w:eastAsia="zh-CN" w:bidi="ar-SA"/>
        </w:rPr>
        <w:t xml:space="preserve">10 标志、标签、包装 </w:t>
      </w:r>
    </w:p>
    <w:p w14:paraId="2EB8C3C9">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10.1 标志、标签 </w:t>
      </w:r>
    </w:p>
    <w:p w14:paraId="1D7F7DC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10.1.1 产品的标签应符合 GB/T 1354 的规定。 </w:t>
      </w:r>
    </w:p>
    <w:p w14:paraId="105095C2">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10.1.2 外包装储运标识应符合 GB/T 191 的规定。 </w:t>
      </w:r>
    </w:p>
    <w:p w14:paraId="2D5FB27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10.1.3 获准使用地理标志保护产品专用标志资格的企业，应按照《地理标志专用标志使用管理办法（试行）》使用专用标志。 </w:t>
      </w:r>
    </w:p>
    <w:p w14:paraId="621E732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10.2 包装 </w:t>
      </w:r>
    </w:p>
    <w:p w14:paraId="4CE45BED">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10.2.1 包装材料应符合 GB/T 17109 的规定和食品安全要求。 </w:t>
      </w:r>
    </w:p>
    <w:p w14:paraId="2D953166">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10.2.2 包装袋应坚固结实，包装封口或缝口应严密，以防撒漏。 </w:t>
      </w:r>
    </w:p>
    <w:p w14:paraId="4D6B88A0">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10.2.3 包装应符合 GB 23350 的规定，不过度包装。 </w:t>
      </w:r>
    </w:p>
    <w:p w14:paraId="41932DBE">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 xml:space="preserve">11 储存及运输 </w:t>
      </w:r>
    </w:p>
    <w:p w14:paraId="6788F7CF">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472" w:firstLineChars="200"/>
        <w:jc w:val="left"/>
        <w:textAlignment w:val="baseline"/>
        <w:rPr>
          <w:rFonts w:hint="eastAsia" w:ascii="仿宋_GB2312" w:hAnsi="仿宋_GB2312" w:eastAsia="仿宋_GB2312" w:cs="仿宋_GB2312"/>
          <w:spacing w:val="-2"/>
          <w:sz w:val="24"/>
          <w:szCs w:val="24"/>
          <w:lang w:val="en-US" w:eastAsia="zh-CN"/>
        </w:rPr>
      </w:pPr>
      <w:r>
        <w:rPr>
          <w:rFonts w:hint="eastAsia" w:ascii="仿宋_GB2312" w:hAnsi="仿宋_GB2312" w:eastAsia="仿宋_GB2312" w:cs="仿宋_GB2312"/>
          <w:spacing w:val="-2"/>
          <w:sz w:val="24"/>
          <w:szCs w:val="24"/>
          <w:lang w:val="en-US" w:eastAsia="zh-CN"/>
        </w:rPr>
        <w:t>产品的储存及运输应符合 GB/T 1354的规定。</w:t>
      </w:r>
      <w:bookmarkStart w:id="2" w:name="_GoBack"/>
      <w:bookmarkEnd w:id="2"/>
    </w:p>
    <w:p w14:paraId="49254152">
      <w:pPr>
        <w:snapToGrid w:val="0"/>
        <w:spacing w:line="360" w:lineRule="exact"/>
        <w:rPr>
          <w:rFonts w:hint="eastAsia" w:ascii="仿宋_GB2312" w:hAnsi="仿宋_GB2312" w:eastAsia="仿宋_GB2312" w:cs="仿宋_GB2312"/>
          <w:spacing w:val="-2"/>
          <w:sz w:val="24"/>
          <w:szCs w:val="24"/>
        </w:rPr>
      </w:pPr>
    </w:p>
    <w:p w14:paraId="2C99F992">
      <w:pPr>
        <w:snapToGrid w:val="0"/>
        <w:spacing w:line="360" w:lineRule="exact"/>
        <w:rPr>
          <w:rFonts w:hint="eastAsia" w:ascii="仿宋_GB2312" w:hAnsi="仿宋_GB2312" w:eastAsia="仿宋_GB2312" w:cs="仿宋_GB2312"/>
          <w:spacing w:val="-2"/>
          <w:sz w:val="24"/>
          <w:szCs w:val="24"/>
        </w:rPr>
      </w:pPr>
    </w:p>
    <w:p w14:paraId="3C2E0741">
      <w:pPr>
        <w:snapToGrid w:val="0"/>
        <w:spacing w:line="360" w:lineRule="exact"/>
        <w:rPr>
          <w:rFonts w:hint="eastAsia" w:ascii="仿宋_GB2312" w:hAnsi="仿宋_GB2312" w:eastAsia="仿宋_GB2312" w:cs="仿宋_GB2312"/>
          <w:spacing w:val="-2"/>
          <w:sz w:val="24"/>
          <w:szCs w:val="24"/>
        </w:rPr>
      </w:pPr>
    </w:p>
    <w:p w14:paraId="05E04F53">
      <w:pPr>
        <w:snapToGrid w:val="0"/>
        <w:spacing w:line="360" w:lineRule="exact"/>
        <w:rPr>
          <w:rFonts w:hint="eastAsia" w:ascii="仿宋_GB2312" w:hAnsi="仿宋_GB2312" w:eastAsia="仿宋_GB2312" w:cs="仿宋_GB2312"/>
          <w:spacing w:val="-2"/>
          <w:sz w:val="24"/>
          <w:szCs w:val="24"/>
        </w:rPr>
      </w:pPr>
    </w:p>
    <w:p w14:paraId="30C1268D">
      <w:pPr>
        <w:snapToGrid w:val="0"/>
        <w:spacing w:line="360" w:lineRule="exact"/>
        <w:rPr>
          <w:rFonts w:hint="eastAsia" w:ascii="仿宋_GB2312" w:hAnsi="仿宋_GB2312" w:eastAsia="仿宋_GB2312" w:cs="仿宋_GB2312"/>
          <w:spacing w:val="-2"/>
          <w:sz w:val="24"/>
          <w:szCs w:val="24"/>
        </w:rPr>
      </w:pPr>
    </w:p>
    <w:p w14:paraId="3D3D40FE">
      <w:pPr>
        <w:snapToGrid w:val="0"/>
        <w:spacing w:line="360" w:lineRule="exact"/>
        <w:rPr>
          <w:rFonts w:hint="eastAsia" w:ascii="仿宋_GB2312" w:hAnsi="仿宋_GB2312" w:eastAsia="仿宋_GB2312" w:cs="仿宋_GB2312"/>
          <w:spacing w:val="-2"/>
          <w:sz w:val="24"/>
          <w:szCs w:val="24"/>
        </w:rPr>
      </w:pPr>
    </w:p>
    <w:p w14:paraId="729AC583">
      <w:pPr>
        <w:snapToGrid w:val="0"/>
        <w:spacing w:line="360" w:lineRule="exact"/>
        <w:rPr>
          <w:rFonts w:hint="eastAsia" w:ascii="仿宋_GB2312" w:hAnsi="仿宋_GB2312" w:eastAsia="仿宋_GB2312" w:cs="仿宋_GB2312"/>
          <w:spacing w:val="-2"/>
          <w:sz w:val="24"/>
          <w:szCs w:val="24"/>
        </w:rPr>
      </w:pPr>
    </w:p>
    <w:p w14:paraId="1AB76603">
      <w:pPr>
        <w:snapToGrid w:val="0"/>
        <w:spacing w:line="360" w:lineRule="exact"/>
        <w:rPr>
          <w:rFonts w:hint="eastAsia" w:ascii="仿宋_GB2312" w:hAnsi="仿宋_GB2312" w:eastAsia="仿宋_GB2312" w:cs="仿宋_GB2312"/>
          <w:spacing w:val="-2"/>
          <w:sz w:val="24"/>
          <w:szCs w:val="24"/>
        </w:rPr>
      </w:pPr>
    </w:p>
    <w:p w14:paraId="587EA5C7">
      <w:pPr>
        <w:snapToGrid w:val="0"/>
        <w:spacing w:line="360" w:lineRule="exact"/>
        <w:rPr>
          <w:rFonts w:hint="eastAsia" w:ascii="仿宋_GB2312" w:hAnsi="仿宋_GB2312" w:eastAsia="仿宋_GB2312" w:cs="仿宋_GB2312"/>
          <w:spacing w:val="-2"/>
          <w:sz w:val="24"/>
          <w:szCs w:val="24"/>
        </w:rPr>
      </w:pPr>
    </w:p>
    <w:p w14:paraId="26E0C501">
      <w:pPr>
        <w:pStyle w:val="3"/>
        <w:spacing w:before="70"/>
        <w:ind w:left="297" w:right="514"/>
        <w:jc w:val="center"/>
        <w:rPr>
          <w:rFonts w:eastAsia="黑体" w:cs="黑体"/>
          <w:b/>
          <w:bCs/>
          <w:sz w:val="32"/>
          <w:szCs w:val="32"/>
        </w:rPr>
      </w:pPr>
      <w:r>
        <w:rPr>
          <w:rFonts w:hint="eastAsia" w:eastAsia="黑体" w:cs="黑体"/>
          <w:b/>
          <w:bCs/>
          <w:sz w:val="32"/>
          <w:szCs w:val="32"/>
        </w:rPr>
        <w:t>附  录  A</w:t>
      </w:r>
    </w:p>
    <w:p w14:paraId="17F2775B">
      <w:pPr>
        <w:pStyle w:val="3"/>
        <w:spacing w:before="59" w:line="221" w:lineRule="auto"/>
        <w:ind w:left="4165"/>
        <w:outlineLvl w:val="0"/>
        <w:rPr>
          <w:b/>
          <w:bCs/>
          <w:spacing w:val="-5"/>
          <w:sz w:val="21"/>
          <w:szCs w:val="21"/>
        </w:rPr>
      </w:pPr>
      <w:bookmarkStart w:id="0" w:name="bookmark26"/>
      <w:bookmarkEnd w:id="0"/>
      <w:r>
        <w:rPr>
          <w:b/>
          <w:bCs/>
          <w:spacing w:val="-5"/>
          <w:sz w:val="21"/>
          <w:szCs w:val="21"/>
        </w:rPr>
        <w:t>（规范性）</w:t>
      </w:r>
    </w:p>
    <w:p w14:paraId="4BD9962E">
      <w:pPr>
        <w:pStyle w:val="3"/>
        <w:spacing w:before="59" w:line="221" w:lineRule="auto"/>
        <w:ind w:left="4165"/>
        <w:outlineLvl w:val="0"/>
        <w:rPr>
          <w:b/>
          <w:bCs/>
          <w:spacing w:val="-5"/>
          <w:sz w:val="28"/>
          <w:szCs w:val="28"/>
        </w:rPr>
      </w:pPr>
    </w:p>
    <w:p w14:paraId="75633E6C">
      <w:pPr>
        <w:pStyle w:val="3"/>
        <w:spacing w:before="60" w:line="220" w:lineRule="auto"/>
        <w:jc w:val="center"/>
        <w:outlineLvl w:val="0"/>
        <w:rPr>
          <w:b/>
          <w:bCs/>
          <w:sz w:val="28"/>
          <w:szCs w:val="28"/>
        </w:rPr>
      </w:pPr>
      <w:bookmarkStart w:id="1" w:name="bookmark25"/>
      <w:bookmarkEnd w:id="1"/>
      <w:r>
        <w:rPr>
          <w:b/>
          <w:bCs/>
          <w:spacing w:val="-1"/>
          <w:sz w:val="28"/>
          <w:szCs w:val="28"/>
        </w:rPr>
        <w:t>地理标志产品  王家贡米保护区域图</w:t>
      </w:r>
    </w:p>
    <w:p w14:paraId="7B5E9BA8">
      <w:pPr>
        <w:pStyle w:val="3"/>
        <w:spacing w:before="68" w:line="220" w:lineRule="auto"/>
        <w:ind w:left="2745"/>
        <w:rPr>
          <w:sz w:val="21"/>
          <w:szCs w:val="21"/>
        </w:rPr>
      </w:pPr>
      <w:r>
        <w:rPr>
          <w:spacing w:val="-1"/>
          <w:sz w:val="21"/>
          <w:szCs w:val="21"/>
        </w:rPr>
        <w:t>图1  地理标志产品  王家贡米保护区域图</w:t>
      </w:r>
    </w:p>
    <w:p w14:paraId="778687EB">
      <w:pPr>
        <w:spacing w:line="251" w:lineRule="auto"/>
        <w:rPr>
          <w:rFonts w:ascii="Times New Roman" w:hAnsi="Times New Roman"/>
        </w:rPr>
      </w:pPr>
    </w:p>
    <w:p w14:paraId="7F19475E">
      <w:pPr>
        <w:spacing w:line="240" w:lineRule="auto"/>
        <w:jc w:val="center"/>
        <w:rPr>
          <w:rFonts w:ascii="Times New Roman" w:hAnsi="Times New Roman"/>
        </w:rPr>
      </w:pPr>
      <w:r>
        <w:rPr>
          <w:rFonts w:ascii="Times New Roman" w:hAnsi="Times New Roman"/>
          <w:position w:val="-152"/>
        </w:rPr>
        <w:drawing>
          <wp:inline distT="0" distB="0" distL="0" distR="0">
            <wp:extent cx="5351145" cy="5483860"/>
            <wp:effectExtent l="0" t="0" r="1905" b="2540"/>
            <wp:docPr id="9" name="IM 2"/>
            <wp:cNvGraphicFramePr/>
            <a:graphic xmlns:a="http://schemas.openxmlformats.org/drawingml/2006/main">
              <a:graphicData uri="http://schemas.openxmlformats.org/drawingml/2006/picture">
                <pic:pic xmlns:pic="http://schemas.openxmlformats.org/drawingml/2006/picture">
                  <pic:nvPicPr>
                    <pic:cNvPr id="9" name="IM 2"/>
                    <pic:cNvPicPr/>
                  </pic:nvPicPr>
                  <pic:blipFill>
                    <a:blip r:embed="rId12"/>
                    <a:srcRect b="7339"/>
                    <a:stretch>
                      <a:fillRect/>
                    </a:stretch>
                  </pic:blipFill>
                  <pic:spPr>
                    <a:xfrm>
                      <a:off x="0" y="0"/>
                      <a:ext cx="5351145" cy="5483860"/>
                    </a:xfrm>
                    <a:prstGeom prst="rect">
                      <a:avLst/>
                    </a:prstGeom>
                  </pic:spPr>
                </pic:pic>
              </a:graphicData>
            </a:graphic>
          </wp:inline>
        </w:drawing>
      </w:r>
    </w:p>
    <w:p w14:paraId="631AB23D">
      <w:pPr>
        <w:spacing w:line="360" w:lineRule="exact"/>
        <w:ind w:firstLine="420" w:firstLineChars="200"/>
        <w:rPr>
          <w:rFonts w:hint="eastAsia" w:ascii="仿宋_GB2312" w:hAnsi="仿宋_GB2312" w:eastAsia="仿宋_GB2312" w:cs="仿宋_GB2312"/>
          <w:spacing w:val="-1"/>
        </w:rPr>
      </w:pPr>
      <w:r>
        <w:rPr>
          <w:rFonts w:hint="eastAsia" w:ascii="仿宋_GB2312" w:hAnsi="仿宋_GB2312" w:eastAsia="仿宋_GB2312" w:cs="仿宋_GB2312"/>
        </w:rPr>
        <w:t>原国家质量监督检验检疫总局〔2015〕年第162号公告王家贡米产地保护范围为</w:t>
      </w:r>
      <w:r>
        <w:rPr>
          <w:rFonts w:hint="eastAsia" w:ascii="仿宋_GB2312" w:hAnsi="仿宋_GB2312" w:eastAsia="仿宋_GB2312" w:cs="仿宋_GB2312"/>
          <w:spacing w:val="-1"/>
        </w:rPr>
        <w:t>四川省广元市昭化</w:t>
      </w:r>
      <w:r>
        <w:rPr>
          <w:rFonts w:hint="eastAsia" w:ascii="仿宋_GB2312" w:hAnsi="仿宋_GB2312" w:eastAsia="仿宋_GB2312" w:cs="仿宋_GB2312"/>
        </w:rPr>
        <w:t>区王家镇、磨滩镇、卫子镇、晋贤乡、文村乡、柏林沟镇、清水乡7个乡镇。2019年，根据四川省</w:t>
      </w:r>
      <w:r>
        <w:rPr>
          <w:rFonts w:hint="eastAsia" w:ascii="仿宋_GB2312" w:hAnsi="仿宋_GB2312" w:eastAsia="仿宋_GB2312" w:cs="仿宋_GB2312"/>
          <w:spacing w:val="-1"/>
        </w:rPr>
        <w:t>人民</w:t>
      </w:r>
      <w:r>
        <w:rPr>
          <w:rFonts w:hint="eastAsia" w:ascii="仿宋_GB2312" w:hAnsi="仿宋_GB2312" w:eastAsia="仿宋_GB2312" w:cs="仿宋_GB2312"/>
          <w:spacing w:val="-4"/>
        </w:rPr>
        <w:t>政府《关于同意广元市调整青川县等4个县（</w:t>
      </w:r>
      <w:r>
        <w:rPr>
          <w:rFonts w:hint="eastAsia" w:ascii="仿宋_GB2312" w:hAnsi="仿宋_GB2312" w:eastAsia="仿宋_GB2312" w:cs="仿宋_GB2312"/>
          <w:spacing w:val="-5"/>
        </w:rPr>
        <w:t>区）部分乡镇行政区划的批复》（川府民政〔2019〕号</w:t>
      </w:r>
      <w:r>
        <w:rPr>
          <w:rFonts w:hint="eastAsia" w:ascii="仿宋_GB2312" w:hAnsi="仿宋_GB2312" w:eastAsia="仿宋_GB2312" w:cs="仿宋_GB2312"/>
          <w:spacing w:val="-19"/>
        </w:rPr>
        <w:t>）</w:t>
      </w:r>
      <w:r>
        <w:rPr>
          <w:rFonts w:hint="eastAsia" w:ascii="仿宋_GB2312" w:hAnsi="仿宋_GB2312" w:eastAsia="仿宋_GB2312" w:cs="仿宋_GB2312"/>
          <w:spacing w:val="-2"/>
        </w:rPr>
        <w:t xml:space="preserve"> </w:t>
      </w:r>
      <w:r>
        <w:rPr>
          <w:rFonts w:hint="eastAsia" w:ascii="仿宋_GB2312" w:hAnsi="仿宋_GB2312" w:eastAsia="仿宋_GB2312" w:cs="仿宋_GB2312"/>
          <w:spacing w:val="-19"/>
        </w:rPr>
        <w:t>，</w:t>
      </w:r>
      <w:r>
        <w:rPr>
          <w:rFonts w:hint="eastAsia" w:ascii="仿宋_GB2312" w:hAnsi="仿宋_GB2312" w:eastAsia="仿宋_GB2312" w:cs="仿宋_GB2312"/>
          <w:spacing w:val="-2"/>
        </w:rPr>
        <w:t>广元市昭化区行政区划进行调整，原晋贤乡、文村乡被撤销，行政区划范</w:t>
      </w:r>
      <w:r>
        <w:rPr>
          <w:rFonts w:hint="eastAsia" w:ascii="仿宋_GB2312" w:hAnsi="仿宋_GB2312" w:eastAsia="仿宋_GB2312" w:cs="仿宋_GB2312"/>
          <w:spacing w:val="-3"/>
        </w:rPr>
        <w:t>围调整到王家镇、卫子镇、柏</w:t>
      </w:r>
      <w:r>
        <w:rPr>
          <w:rFonts w:hint="eastAsia" w:ascii="仿宋_GB2312" w:hAnsi="仿宋_GB2312" w:eastAsia="仿宋_GB2312" w:cs="仿宋_GB2312"/>
          <w:spacing w:val="-1"/>
        </w:rPr>
        <w:t>林沟镇</w:t>
      </w:r>
      <w:r>
        <w:rPr>
          <w:rFonts w:hint="eastAsia" w:ascii="仿宋_GB2312" w:hAnsi="仿宋_GB2312" w:eastAsia="仿宋_GB2312" w:cs="仿宋_GB2312"/>
          <w:spacing w:val="-1"/>
          <w:lang w:eastAsia="zh-CN"/>
        </w:rPr>
        <w:t>，</w:t>
      </w:r>
      <w:r>
        <w:rPr>
          <w:rFonts w:hint="eastAsia" w:ascii="仿宋_GB2312" w:hAnsi="仿宋_GB2312" w:eastAsia="仿宋_GB2312" w:cs="仿宋_GB2312"/>
          <w:spacing w:val="-1"/>
        </w:rPr>
        <w:t>原清水乡调整后为清水镇。</w:t>
      </w:r>
    </w:p>
    <w:p w14:paraId="7614E223">
      <w:pPr>
        <w:spacing w:line="360" w:lineRule="exact"/>
        <w:rPr>
          <w:rFonts w:ascii="Times New Roman" w:hAnsi="Times New Roman" w:cs="宋体"/>
          <w:spacing w:val="-1"/>
        </w:rPr>
        <w:sectPr>
          <w:footerReference r:id="rId9" w:type="default"/>
          <w:pgSz w:w="11907" w:h="16839"/>
          <w:pgMar w:top="1814" w:right="1134" w:bottom="1191" w:left="1134" w:header="1429" w:footer="1134" w:gutter="0"/>
          <w:pgNumType w:fmt="decimal"/>
          <w:cols w:space="0" w:num="1"/>
        </w:sectPr>
      </w:pPr>
    </w:p>
    <w:p w14:paraId="682B18C8">
      <w:pPr>
        <w:snapToGrid w:val="0"/>
        <w:spacing w:line="240" w:lineRule="auto"/>
        <w:rPr>
          <w:rFonts w:hint="eastAsia" w:ascii="Times New Roman" w:hAnsi="Times New Roman" w:cs="宋体"/>
          <w:spacing w:val="-1"/>
          <w:lang w:val="en-US" w:eastAsia="zh-CN"/>
        </w:rPr>
      </w:pPr>
    </w:p>
    <w:p w14:paraId="6995458E">
      <w:pPr>
        <w:pStyle w:val="3"/>
        <w:spacing w:before="70"/>
        <w:ind w:left="297" w:right="514"/>
        <w:jc w:val="center"/>
        <w:rPr>
          <w:rFonts w:hint="eastAsia" w:eastAsia="黑体" w:cs="黑体"/>
          <w:b/>
          <w:bCs/>
          <w:sz w:val="32"/>
          <w:szCs w:val="32"/>
          <w:lang w:val="en-US" w:eastAsia="zh-CN"/>
        </w:rPr>
      </w:pPr>
      <w:r>
        <w:rPr>
          <w:rFonts w:hint="eastAsia" w:eastAsia="黑体" w:cs="黑体"/>
          <w:b/>
          <w:bCs/>
          <w:sz w:val="32"/>
          <w:szCs w:val="32"/>
          <w:lang w:val="en-US" w:eastAsia="zh-CN"/>
        </w:rPr>
        <w:t>附  录  B</w:t>
      </w:r>
    </w:p>
    <w:p w14:paraId="69980496">
      <w:pPr>
        <w:pStyle w:val="3"/>
        <w:spacing w:before="59" w:line="221" w:lineRule="auto"/>
        <w:jc w:val="center"/>
        <w:outlineLvl w:val="0"/>
        <w:rPr>
          <w:rFonts w:hint="eastAsia"/>
          <w:b/>
          <w:bCs/>
          <w:spacing w:val="-5"/>
          <w:sz w:val="21"/>
          <w:szCs w:val="21"/>
          <w:lang w:val="en-US" w:eastAsia="zh-CN"/>
        </w:rPr>
      </w:pPr>
      <w:r>
        <w:rPr>
          <w:rFonts w:hint="eastAsia"/>
          <w:b/>
          <w:bCs/>
          <w:spacing w:val="-5"/>
          <w:sz w:val="21"/>
          <w:szCs w:val="21"/>
          <w:lang w:val="en-US" w:eastAsia="zh-CN"/>
        </w:rPr>
        <w:t>（规范性）</w:t>
      </w:r>
    </w:p>
    <w:p w14:paraId="1073C750">
      <w:pPr>
        <w:snapToGrid w:val="0"/>
        <w:spacing w:line="240" w:lineRule="auto"/>
        <w:jc w:val="center"/>
        <w:rPr>
          <w:rFonts w:hint="eastAsia" w:ascii="黑体" w:hAnsi="黑体" w:eastAsia="黑体" w:cs="黑体"/>
          <w:snapToGrid w:val="0"/>
          <w:color w:val="000000"/>
          <w:spacing w:val="-1"/>
          <w:kern w:val="0"/>
          <w:sz w:val="21"/>
          <w:szCs w:val="21"/>
          <w:lang w:val="en-US" w:eastAsia="zh-CN" w:bidi="ar-SA"/>
        </w:rPr>
      </w:pPr>
      <w:r>
        <w:rPr>
          <w:rFonts w:hint="eastAsia" w:ascii="黑体" w:hAnsi="黑体" w:eastAsia="黑体" w:cs="黑体"/>
          <w:snapToGrid w:val="0"/>
          <w:color w:val="000000"/>
          <w:spacing w:val="-1"/>
          <w:kern w:val="0"/>
          <w:sz w:val="21"/>
          <w:szCs w:val="21"/>
          <w:lang w:val="en-US" w:eastAsia="zh-CN" w:bidi="ar-SA"/>
        </w:rPr>
        <w:t>国家质量监督检验检疫总局《关于批准对达茂马铃薯等产品实施地理标志产品保护的公告》</w:t>
      </w:r>
    </w:p>
    <w:p w14:paraId="77519AB8">
      <w:pPr>
        <w:snapToGrid w:val="0"/>
        <w:spacing w:line="240" w:lineRule="auto"/>
        <w:jc w:val="center"/>
        <w:rPr>
          <w:rFonts w:hint="eastAsia" w:ascii="黑体" w:hAnsi="黑体" w:eastAsia="黑体" w:cs="黑体"/>
          <w:snapToGrid w:val="0"/>
          <w:color w:val="000000"/>
          <w:spacing w:val="-1"/>
          <w:kern w:val="0"/>
          <w:sz w:val="21"/>
          <w:szCs w:val="21"/>
          <w:lang w:val="en-US" w:eastAsia="zh-CN" w:bidi="ar-SA"/>
        </w:rPr>
      </w:pPr>
      <w:r>
        <w:rPr>
          <w:rFonts w:hint="eastAsia" w:ascii="黑体" w:hAnsi="黑体" w:eastAsia="黑体" w:cs="黑体"/>
          <w:snapToGrid w:val="0"/>
          <w:color w:val="000000"/>
          <w:spacing w:val="-1"/>
          <w:kern w:val="0"/>
          <w:sz w:val="21"/>
          <w:szCs w:val="21"/>
          <w:lang w:val="en-US" w:eastAsia="zh-CN" w:bidi="ar-SA"/>
        </w:rPr>
        <w:t>（2015 年 第 162 号）</w:t>
      </w:r>
    </w:p>
    <w:p w14:paraId="6B7FF377">
      <w:pPr>
        <w:snapToGrid w:val="0"/>
        <w:spacing w:line="240" w:lineRule="auto"/>
        <w:rPr>
          <w:rFonts w:hint="eastAsia" w:ascii="Times New Roman" w:hAnsi="Times New Roman" w:cs="宋体"/>
          <w:spacing w:val="-1"/>
          <w:lang w:val="en-US" w:eastAsia="zh-CN"/>
        </w:rPr>
      </w:pPr>
    </w:p>
    <w:p w14:paraId="7811C7CD">
      <w:pPr>
        <w:pStyle w:val="3"/>
        <w:spacing w:before="70"/>
        <w:ind w:left="297" w:right="514"/>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根据《地理标志产品保护规定》，质检总局组织专家对达茂马铃薯、内蒙古肉苁蓉、梁山西瓜（小梁山西瓜）、洮南香酒、海伦大米、海伦大豆、桦川大米、克山马铃薯（克山土豆）、克山大豆、海安 桑蚕茧、霍山黄大茶、黄山白茶（徽州白茶）、怀宁贡糕、岳西桑皮纸、三潭枇杷、歙砚、徽墨、云门 陈</w:t>
      </w:r>
      <w:r>
        <w:rPr>
          <w:rFonts w:hint="eastAsia" w:eastAsia="黑体" w:cs="黑体"/>
          <w:b/>
          <w:bCs/>
          <w:sz w:val="32"/>
          <w:szCs w:val="32"/>
          <w:lang w:val="en-US" w:eastAsia="zh-CN"/>
        </w:rPr>
        <w:t>酿酒</w:t>
      </w:r>
      <w:r>
        <w:rPr>
          <w:rFonts w:hint="eastAsia" w:ascii="仿宋_GB2312" w:hAnsi="仿宋_GB2312" w:eastAsia="仿宋_GB2312" w:cs="仿宋_GB2312"/>
          <w:lang w:val="en-US" w:eastAsia="zh-CN"/>
        </w:rPr>
        <w:t>、崇阳雷竹笋、观音湖绿茶、洪湖藕带、房县北柴胡、古泉清酒、武当酒、黄梅堆花酒、郧阳黑 猪、融水香鸭、王家贡米、合江金钗石斛、红原牦牛奶、红原牦牛奶粉、黄甲麻羊、蒲江丑柑、威远无 花果、米易红糖、林芝松茸、林芝藏香猪、墨脱石锅、米林藏鸡、加查核桃、亚东黑木耳、艾玛土豆、八宿荞麦、类乌齐牦牛肉、嘉黎牦牛（娘亚牦牛）、户县黄酒、热贡唐卡、玛纳斯碧玉等48个地理标志产品保护申请进行审查。经审查合格，批准上述产品为地理标志保护产品，自即日起实施保护。</w:t>
      </w:r>
    </w:p>
    <w:p w14:paraId="6AFFB7AD">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二十八、王家贡米</w:t>
      </w:r>
    </w:p>
    <w:p w14:paraId="0951920C">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（一）产地范围</w:t>
      </w:r>
    </w:p>
    <w:p w14:paraId="0BB8CAC5">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王家贡米产地范围为四川省广元市昭化区王家镇、磨滩镇、柏林沟镇、晋贤乡、文村乡、清水乡、卫子镇现辖行政区域。</w:t>
      </w:r>
    </w:p>
    <w:p w14:paraId="661164C4">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（二）专用标志使用</w:t>
      </w:r>
    </w:p>
    <w:p w14:paraId="19FBE5DE">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王家贡米产地范围内的生产者，可向四川省广元市质量技术监督局昭化区分局提出使用“地理标志 产品专用标志”的申请，经四川省质量技术监督局审核，报质检总局核准后予以公告。王家贡米的检测机构由四川省质量技术监督局在符合资质要求的检测机构中选定。</w:t>
      </w:r>
    </w:p>
    <w:p w14:paraId="27B1008A">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 xml:space="preserve">（三）质量技术要求 </w:t>
      </w:r>
    </w:p>
    <w:p w14:paraId="52A563A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王家贡米质量技术要求</w:t>
      </w:r>
    </w:p>
    <w:p w14:paraId="5F3D7556">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一、品种</w:t>
      </w:r>
    </w:p>
    <w:p w14:paraId="3772CA60">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当地中晚籼稻地方品种，品种名称：刷巴谷。</w:t>
      </w:r>
    </w:p>
    <w:p w14:paraId="70651BA0">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二、立地条件</w:t>
      </w:r>
    </w:p>
    <w:p w14:paraId="28BF0763">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海拔600至900 m区间盆地丘陵向山区过渡地带，昼夜温差9至12 ℃, 土壤为黄红紫泥土，pH值5至7，土壤有机质含量≥1%。</w:t>
      </w:r>
    </w:p>
    <w:p w14:paraId="3EFDA24F">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三、栽培管理</w:t>
      </w:r>
    </w:p>
    <w:p w14:paraId="5BC1047D">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 育秧：水育秧，地膜覆盖保温。保温催芽。育秧时间4月上旬至中旬，气温稳定在12 ℃开始播种，每平方米播芽谷200 g至300 g。苗秧龄40天至50天。</w:t>
      </w:r>
    </w:p>
    <w:p w14:paraId="736CD8BD">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 插秧：每亩（667㎡）栽秧≤17000穴。插秧时间5月中旬至下旬。</w:t>
      </w:r>
    </w:p>
    <w:p w14:paraId="1616AA6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 施肥：亩用腐熟的厩肥≤1500 kg加养分含量40%的复合肥耕耙施入。</w:t>
      </w:r>
    </w:p>
    <w:p w14:paraId="23C095C2">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 收获：9月下旬至10月上旬，当95%以上的稻穗谷粒黄熟时收割。</w:t>
      </w:r>
    </w:p>
    <w:p w14:paraId="6E6BBC86">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5．环境、安全要求：农药、化肥等的使用必须符合国家的相关规定，不得污染环境。</w:t>
      </w:r>
    </w:p>
    <w:p w14:paraId="3B8A213C">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四、加工工艺</w:t>
      </w:r>
    </w:p>
    <w:p w14:paraId="3544CE54">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初清→风选→磁选→去石→砻谷→选糙→碾米→抛光→色选→分级包装。</w:t>
      </w:r>
    </w:p>
    <w:p w14:paraId="29E00DE5">
      <w:pPr>
        <w:spacing w:line="360" w:lineRule="exact"/>
        <w:ind w:firstLine="420" w:firstLineChars="200"/>
        <w:rPr>
          <w:rFonts w:hint="eastAsia" w:ascii="黑体" w:hAnsi="黑体" w:eastAsia="黑体" w:cs="黑体"/>
          <w:lang w:val="en-US" w:eastAsia="zh-CN"/>
        </w:rPr>
      </w:pPr>
      <w:r>
        <w:rPr>
          <w:rFonts w:hint="eastAsia" w:ascii="黑体" w:hAnsi="黑体" w:eastAsia="黑体" w:cs="黑体"/>
          <w:lang w:val="en-US" w:eastAsia="zh-CN"/>
        </w:rPr>
        <w:t>五、质量特色</w:t>
      </w:r>
    </w:p>
    <w:p w14:paraId="35F49EC0">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1.感官特征：米粒细小，形态纤细匀称，垩白小。米质半透明，油滑光亮，具有大米固有的自然 清香味。煮时清香四溢，浓郁持久，入口软糯，冷后不返生。</w:t>
      </w:r>
    </w:p>
    <w:p w14:paraId="3F277AEF">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2.特色理化指标：垩白粒率≤10%，胶稠度（mm）≥70。</w:t>
      </w:r>
    </w:p>
    <w:p w14:paraId="25F9F04E">
      <w:pPr>
        <w:spacing w:line="360" w:lineRule="exact"/>
        <w:ind w:firstLine="42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3.安全及其他质量技术要求：产品安全及其他质量技术要求必须符合国家相关规定。</w:t>
      </w:r>
    </w:p>
    <w:p w14:paraId="499DB0C1">
      <w:pPr>
        <w:snapToGrid w:val="0"/>
        <w:spacing w:line="240" w:lineRule="auto"/>
        <w:rPr>
          <w:rFonts w:hint="eastAsia" w:ascii="Times New Roman" w:hAnsi="Times New Roman" w:cs="宋体"/>
          <w:spacing w:val="-1"/>
          <w:lang w:val="en-US" w:eastAsia="zh-CN"/>
        </w:rPr>
      </w:pPr>
    </w:p>
    <w:p w14:paraId="297AF437">
      <w:pPr>
        <w:snapToGrid w:val="0"/>
        <w:spacing w:line="240" w:lineRule="auto"/>
        <w:rPr>
          <w:rFonts w:hint="eastAsia" w:ascii="Times New Roman" w:hAnsi="Times New Roman" w:cs="宋体"/>
          <w:spacing w:val="-1"/>
          <w:lang w:val="en-US" w:eastAsia="zh-CN"/>
        </w:rPr>
      </w:pPr>
    </w:p>
    <w:p w14:paraId="71A22C5D">
      <w:pPr>
        <w:snapToGrid w:val="0"/>
        <w:spacing w:line="240" w:lineRule="auto"/>
        <w:rPr>
          <w:rFonts w:hint="eastAsia" w:ascii="Times New Roman" w:hAnsi="Times New Roman" w:cs="宋体"/>
          <w:spacing w:val="-1"/>
          <w:lang w:val="en-US" w:eastAsia="zh-CN"/>
        </w:rPr>
      </w:pPr>
    </w:p>
    <w:p w14:paraId="3BF9BC92">
      <w:pPr>
        <w:snapToGrid w:val="0"/>
        <w:spacing w:line="240" w:lineRule="auto"/>
        <w:rPr>
          <w:rFonts w:hint="eastAsia" w:ascii="Times New Roman" w:hAnsi="Times New Roman" w:cs="宋体"/>
          <w:spacing w:val="-1"/>
          <w:lang w:val="en-US" w:eastAsia="zh-CN"/>
        </w:rPr>
      </w:pPr>
    </w:p>
    <w:p w14:paraId="4A32405B">
      <w:pPr>
        <w:snapToGrid w:val="0"/>
        <w:spacing w:line="240" w:lineRule="auto"/>
        <w:rPr>
          <w:rFonts w:hint="eastAsia" w:ascii="Times New Roman" w:hAnsi="Times New Roman" w:cs="宋体"/>
          <w:spacing w:val="-1"/>
          <w:lang w:val="en-US" w:eastAsia="zh-CN"/>
        </w:rPr>
      </w:pPr>
    </w:p>
    <w:p w14:paraId="422D4C57">
      <w:pPr>
        <w:snapToGrid w:val="0"/>
        <w:spacing w:line="240" w:lineRule="auto"/>
        <w:rPr>
          <w:rFonts w:hint="eastAsia" w:ascii="Times New Roman" w:hAnsi="Times New Roman" w:cs="宋体"/>
          <w:spacing w:val="-1"/>
          <w:lang w:val="en-US" w:eastAsia="zh-CN"/>
        </w:rPr>
      </w:pPr>
    </w:p>
    <w:p w14:paraId="6A8F8AC4">
      <w:pPr>
        <w:snapToGrid w:val="0"/>
        <w:spacing w:line="240" w:lineRule="auto"/>
        <w:rPr>
          <w:rFonts w:hint="eastAsia" w:ascii="Times New Roman" w:hAnsi="Times New Roman" w:cs="宋体"/>
          <w:spacing w:val="-1"/>
          <w:lang w:val="en-US" w:eastAsia="zh-CN"/>
        </w:rPr>
      </w:pPr>
    </w:p>
    <w:p w14:paraId="47879689">
      <w:pPr>
        <w:snapToGrid w:val="0"/>
        <w:spacing w:line="240" w:lineRule="auto"/>
        <w:rPr>
          <w:rFonts w:hint="eastAsia" w:ascii="Times New Roman" w:hAnsi="Times New Roman" w:cs="宋体"/>
          <w:spacing w:val="-1"/>
          <w:lang w:val="en-US" w:eastAsia="zh-CN"/>
        </w:rPr>
      </w:pPr>
    </w:p>
    <w:p w14:paraId="373BF7DB">
      <w:pPr>
        <w:snapToGrid w:val="0"/>
        <w:spacing w:line="240" w:lineRule="auto"/>
        <w:rPr>
          <w:rFonts w:hint="eastAsia" w:ascii="Times New Roman" w:hAnsi="Times New Roman" w:cs="宋体"/>
          <w:spacing w:val="-1"/>
          <w:lang w:val="en-US" w:eastAsia="zh-CN"/>
        </w:rPr>
      </w:pPr>
    </w:p>
    <w:p w14:paraId="16A36633">
      <w:pPr>
        <w:snapToGrid w:val="0"/>
        <w:spacing w:line="240" w:lineRule="auto"/>
        <w:rPr>
          <w:rFonts w:hint="eastAsia" w:ascii="Times New Roman" w:hAnsi="Times New Roman" w:cs="宋体"/>
          <w:spacing w:val="-1"/>
          <w:lang w:val="en-US" w:eastAsia="zh-CN"/>
        </w:rPr>
      </w:pPr>
    </w:p>
    <w:p w14:paraId="7CEE5A0D">
      <w:pPr>
        <w:snapToGrid w:val="0"/>
        <w:spacing w:line="240" w:lineRule="auto"/>
        <w:rPr>
          <w:rFonts w:hint="eastAsia" w:ascii="Times New Roman" w:hAnsi="Times New Roman" w:cs="宋体"/>
          <w:spacing w:val="-1"/>
          <w:lang w:val="en-US" w:eastAsia="zh-CN"/>
        </w:rPr>
      </w:pPr>
    </w:p>
    <w:p w14:paraId="1D5D4E94">
      <w:pPr>
        <w:snapToGrid w:val="0"/>
        <w:spacing w:line="240" w:lineRule="auto"/>
        <w:rPr>
          <w:rFonts w:hint="eastAsia" w:ascii="Times New Roman" w:hAnsi="Times New Roman" w:cs="宋体"/>
          <w:spacing w:val="-1"/>
          <w:lang w:val="en-US" w:eastAsia="zh-CN"/>
        </w:rPr>
      </w:pPr>
    </w:p>
    <w:p w14:paraId="0BC6C4E1">
      <w:pPr>
        <w:snapToGrid w:val="0"/>
        <w:spacing w:line="240" w:lineRule="auto"/>
        <w:rPr>
          <w:rFonts w:hint="eastAsia" w:ascii="Times New Roman" w:hAnsi="Times New Roman" w:cs="宋体"/>
          <w:spacing w:val="-1"/>
          <w:lang w:val="en-US" w:eastAsia="zh-CN"/>
        </w:rPr>
      </w:pPr>
    </w:p>
    <w:p w14:paraId="4C04A00E">
      <w:pPr>
        <w:snapToGrid w:val="0"/>
        <w:spacing w:line="240" w:lineRule="auto"/>
        <w:rPr>
          <w:rFonts w:hint="eastAsia" w:ascii="Times New Roman" w:hAnsi="Times New Roman" w:cs="宋体"/>
          <w:spacing w:val="-1"/>
          <w:lang w:val="en-US" w:eastAsia="zh-CN"/>
        </w:rPr>
      </w:pPr>
    </w:p>
    <w:p w14:paraId="2B3D6AB4">
      <w:pPr>
        <w:snapToGrid w:val="0"/>
        <w:spacing w:line="240" w:lineRule="auto"/>
        <w:rPr>
          <w:rFonts w:hint="eastAsia" w:ascii="Times New Roman" w:hAnsi="Times New Roman" w:cs="宋体"/>
          <w:spacing w:val="-1"/>
          <w:lang w:val="en-US" w:eastAsia="zh-CN"/>
        </w:rPr>
      </w:pPr>
    </w:p>
    <w:p w14:paraId="7EAD5A51">
      <w:pPr>
        <w:snapToGrid w:val="0"/>
        <w:spacing w:line="240" w:lineRule="auto"/>
        <w:rPr>
          <w:rFonts w:hint="eastAsia" w:ascii="Times New Roman" w:hAnsi="Times New Roman" w:cs="宋体"/>
          <w:spacing w:val="-1"/>
          <w:lang w:val="en-US" w:eastAsia="zh-CN"/>
        </w:rPr>
      </w:pPr>
    </w:p>
    <w:p w14:paraId="561AA0BD">
      <w:pPr>
        <w:snapToGrid w:val="0"/>
        <w:spacing w:line="240" w:lineRule="auto"/>
        <w:rPr>
          <w:rFonts w:hint="eastAsia" w:ascii="Times New Roman" w:hAnsi="Times New Roman" w:cs="宋体"/>
          <w:spacing w:val="-1"/>
          <w:lang w:val="en-US" w:eastAsia="zh-CN"/>
        </w:rPr>
      </w:pPr>
    </w:p>
    <w:p w14:paraId="55516823">
      <w:pPr>
        <w:snapToGrid w:val="0"/>
        <w:spacing w:line="240" w:lineRule="auto"/>
        <w:rPr>
          <w:rFonts w:hint="eastAsia" w:ascii="Times New Roman" w:hAnsi="Times New Roman" w:cs="宋体"/>
          <w:spacing w:val="-1"/>
          <w:lang w:val="en-US" w:eastAsia="zh-CN"/>
        </w:rPr>
      </w:pPr>
    </w:p>
    <w:p w14:paraId="1DC26AB2">
      <w:pPr>
        <w:snapToGrid w:val="0"/>
        <w:spacing w:line="240" w:lineRule="auto"/>
        <w:rPr>
          <w:rFonts w:hint="eastAsia" w:ascii="Times New Roman" w:hAnsi="Times New Roman" w:cs="宋体"/>
          <w:spacing w:val="-1"/>
          <w:lang w:val="en-US" w:eastAsia="zh-CN"/>
        </w:rPr>
      </w:pPr>
    </w:p>
    <w:p w14:paraId="6C93D1E5">
      <w:pPr>
        <w:snapToGrid w:val="0"/>
        <w:spacing w:line="240" w:lineRule="auto"/>
        <w:rPr>
          <w:rFonts w:hint="eastAsia" w:ascii="Times New Roman" w:hAnsi="Times New Roman" w:cs="宋体"/>
          <w:spacing w:val="-1"/>
          <w:lang w:val="en-US" w:eastAsia="zh-CN"/>
        </w:rPr>
      </w:pPr>
    </w:p>
    <w:p w14:paraId="62979A7D">
      <w:pPr>
        <w:snapToGrid w:val="0"/>
        <w:spacing w:line="240" w:lineRule="auto"/>
        <w:rPr>
          <w:rFonts w:hint="eastAsia" w:ascii="Times New Roman" w:hAnsi="Times New Roman" w:cs="宋体"/>
          <w:spacing w:val="-1"/>
          <w:lang w:val="en-US" w:eastAsia="zh-CN"/>
        </w:rPr>
      </w:pPr>
    </w:p>
    <w:p w14:paraId="5D6D2D59">
      <w:pPr>
        <w:snapToGrid w:val="0"/>
        <w:spacing w:line="240" w:lineRule="auto"/>
        <w:rPr>
          <w:rFonts w:hint="eastAsia" w:ascii="Times New Roman" w:hAnsi="Times New Roman" w:cs="宋体"/>
          <w:spacing w:val="-1"/>
          <w:lang w:val="en-US" w:eastAsia="zh-CN"/>
        </w:rPr>
      </w:pPr>
    </w:p>
    <w:p w14:paraId="0EFB8033">
      <w:pPr>
        <w:snapToGrid w:val="0"/>
        <w:spacing w:line="240" w:lineRule="auto"/>
        <w:rPr>
          <w:rFonts w:hint="eastAsia" w:ascii="Times New Roman" w:hAnsi="Times New Roman" w:cs="宋体"/>
          <w:spacing w:val="-1"/>
          <w:lang w:val="en-US" w:eastAsia="zh-CN"/>
        </w:rPr>
      </w:pPr>
    </w:p>
    <w:p w14:paraId="2E19827F">
      <w:pPr>
        <w:snapToGrid w:val="0"/>
        <w:spacing w:line="240" w:lineRule="auto"/>
        <w:rPr>
          <w:rFonts w:hint="eastAsia" w:ascii="Times New Roman" w:hAnsi="Times New Roman" w:cs="宋体"/>
          <w:spacing w:val="-1"/>
          <w:lang w:val="en-US" w:eastAsia="zh-CN"/>
        </w:rPr>
      </w:pPr>
    </w:p>
    <w:p w14:paraId="220DCED3">
      <w:pPr>
        <w:snapToGrid w:val="0"/>
        <w:spacing w:line="240" w:lineRule="auto"/>
        <w:rPr>
          <w:rFonts w:hint="eastAsia" w:ascii="Times New Roman" w:hAnsi="Times New Roman" w:cs="宋体"/>
          <w:spacing w:val="-1"/>
          <w:lang w:val="en-US" w:eastAsia="zh-CN"/>
        </w:rPr>
      </w:pPr>
    </w:p>
    <w:p w14:paraId="4DC33F50">
      <w:pPr>
        <w:snapToGrid w:val="0"/>
        <w:spacing w:line="240" w:lineRule="auto"/>
        <w:rPr>
          <w:rFonts w:hint="eastAsia" w:ascii="Times New Roman" w:hAnsi="Times New Roman" w:cs="宋体"/>
          <w:spacing w:val="-1"/>
          <w:lang w:val="en-US" w:eastAsia="zh-CN"/>
        </w:rPr>
      </w:pPr>
    </w:p>
    <w:p w14:paraId="23834689">
      <w:pPr>
        <w:snapToGrid w:val="0"/>
        <w:spacing w:line="240" w:lineRule="auto"/>
        <w:rPr>
          <w:rFonts w:hint="eastAsia" w:ascii="Times New Roman" w:hAnsi="Times New Roman" w:cs="宋体"/>
          <w:spacing w:val="-1"/>
          <w:lang w:val="en-US" w:eastAsia="zh-CN"/>
        </w:rPr>
      </w:pPr>
    </w:p>
    <w:p w14:paraId="4DF189BE">
      <w:pPr>
        <w:snapToGrid w:val="0"/>
        <w:spacing w:line="240" w:lineRule="auto"/>
        <w:rPr>
          <w:rFonts w:hint="eastAsia" w:ascii="Times New Roman" w:hAnsi="Times New Roman" w:cs="宋体"/>
          <w:spacing w:val="-1"/>
          <w:lang w:val="en-US" w:eastAsia="zh-CN"/>
        </w:rPr>
      </w:pPr>
    </w:p>
    <w:p w14:paraId="2CF119BC">
      <w:pPr>
        <w:snapToGrid w:val="0"/>
        <w:spacing w:line="240" w:lineRule="auto"/>
        <w:rPr>
          <w:rFonts w:hint="eastAsia" w:ascii="Times New Roman" w:hAnsi="Times New Roman" w:cs="宋体"/>
          <w:spacing w:val="-1"/>
          <w:lang w:val="en-US" w:eastAsia="zh-CN"/>
        </w:rPr>
      </w:pPr>
    </w:p>
    <w:p w14:paraId="7061EA88">
      <w:pPr>
        <w:snapToGrid w:val="0"/>
        <w:spacing w:line="240" w:lineRule="auto"/>
        <w:rPr>
          <w:rFonts w:hint="eastAsia" w:ascii="Times New Roman" w:hAnsi="Times New Roman" w:cs="宋体"/>
          <w:spacing w:val="-1"/>
          <w:lang w:val="en-US" w:eastAsia="zh-CN"/>
        </w:rPr>
      </w:pPr>
    </w:p>
    <w:p w14:paraId="3DF895BC">
      <w:pPr>
        <w:snapToGrid w:val="0"/>
        <w:spacing w:line="240" w:lineRule="auto"/>
        <w:rPr>
          <w:rFonts w:hint="eastAsia" w:ascii="Times New Roman" w:hAnsi="Times New Roman" w:cs="宋体"/>
          <w:spacing w:val="-1"/>
          <w:lang w:val="en-US" w:eastAsia="zh-CN"/>
        </w:rPr>
      </w:pPr>
    </w:p>
    <w:p w14:paraId="32B1BD3E">
      <w:pPr>
        <w:snapToGrid w:val="0"/>
        <w:spacing w:line="240" w:lineRule="auto"/>
        <w:rPr>
          <w:rFonts w:hint="eastAsia" w:ascii="Times New Roman" w:hAnsi="Times New Roman" w:cs="宋体"/>
          <w:spacing w:val="-1"/>
          <w:lang w:val="en-US" w:eastAsia="zh-CN"/>
        </w:rPr>
      </w:pPr>
    </w:p>
    <w:p w14:paraId="2D555430">
      <w:pPr>
        <w:snapToGrid w:val="0"/>
        <w:spacing w:line="240" w:lineRule="auto"/>
        <w:rPr>
          <w:rFonts w:hint="eastAsia" w:ascii="Times New Roman" w:hAnsi="Times New Roman" w:cs="宋体"/>
          <w:spacing w:val="-1"/>
          <w:lang w:val="en-US" w:eastAsia="zh-CN"/>
        </w:rPr>
      </w:pPr>
    </w:p>
    <w:p w14:paraId="6B809AE7">
      <w:pPr>
        <w:snapToGrid w:val="0"/>
        <w:spacing w:line="240" w:lineRule="auto"/>
        <w:rPr>
          <w:rFonts w:hint="eastAsia" w:ascii="Times New Roman" w:hAnsi="Times New Roman" w:cs="宋体"/>
          <w:spacing w:val="-1"/>
          <w:lang w:val="en-US" w:eastAsia="zh-CN"/>
        </w:rPr>
      </w:pPr>
    </w:p>
    <w:p w14:paraId="4DAED49A">
      <w:pPr>
        <w:snapToGrid w:val="0"/>
        <w:spacing w:line="240" w:lineRule="auto"/>
        <w:rPr>
          <w:rFonts w:hint="eastAsia" w:ascii="Times New Roman" w:hAnsi="Times New Roman" w:cs="宋体"/>
          <w:spacing w:val="-1"/>
          <w:lang w:val="en-US" w:eastAsia="zh-CN"/>
        </w:rPr>
      </w:pPr>
    </w:p>
    <w:p w14:paraId="73B5E0A4">
      <w:pPr>
        <w:snapToGrid w:val="0"/>
        <w:spacing w:line="240" w:lineRule="auto"/>
        <w:rPr>
          <w:rFonts w:hint="eastAsia" w:ascii="Times New Roman" w:hAnsi="Times New Roman" w:cs="宋体"/>
          <w:spacing w:val="-1"/>
          <w:lang w:val="en-US" w:eastAsia="zh-CN"/>
        </w:rPr>
      </w:pPr>
    </w:p>
    <w:p w14:paraId="567D9E8A">
      <w:pPr>
        <w:snapToGrid w:val="0"/>
        <w:spacing w:line="240" w:lineRule="auto"/>
        <w:rPr>
          <w:rFonts w:hint="eastAsia" w:ascii="Times New Roman" w:hAnsi="Times New Roman" w:cs="宋体"/>
          <w:spacing w:val="-1"/>
          <w:lang w:val="en-US" w:eastAsia="zh-CN"/>
        </w:rPr>
      </w:pPr>
    </w:p>
    <w:p w14:paraId="13CDA24F">
      <w:pPr>
        <w:snapToGrid w:val="0"/>
        <w:spacing w:line="240" w:lineRule="auto"/>
        <w:rPr>
          <w:rFonts w:hint="eastAsia" w:ascii="Times New Roman" w:hAnsi="Times New Roman" w:cs="宋体"/>
          <w:spacing w:val="-1"/>
          <w:lang w:val="en-US" w:eastAsia="zh-CN"/>
        </w:rPr>
      </w:pPr>
    </w:p>
    <w:p w14:paraId="743CE035">
      <w:pPr>
        <w:snapToGrid w:val="0"/>
        <w:spacing w:line="240" w:lineRule="auto"/>
        <w:rPr>
          <w:rFonts w:hint="eastAsia" w:ascii="Times New Roman" w:hAnsi="Times New Roman" w:cs="宋体"/>
          <w:spacing w:val="-1"/>
          <w:lang w:val="en-US" w:eastAsia="zh-CN"/>
        </w:rPr>
      </w:pPr>
    </w:p>
    <w:p w14:paraId="13DDA70A">
      <w:pPr>
        <w:snapToGrid w:val="0"/>
        <w:spacing w:line="240" w:lineRule="auto"/>
        <w:rPr>
          <w:rFonts w:hint="eastAsia" w:ascii="Times New Roman" w:hAnsi="Times New Roman" w:cs="宋体"/>
          <w:spacing w:val="-1"/>
          <w:lang w:val="en-US" w:eastAsia="zh-CN"/>
        </w:rPr>
      </w:pPr>
    </w:p>
    <w:p w14:paraId="3C0B26B7">
      <w:pPr>
        <w:snapToGrid w:val="0"/>
        <w:spacing w:line="240" w:lineRule="auto"/>
        <w:rPr>
          <w:rFonts w:hint="eastAsia" w:ascii="Times New Roman" w:hAnsi="Times New Roman" w:cs="宋体"/>
          <w:spacing w:val="-1"/>
          <w:lang w:val="en-US" w:eastAsia="zh-CN"/>
        </w:rPr>
      </w:pPr>
    </w:p>
    <w:p w14:paraId="4028A89F">
      <w:pPr>
        <w:snapToGrid w:val="0"/>
        <w:spacing w:line="240" w:lineRule="auto"/>
        <w:rPr>
          <w:rFonts w:hint="eastAsia" w:ascii="Times New Roman" w:hAnsi="Times New Roman" w:cs="宋体"/>
          <w:spacing w:val="-1"/>
          <w:lang w:val="en-US" w:eastAsia="zh-CN"/>
        </w:rPr>
      </w:pPr>
    </w:p>
    <w:sectPr>
      <w:footerReference r:id="rId10"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5631C">
    <w:pPr>
      <w:pStyle w:val="12"/>
      <w:jc w:val="both"/>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FE8E02">
                          <w:pPr>
                            <w:pStyle w:val="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70FE8E02">
                    <w:pPr>
                      <w:pStyle w:val="4"/>
                    </w:pPr>
                    <w:r>
                      <w:fldChar w:fldCharType="begin"/>
                    </w:r>
                    <w:r>
                      <w:instrText xml:space="preserve"> PAGE  \* MERGEFORMAT </w:instrText>
                    </w:r>
                    <w:r>
                      <w:fldChar w:fldCharType="separate"/>
                    </w:r>
                    <w:r>
                      <w:t>I</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9A30DE">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529A30DE">
                    <w:pPr>
                      <w:pStyle w:val="1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63377">
    <w:pPr>
      <w:spacing w:line="169" w:lineRule="auto"/>
      <w:rPr>
        <w:rFonts w:hint="eastAsia" w:ascii="宋体" w:hAnsi="宋体" w:cs="宋体"/>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11591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211591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C561A">
    <w:pPr>
      <w:spacing w:line="169" w:lineRule="auto"/>
      <w:rPr>
        <w:rFonts w:hint="eastAsia" w:ascii="宋体" w:hAnsi="宋体" w:cs="宋体"/>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A8A00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8A8A00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D9830">
    <w:pPr>
      <w:spacing w:line="169" w:lineRule="auto"/>
      <w:rPr>
        <w:rFonts w:hint="eastAsia" w:ascii="宋体" w:hAnsi="宋体" w:cs="宋体"/>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B8F908">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5CB8F908">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93370">
    <w:pPr>
      <w:pStyle w:val="12"/>
      <w:jc w:val="both"/>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FC5827">
                          <w:pPr>
                            <w:pStyle w:val="4"/>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2FC5827">
                    <w:pPr>
                      <w:pStyle w:val="4"/>
                    </w:pPr>
                    <w:r>
                      <w:fldChar w:fldCharType="begin"/>
                    </w:r>
                    <w:r>
                      <w:instrText xml:space="preserve"> PAGE  \* MERGEFORMAT </w:instrText>
                    </w:r>
                    <w:r>
                      <w:fldChar w:fldCharType="separate"/>
                    </w:r>
                    <w:r>
                      <w:t>I</w:t>
                    </w:r>
                    <w:r>
                      <w:fldChar w:fldCharType="end"/>
                    </w: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posOffset>2595880</wp:posOffset>
              </wp:positionH>
              <wp:positionV relativeFrom="paragraph">
                <wp:posOffset>0</wp:posOffset>
              </wp:positionV>
              <wp:extent cx="15621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5621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6C542">
                          <w:pPr>
                            <w:pStyle w:val="4"/>
                            <w:rPr>
                              <w:rFonts w:hint="eastAsia" w:eastAsia="宋体"/>
                              <w:lang w:val="en-US" w:eastAsia="zh-CN"/>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4pt;margin-top:0pt;height:144pt;width:12.3pt;mso-position-horizontal-relative:margin;z-index:251662336;mso-width-relative:page;mso-height-relative:page;" filled="f" stroked="f" coordsize="21600,21600" o:gfxdata="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8JODS1wAAAAgBAAAPAAAAAAAAAAEAIAAAACIAAABkcnMvZG93bnJl&#10;di54bWxQSwECFAAUAAAACACHTuJAIyFe+zcCAABkBAAADgAAAAAAAAABACAAAAAmAQAAZHJzL2Uy&#10;b0RvYy54bWxQSwUGAAAAAAYABgBZAQAAzwUAAAAA&#10;">
              <v:fill on="f" focussize="0,0"/>
              <v:stroke on="f" weight="0.5pt"/>
              <v:imagedata o:title=""/>
              <o:lock v:ext="edit" aspectratio="f"/>
              <v:textbox inset="0mm,0mm,0mm,0mm" style="mso-fit-shape-to-text:t;">
                <w:txbxContent>
                  <w:p w14:paraId="39D6C542">
                    <w:pPr>
                      <w:pStyle w:val="4"/>
                      <w:rPr>
                        <w:rFonts w:hint="eastAsia" w:eastAsia="宋体"/>
                        <w:lang w:val="en-US" w:eastAsia="zh-CN"/>
                      </w:rPr>
                    </w:pP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2AA46">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6B12AA46">
                    <w:pPr>
                      <w:pStyle w:val="12"/>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4BC6C">
    <w:pPr>
      <w:pStyle w:val="3"/>
      <w:spacing w:before="18" w:line="177" w:lineRule="auto"/>
      <w:ind w:firstLine="7350" w:firstLineChars="3500"/>
      <w:rPr>
        <w:rFonts w:hint="default" w:eastAsia="宋体"/>
        <w:sz w:val="21"/>
        <w:szCs w:val="21"/>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pStyle w:val="10"/>
      <w:lvlText w:val="%1"/>
      <w:lvlJc w:val="left"/>
      <w:pPr>
        <w:ind w:left="425" w:hanging="425"/>
      </w:pPr>
      <w:rPr>
        <w:rFonts w:hint="eastAsia" w:cs="Times New Roman"/>
      </w:rPr>
    </w:lvl>
    <w:lvl w:ilvl="1" w:tentative="0">
      <w:start w:val="1"/>
      <w:numFmt w:val="decimal"/>
      <w:suff w:val="nothing"/>
      <w:lvlText w:val="%10.%2 "/>
      <w:lvlJc w:val="left"/>
      <w:rPr>
        <w:rFonts w:hint="eastAsia" w:ascii="黑体" w:hAnsi="等线" w:eastAsia="黑体" w:cs="Times New Roman"/>
        <w:b w:val="0"/>
        <w:i w:val="0"/>
        <w:sz w:val="21"/>
      </w:rPr>
    </w:lvl>
    <w:lvl w:ilvl="2" w:tentative="0">
      <w:start w:val="1"/>
      <w:numFmt w:val="decimal"/>
      <w:suff w:val="nothing"/>
      <w:lvlText w:val="%10.%2.%3 "/>
      <w:lvlJc w:val="left"/>
      <w:rPr>
        <w:rFonts w:hint="eastAsia" w:ascii="黑体" w:hAnsi="等线" w:eastAsia="黑体" w:cs="Times New Roman"/>
        <w:b w:val="0"/>
        <w:i w:val="0"/>
        <w:sz w:val="21"/>
      </w:rPr>
    </w:lvl>
    <w:lvl w:ilvl="3" w:tentative="0">
      <w:start w:val="1"/>
      <w:numFmt w:val="decimal"/>
      <w:suff w:val="nothing"/>
      <w:lvlText w:val="%10.%2.%3.%4 "/>
      <w:lvlJc w:val="left"/>
      <w:rPr>
        <w:rFonts w:hint="eastAsia" w:ascii="黑体" w:hAnsi="等线" w:eastAsia="黑体" w:cs="Times New Roman"/>
        <w:b w:val="0"/>
        <w:i w:val="0"/>
        <w:sz w:val="21"/>
      </w:rPr>
    </w:lvl>
    <w:lvl w:ilvl="4" w:tentative="0">
      <w:start w:val="1"/>
      <w:numFmt w:val="decimal"/>
      <w:suff w:val="nothing"/>
      <w:lvlText w:val="%10.%2.%3.%4.%5 "/>
      <w:lvlJc w:val="left"/>
      <w:rPr>
        <w:rFonts w:hint="eastAsia" w:ascii="黑体" w:hAnsi="等线" w:eastAsia="黑体" w:cs="Times New Roman"/>
        <w:b w:val="0"/>
        <w:i w:val="0"/>
        <w:sz w:val="21"/>
      </w:rPr>
    </w:lvl>
    <w:lvl w:ilvl="5" w:tentative="0">
      <w:start w:val="1"/>
      <w:numFmt w:val="decimal"/>
      <w:suff w:val="nothing"/>
      <w:lvlText w:val="%10.%2.%3.%4.%5.%6 "/>
      <w:lvlJc w:val="left"/>
      <w:rPr>
        <w:rFonts w:hint="eastAsia" w:ascii="黑体" w:hAnsi="等线" w:eastAsia="黑体" w:cs="Times New Roman"/>
        <w:b w:val="0"/>
        <w:i w:val="0"/>
        <w:sz w:val="21"/>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B7EA6"/>
    <w:rsid w:val="003A3B63"/>
    <w:rsid w:val="0C7A718D"/>
    <w:rsid w:val="0C860CC1"/>
    <w:rsid w:val="0D1C0468"/>
    <w:rsid w:val="0D2C1532"/>
    <w:rsid w:val="111523A7"/>
    <w:rsid w:val="12B37C4A"/>
    <w:rsid w:val="18245BF8"/>
    <w:rsid w:val="1A5823C6"/>
    <w:rsid w:val="20665A76"/>
    <w:rsid w:val="256604EA"/>
    <w:rsid w:val="27217299"/>
    <w:rsid w:val="2A286290"/>
    <w:rsid w:val="2CF004EB"/>
    <w:rsid w:val="3267531D"/>
    <w:rsid w:val="32F37A1C"/>
    <w:rsid w:val="35A85177"/>
    <w:rsid w:val="37CB6A5A"/>
    <w:rsid w:val="38821A58"/>
    <w:rsid w:val="39F907EA"/>
    <w:rsid w:val="3B3B7EA6"/>
    <w:rsid w:val="3EA845D4"/>
    <w:rsid w:val="439D3435"/>
    <w:rsid w:val="44F649E9"/>
    <w:rsid w:val="4A1967D4"/>
    <w:rsid w:val="4C8C3D53"/>
    <w:rsid w:val="4D9A2CE0"/>
    <w:rsid w:val="4E6B55D0"/>
    <w:rsid w:val="58F8126C"/>
    <w:rsid w:val="5F1C5C4D"/>
    <w:rsid w:val="6C1D1FA7"/>
    <w:rsid w:val="6E9E65B9"/>
    <w:rsid w:val="72F60B77"/>
    <w:rsid w:val="74D92AD7"/>
    <w:rsid w:val="756C0B14"/>
    <w:rsid w:val="786C6E8A"/>
    <w:rsid w:val="7D8606A7"/>
    <w:rsid w:val="7DDD71DA"/>
    <w:rsid w:val="7ECD3070"/>
    <w:rsid w:val="7F236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8"/>
      <w:szCs w:val="28"/>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99"/>
    <w:pPr>
      <w:spacing w:before="240" w:after="60"/>
      <w:jc w:val="center"/>
      <w:outlineLvl w:val="0"/>
    </w:pPr>
    <w:rPr>
      <w:rFonts w:ascii="Arial" w:hAnsi="Arial"/>
      <w:b/>
      <w:bCs/>
      <w:kern w:val="0"/>
      <w:sz w:val="32"/>
      <w:szCs w:val="32"/>
    </w:rPr>
  </w:style>
  <w:style w:type="table" w:styleId="8">
    <w:name w:val="Table Grid"/>
    <w:basedOn w:val="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标准文件_前言、引言标题"/>
    <w:next w:val="1"/>
    <w:qFormat/>
    <w:uiPriority w:val="99"/>
    <w:pPr>
      <w:numPr>
        <w:ilvl w:val="0"/>
        <w:numId w:val="1"/>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11">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
    <w:name w:val="标准文件_页脚奇数页"/>
    <w:qFormat/>
    <w:uiPriority w:val="99"/>
    <w:pPr>
      <w:ind w:right="227"/>
      <w:jc w:val="right"/>
    </w:pPr>
    <w:rPr>
      <w:rFonts w:ascii="宋体" w:hAnsi="Times New Roman" w:eastAsia="宋体" w:cs="Times New Roman"/>
      <w:sz w:val="18"/>
      <w:lang w:val="en-US" w:eastAsia="zh-CN" w:bidi="ar-SA"/>
    </w:rPr>
  </w:style>
  <w:style w:type="paragraph" w:customStyle="1" w:styleId="13">
    <w:name w:val="Table Text"/>
    <w:basedOn w:val="1"/>
    <w:semiHidden/>
    <w:qFormat/>
    <w:uiPriority w:val="0"/>
    <w:rPr>
      <w:rFonts w:ascii="宋体" w:hAnsi="宋体" w:cs="宋体"/>
      <w:lang w:eastAsia="en-US"/>
    </w:r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标准文件_页眉奇数页"/>
    <w:next w:val="1"/>
    <w:qFormat/>
    <w:uiPriority w:val="99"/>
    <w:pPr>
      <w:tabs>
        <w:tab w:val="center" w:pos="4154"/>
        <w:tab w:val="right" w:pos="8306"/>
      </w:tabs>
      <w:spacing w:after="120"/>
      <w:jc w:val="right"/>
    </w:pPr>
    <w:rPr>
      <w:rFonts w:ascii="黑体" w:hAnsi="宋体"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3781</Words>
  <Characters>5148</Characters>
  <Lines>0</Lines>
  <Paragraphs>0</Paragraphs>
  <TotalTime>13</TotalTime>
  <ScaleCrop>false</ScaleCrop>
  <LinksUpToDate>false</LinksUpToDate>
  <CharactersWithSpaces>5910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2025-07-28T09:23:00Z</dcterms:created>
  <dc:creator>白衣卿相</dc:creator>
  <cp:lastModifiedBy>Intel</cp:lastModifiedBy>
  <dcterms:modified xsi:type="dcterms:W3CDTF">2025-10-11T05:09:29Z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79903C6DC38D4B8A928ADB4082742EB1_13</vt:lpwstr>
  </property>
  <property fmtid="{D5CDD505-2E9C-101B-9397-08002B2CF9AE}" pid="4" name="KSOTemplateDocerSaveRecord">
    <vt:lpwstr>eyJoZGlkIjoiMDNlMjY5OTZlMTlkZGY2NTFkMGUwMGMyOWQwYjcyM2UifQ==</vt:lpwstr>
  </property>
</Properties>
</file>