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方正小标宋简体" w:hAnsi="宋体" w:eastAsia="方正小标宋简体"/>
          <w:sz w:val="44"/>
          <w:szCs w:val="44"/>
        </w:rPr>
      </w:pPr>
    </w:p>
    <w:p>
      <w:pPr>
        <w:pStyle w:val="2"/>
        <w:jc w:val="center"/>
        <w:rPr>
          <w:rFonts w:ascii="方正小标宋简体" w:hAnsi="宋体" w:eastAsia="方正小标宋简体"/>
          <w:sz w:val="44"/>
          <w:szCs w:val="44"/>
        </w:rPr>
      </w:pPr>
    </w:p>
    <w:p>
      <w:pPr>
        <w:pStyle w:val="2"/>
        <w:jc w:val="center"/>
        <w:rPr>
          <w:rFonts w:ascii="方正小标宋简体" w:hAnsi="宋体" w:eastAsia="方正小标宋简体"/>
          <w:sz w:val="44"/>
          <w:szCs w:val="44"/>
        </w:rPr>
      </w:pPr>
    </w:p>
    <w:p>
      <w:pPr>
        <w:pStyle w:val="2"/>
        <w:jc w:val="center"/>
        <w:rPr>
          <w:rFonts w:ascii="方正小标宋简体" w:hAnsi="宋体" w:eastAsia="方正小标宋简体"/>
          <w:sz w:val="44"/>
          <w:szCs w:val="44"/>
        </w:rPr>
      </w:pPr>
    </w:p>
    <w:p>
      <w:pPr>
        <w:pStyle w:val="2"/>
        <w:jc w:val="center"/>
        <w:rPr>
          <w:rFonts w:ascii="方正小标宋简体" w:hAnsi="宋体" w:eastAsia="方正小标宋简体"/>
          <w:sz w:val="44"/>
          <w:szCs w:val="44"/>
        </w:rPr>
      </w:pPr>
    </w:p>
    <w:p>
      <w:pPr>
        <w:pStyle w:val="2"/>
        <w:jc w:val="center"/>
        <w:rPr>
          <w:rFonts w:ascii="方正小标宋简体" w:hAnsi="宋体" w:eastAsia="方正小标宋简体"/>
          <w:sz w:val="44"/>
          <w:szCs w:val="44"/>
        </w:rPr>
      </w:pPr>
    </w:p>
    <w:p>
      <w:pPr>
        <w:pStyle w:val="2"/>
        <w:jc w:val="center"/>
        <w:rPr>
          <w:rFonts w:ascii="方正小标宋简体" w:hAnsi="宋体" w:eastAsia="方正小标宋简体"/>
          <w:sz w:val="44"/>
          <w:szCs w:val="44"/>
        </w:rPr>
      </w:pPr>
      <w:r>
        <w:rPr>
          <w:rFonts w:hint="eastAsia" w:ascii="方正小标宋简体" w:hAnsi="宋体" w:eastAsia="方正小标宋简体"/>
          <w:sz w:val="44"/>
          <w:szCs w:val="44"/>
        </w:rPr>
        <w:t>2023年度广元市产品质量监督检验所</w:t>
      </w:r>
    </w:p>
    <w:p>
      <w:pPr>
        <w:pStyle w:val="2"/>
        <w:jc w:val="center"/>
        <w:rPr>
          <w:rFonts w:ascii="方正小标宋简体" w:hAnsi="宋体" w:eastAsia="方正小标宋简体"/>
          <w:sz w:val="44"/>
          <w:szCs w:val="44"/>
        </w:rPr>
      </w:pPr>
      <w:r>
        <w:rPr>
          <w:rFonts w:hint="eastAsia" w:ascii="方正小标宋简体" w:hAnsi="宋体" w:eastAsia="方正小标宋简体"/>
          <w:sz w:val="44"/>
          <w:szCs w:val="44"/>
        </w:rPr>
        <w:t>单位决算</w:t>
      </w:r>
    </w:p>
    <w:p>
      <w:pPr>
        <w:widowControl/>
        <w:jc w:val="center"/>
        <w:rPr>
          <w:rFonts w:ascii="黑体" w:hAnsi="黑体" w:eastAsia="黑体"/>
          <w:sz w:val="28"/>
          <w:szCs w:val="28"/>
        </w:rPr>
      </w:pPr>
      <w:r>
        <w:rPr>
          <w:rFonts w:ascii="方正小标宋简体" w:hAnsi="宋体" w:eastAsia="方正小标宋简体"/>
          <w:sz w:val="36"/>
          <w:szCs w:val="36"/>
        </w:rPr>
        <w:br w:type="page"/>
      </w:r>
      <w:r>
        <w:rPr>
          <w:rFonts w:hint="eastAsia" w:ascii="黑体" w:hAnsi="黑体" w:eastAsia="黑体"/>
          <w:sz w:val="48"/>
          <w:szCs w:val="48"/>
        </w:rPr>
        <w:t>目录</w:t>
      </w:r>
    </w:p>
    <w:p>
      <w:pPr>
        <w:pStyle w:val="13"/>
      </w:pPr>
      <w:r>
        <w:rPr>
          <w:rFonts w:hint="eastAsia"/>
        </w:rPr>
        <w:t>公开时间：2024年10月1</w:t>
      </w:r>
      <w:r>
        <w:rPr>
          <w:rFonts w:hint="eastAsia"/>
          <w:lang w:val="en-US" w:eastAsia="zh-CN"/>
        </w:rPr>
        <w:t>4</w:t>
      </w:r>
      <w:r>
        <w:rPr>
          <w:rFonts w:hint="eastAsia"/>
        </w:rPr>
        <w:t>日</w:t>
      </w:r>
    </w:p>
    <w:sdt>
      <w:sdtPr>
        <w:rPr>
          <w:lang w:val="zh-CN"/>
        </w:rPr>
        <w:id w:val="11178071"/>
        <w:docPartObj>
          <w:docPartGallery w:val="Table of Contents"/>
          <w:docPartUnique/>
        </w:docPartObj>
      </w:sdtPr>
      <w:sdtEndPr>
        <w:rPr>
          <w:lang w:val="en-US"/>
        </w:rPr>
      </w:sdtEndPr>
      <w:sdtContent>
        <w:p/>
        <w:p>
          <w:pPr>
            <w:pStyle w:val="13"/>
            <w:rPr>
              <w:rFonts w:ascii="黑体" w:hAnsi="黑体" w:eastAsia="黑体" w:cstheme="minorBidi"/>
              <w:b/>
              <w:sz w:val="21"/>
              <w:szCs w:val="21"/>
            </w:rPr>
          </w:pPr>
          <w:r>
            <w:fldChar w:fldCharType="begin"/>
          </w:r>
          <w:r>
            <w:instrText xml:space="preserve"> TOC \o "1-3" \h \z \u </w:instrText>
          </w:r>
          <w:r>
            <w:fldChar w:fldCharType="separate"/>
          </w:r>
          <w:r>
            <w:fldChar w:fldCharType="begin"/>
          </w:r>
          <w:r>
            <w:instrText xml:space="preserve"> HYPERLINK \l "_Toc177552599" </w:instrText>
          </w:r>
          <w:r>
            <w:fldChar w:fldCharType="separate"/>
          </w:r>
          <w:r>
            <w:rPr>
              <w:rStyle w:val="20"/>
              <w:rFonts w:hint="eastAsia" w:ascii="黑体" w:hAnsi="黑体" w:eastAsia="黑体"/>
              <w:b/>
              <w:sz w:val="21"/>
              <w:szCs w:val="21"/>
            </w:rPr>
            <w:t>第一部分单位概况</w:t>
          </w:r>
          <w:r>
            <w:rPr>
              <w:rFonts w:ascii="黑体" w:hAnsi="黑体" w:eastAsia="黑体"/>
              <w:b/>
              <w:sz w:val="21"/>
              <w:szCs w:val="21"/>
            </w:rPr>
            <w:tab/>
          </w:r>
          <w:r>
            <w:rPr>
              <w:rFonts w:ascii="黑体" w:hAnsi="黑体" w:eastAsia="黑体"/>
              <w:b/>
              <w:sz w:val="21"/>
              <w:szCs w:val="21"/>
            </w:rPr>
            <w:fldChar w:fldCharType="begin"/>
          </w:r>
          <w:r>
            <w:rPr>
              <w:rFonts w:ascii="黑体" w:hAnsi="黑体" w:eastAsia="黑体"/>
              <w:b/>
              <w:sz w:val="21"/>
              <w:szCs w:val="21"/>
            </w:rPr>
            <w:instrText xml:space="preserve"> PAGEREF _Toc177552599 \h </w:instrText>
          </w:r>
          <w:r>
            <w:rPr>
              <w:rFonts w:ascii="黑体" w:hAnsi="黑体" w:eastAsia="黑体"/>
              <w:b/>
              <w:sz w:val="21"/>
              <w:szCs w:val="21"/>
            </w:rPr>
            <w:fldChar w:fldCharType="separate"/>
          </w:r>
          <w:r>
            <w:rPr>
              <w:rFonts w:ascii="黑体" w:hAnsi="黑体" w:eastAsia="黑体"/>
              <w:b/>
              <w:sz w:val="21"/>
              <w:szCs w:val="21"/>
            </w:rPr>
            <w:t>1</w:t>
          </w:r>
          <w:r>
            <w:rPr>
              <w:rFonts w:ascii="黑体" w:hAnsi="黑体" w:eastAsia="黑体"/>
              <w:b/>
              <w:sz w:val="21"/>
              <w:szCs w:val="21"/>
            </w:rPr>
            <w:fldChar w:fldCharType="end"/>
          </w:r>
          <w:r>
            <w:rPr>
              <w:rFonts w:ascii="黑体" w:hAnsi="黑体" w:eastAsia="黑体"/>
              <w:b/>
              <w:sz w:val="21"/>
              <w:szCs w:val="21"/>
            </w:rPr>
            <w:fldChar w:fldCharType="end"/>
          </w:r>
        </w:p>
        <w:p>
          <w:pPr>
            <w:pStyle w:val="16"/>
            <w:rPr>
              <w:rFonts w:ascii="黑体" w:hAnsi="黑体" w:eastAsia="黑体" w:cstheme="minorBidi"/>
              <w:szCs w:val="22"/>
            </w:rPr>
          </w:pPr>
          <w:r>
            <w:fldChar w:fldCharType="begin"/>
          </w:r>
          <w:r>
            <w:instrText xml:space="preserve"> HYPERLINK \l "_Toc177552600" </w:instrText>
          </w:r>
          <w:r>
            <w:fldChar w:fldCharType="separate"/>
          </w:r>
          <w:r>
            <w:rPr>
              <w:rStyle w:val="20"/>
              <w:rFonts w:hint="eastAsia" w:ascii="黑体" w:hAnsi="黑体" w:eastAsia="黑体"/>
            </w:rPr>
            <w:t>一、 主要职责</w:t>
          </w:r>
          <w:r>
            <w:rPr>
              <w:rFonts w:ascii="黑体" w:hAnsi="黑体" w:eastAsia="黑体"/>
            </w:rPr>
            <w:tab/>
          </w:r>
          <w:r>
            <w:rPr>
              <w:rFonts w:ascii="黑体" w:hAnsi="黑体" w:eastAsia="黑体"/>
            </w:rPr>
            <w:fldChar w:fldCharType="begin"/>
          </w:r>
          <w:r>
            <w:rPr>
              <w:rFonts w:ascii="黑体" w:hAnsi="黑体" w:eastAsia="黑体"/>
            </w:rPr>
            <w:instrText xml:space="preserve"> PAGEREF _Toc177552600 \h </w:instrText>
          </w:r>
          <w:r>
            <w:rPr>
              <w:rFonts w:ascii="黑体" w:hAnsi="黑体" w:eastAsia="黑体"/>
            </w:rPr>
            <w:fldChar w:fldCharType="separate"/>
          </w:r>
          <w:r>
            <w:rPr>
              <w:rFonts w:ascii="黑体" w:hAnsi="黑体" w:eastAsia="黑体"/>
            </w:rPr>
            <w:t>1</w:t>
          </w:r>
          <w:r>
            <w:rPr>
              <w:rFonts w:ascii="黑体" w:hAnsi="黑体" w:eastAsia="黑体"/>
            </w:rPr>
            <w:fldChar w:fldCharType="end"/>
          </w:r>
          <w:r>
            <w:rPr>
              <w:rFonts w:ascii="黑体" w:hAnsi="黑体" w:eastAsia="黑体"/>
            </w:rPr>
            <w:fldChar w:fldCharType="end"/>
          </w:r>
        </w:p>
        <w:p>
          <w:pPr>
            <w:pStyle w:val="16"/>
            <w:rPr>
              <w:rFonts w:ascii="黑体" w:hAnsi="黑体" w:eastAsia="黑体" w:cstheme="minorBidi"/>
              <w:szCs w:val="22"/>
            </w:rPr>
          </w:pPr>
          <w:r>
            <w:fldChar w:fldCharType="begin"/>
          </w:r>
          <w:r>
            <w:instrText xml:space="preserve"> HYPERLINK \l "_Toc177552601" </w:instrText>
          </w:r>
          <w:r>
            <w:fldChar w:fldCharType="separate"/>
          </w:r>
          <w:r>
            <w:rPr>
              <w:rStyle w:val="20"/>
              <w:rFonts w:hint="eastAsia" w:ascii="黑体" w:hAnsi="黑体" w:eastAsia="黑体"/>
            </w:rPr>
            <w:t>二、 机构设置</w:t>
          </w:r>
          <w:r>
            <w:rPr>
              <w:rFonts w:ascii="黑体" w:hAnsi="黑体" w:eastAsia="黑体"/>
            </w:rPr>
            <w:tab/>
          </w:r>
          <w:r>
            <w:rPr>
              <w:rFonts w:ascii="黑体" w:hAnsi="黑体" w:eastAsia="黑体"/>
            </w:rPr>
            <w:fldChar w:fldCharType="begin"/>
          </w:r>
          <w:r>
            <w:rPr>
              <w:rFonts w:ascii="黑体" w:hAnsi="黑体" w:eastAsia="黑体"/>
            </w:rPr>
            <w:instrText xml:space="preserve"> PAGEREF _Toc177552601 \h </w:instrText>
          </w:r>
          <w:r>
            <w:rPr>
              <w:rFonts w:ascii="黑体" w:hAnsi="黑体" w:eastAsia="黑体"/>
            </w:rPr>
            <w:fldChar w:fldCharType="separate"/>
          </w:r>
          <w:r>
            <w:rPr>
              <w:rFonts w:ascii="黑体" w:hAnsi="黑体" w:eastAsia="黑体"/>
            </w:rPr>
            <w:t>1</w:t>
          </w:r>
          <w:r>
            <w:rPr>
              <w:rFonts w:ascii="黑体" w:hAnsi="黑体" w:eastAsia="黑体"/>
            </w:rPr>
            <w:fldChar w:fldCharType="end"/>
          </w:r>
          <w:r>
            <w:rPr>
              <w:rFonts w:ascii="黑体" w:hAnsi="黑体" w:eastAsia="黑体"/>
            </w:rPr>
            <w:fldChar w:fldCharType="end"/>
          </w:r>
        </w:p>
        <w:p>
          <w:pPr>
            <w:pStyle w:val="13"/>
            <w:rPr>
              <w:rStyle w:val="20"/>
              <w:rFonts w:ascii="黑体" w:hAnsi="黑体" w:eastAsia="黑体"/>
              <w:b/>
              <w:szCs w:val="21"/>
            </w:rPr>
          </w:pPr>
          <w:r>
            <w:fldChar w:fldCharType="begin"/>
          </w:r>
          <w:r>
            <w:instrText xml:space="preserve"> HYPERLINK \l "_Toc177552602" </w:instrText>
          </w:r>
          <w:r>
            <w:fldChar w:fldCharType="separate"/>
          </w:r>
          <w:r>
            <w:rPr>
              <w:rStyle w:val="20"/>
              <w:rFonts w:hint="eastAsia" w:ascii="黑体" w:hAnsi="黑体" w:eastAsia="黑体"/>
              <w:b/>
              <w:sz w:val="21"/>
              <w:szCs w:val="21"/>
            </w:rPr>
            <w:t>第二部分</w:t>
          </w:r>
          <w:r>
            <w:rPr>
              <w:rStyle w:val="20"/>
              <w:rFonts w:ascii="黑体" w:hAnsi="黑体" w:eastAsia="黑体"/>
              <w:b/>
              <w:sz w:val="21"/>
              <w:szCs w:val="21"/>
            </w:rPr>
            <w:t xml:space="preserve"> 2023</w:t>
          </w:r>
          <w:r>
            <w:rPr>
              <w:rStyle w:val="20"/>
              <w:rFonts w:hint="eastAsia" w:ascii="黑体" w:hAnsi="黑体" w:eastAsia="黑体"/>
              <w:b/>
              <w:sz w:val="21"/>
              <w:szCs w:val="21"/>
            </w:rPr>
            <w:t>年度单位决算情况说明</w:t>
          </w:r>
          <w:r>
            <w:rPr>
              <w:rStyle w:val="20"/>
              <w:rFonts w:ascii="黑体" w:hAnsi="黑体" w:eastAsia="黑体"/>
              <w:b/>
              <w:sz w:val="21"/>
              <w:szCs w:val="21"/>
            </w:rPr>
            <w:tab/>
          </w:r>
          <w:r>
            <w:rPr>
              <w:rStyle w:val="20"/>
              <w:rFonts w:ascii="黑体" w:hAnsi="黑体" w:eastAsia="黑体"/>
              <w:b/>
              <w:sz w:val="21"/>
              <w:szCs w:val="21"/>
            </w:rPr>
            <w:fldChar w:fldCharType="begin"/>
          </w:r>
          <w:r>
            <w:rPr>
              <w:rStyle w:val="20"/>
              <w:rFonts w:ascii="黑体" w:hAnsi="黑体" w:eastAsia="黑体"/>
              <w:b/>
              <w:sz w:val="21"/>
              <w:szCs w:val="21"/>
            </w:rPr>
            <w:instrText xml:space="preserve"> PAGEREF _Toc177552602 \h </w:instrText>
          </w:r>
          <w:r>
            <w:rPr>
              <w:rStyle w:val="20"/>
              <w:rFonts w:ascii="黑体" w:hAnsi="黑体" w:eastAsia="黑体"/>
              <w:b/>
              <w:sz w:val="21"/>
              <w:szCs w:val="21"/>
            </w:rPr>
            <w:fldChar w:fldCharType="separate"/>
          </w:r>
          <w:r>
            <w:rPr>
              <w:rStyle w:val="20"/>
              <w:rFonts w:ascii="黑体" w:hAnsi="黑体" w:eastAsia="黑体"/>
              <w:b/>
              <w:sz w:val="21"/>
              <w:szCs w:val="21"/>
            </w:rPr>
            <w:t>2</w:t>
          </w:r>
          <w:r>
            <w:rPr>
              <w:rStyle w:val="20"/>
              <w:rFonts w:ascii="黑体" w:hAnsi="黑体" w:eastAsia="黑体"/>
              <w:b/>
              <w:sz w:val="21"/>
              <w:szCs w:val="21"/>
            </w:rPr>
            <w:fldChar w:fldCharType="end"/>
          </w:r>
          <w:r>
            <w:rPr>
              <w:rStyle w:val="20"/>
              <w:rFonts w:ascii="黑体" w:hAnsi="黑体" w:eastAsia="黑体"/>
              <w:b/>
              <w:sz w:val="21"/>
              <w:szCs w:val="21"/>
            </w:rPr>
            <w:fldChar w:fldCharType="end"/>
          </w:r>
        </w:p>
        <w:p>
          <w:pPr>
            <w:pStyle w:val="16"/>
            <w:rPr>
              <w:rFonts w:asciiTheme="minorHAnsi" w:hAnsiTheme="minorHAnsi" w:eastAsiaTheme="minorEastAsia" w:cstheme="minorBidi"/>
              <w:szCs w:val="22"/>
            </w:rPr>
          </w:pPr>
          <w:r>
            <w:fldChar w:fldCharType="begin"/>
          </w:r>
          <w:r>
            <w:instrText xml:space="preserve"> HYPERLINK \l "_Toc177552603" </w:instrText>
          </w:r>
          <w:r>
            <w:fldChar w:fldCharType="separate"/>
          </w:r>
          <w:r>
            <w:rPr>
              <w:rStyle w:val="20"/>
              <w:rFonts w:hint="eastAsia" w:ascii="黑体" w:hAnsi="黑体" w:eastAsia="黑体"/>
            </w:rPr>
            <w:t>一、收</w:t>
          </w:r>
          <w:r>
            <w:rPr>
              <w:rStyle w:val="20"/>
              <w:rFonts w:hint="eastAsia" w:ascii="黑体" w:hAnsi="黑体" w:eastAsia="黑体"/>
              <w:bCs/>
            </w:rPr>
            <w:t>入支出决算总体情况说明</w:t>
          </w:r>
          <w:r>
            <w:tab/>
          </w:r>
          <w:r>
            <w:fldChar w:fldCharType="begin"/>
          </w:r>
          <w:r>
            <w:instrText xml:space="preserve"> PAGEREF _Toc177552603 \h </w:instrText>
          </w:r>
          <w:r>
            <w:fldChar w:fldCharType="separate"/>
          </w:r>
          <w:r>
            <w:t>2</w:t>
          </w:r>
          <w:r>
            <w:fldChar w:fldCharType="end"/>
          </w:r>
          <w:r>
            <w:fldChar w:fldCharType="end"/>
          </w:r>
        </w:p>
        <w:p>
          <w:pPr>
            <w:pStyle w:val="16"/>
            <w:rPr>
              <w:rFonts w:asciiTheme="minorHAnsi" w:hAnsiTheme="minorHAnsi" w:eastAsiaTheme="minorEastAsia" w:cstheme="minorBidi"/>
              <w:szCs w:val="22"/>
            </w:rPr>
          </w:pPr>
          <w:r>
            <w:fldChar w:fldCharType="begin"/>
          </w:r>
          <w:r>
            <w:instrText xml:space="preserve"> HYPERLINK \l "_Toc177552604" </w:instrText>
          </w:r>
          <w:r>
            <w:fldChar w:fldCharType="separate"/>
          </w:r>
          <w:r>
            <w:rPr>
              <w:rStyle w:val="20"/>
              <w:rFonts w:hint="eastAsia" w:ascii="黑体" w:hAnsi="黑体" w:eastAsia="黑体"/>
            </w:rPr>
            <w:t>二、收</w:t>
          </w:r>
          <w:r>
            <w:rPr>
              <w:rStyle w:val="20"/>
              <w:rFonts w:hint="eastAsia" w:ascii="黑体" w:hAnsi="黑体" w:eastAsia="黑体"/>
              <w:bCs/>
            </w:rPr>
            <w:t>入决算情况说明</w:t>
          </w:r>
          <w:r>
            <w:tab/>
          </w:r>
          <w:r>
            <w:fldChar w:fldCharType="begin"/>
          </w:r>
          <w:r>
            <w:instrText xml:space="preserve"> PAGEREF _Toc177552604 \h </w:instrText>
          </w:r>
          <w:r>
            <w:fldChar w:fldCharType="separate"/>
          </w:r>
          <w:r>
            <w:t>2</w:t>
          </w:r>
          <w:r>
            <w:fldChar w:fldCharType="end"/>
          </w:r>
          <w:r>
            <w:fldChar w:fldCharType="end"/>
          </w:r>
        </w:p>
        <w:p>
          <w:pPr>
            <w:pStyle w:val="16"/>
            <w:rPr>
              <w:rFonts w:asciiTheme="minorHAnsi" w:hAnsiTheme="minorHAnsi" w:eastAsiaTheme="minorEastAsia" w:cstheme="minorBidi"/>
              <w:szCs w:val="22"/>
            </w:rPr>
          </w:pPr>
          <w:r>
            <w:fldChar w:fldCharType="begin"/>
          </w:r>
          <w:r>
            <w:instrText xml:space="preserve"> HYPERLINK \l "_Toc177552606" </w:instrText>
          </w:r>
          <w:r>
            <w:fldChar w:fldCharType="separate"/>
          </w:r>
          <w:r>
            <w:rPr>
              <w:rStyle w:val="20"/>
              <w:rFonts w:hint="eastAsia" w:ascii="黑体" w:hAnsi="黑体" w:eastAsia="黑体"/>
            </w:rPr>
            <w:t>三、支</w:t>
          </w:r>
          <w:r>
            <w:rPr>
              <w:rStyle w:val="20"/>
              <w:rFonts w:hint="eastAsia" w:ascii="黑体" w:hAnsi="黑体" w:eastAsia="黑体"/>
              <w:bCs/>
            </w:rPr>
            <w:t>出决算情况说明</w:t>
          </w:r>
          <w:r>
            <w:tab/>
          </w:r>
          <w:r>
            <w:fldChar w:fldCharType="begin"/>
          </w:r>
          <w:r>
            <w:instrText xml:space="preserve"> PAGEREF _Toc177552606 \h </w:instrText>
          </w:r>
          <w:r>
            <w:fldChar w:fldCharType="separate"/>
          </w:r>
          <w:r>
            <w:t>3</w:t>
          </w:r>
          <w:r>
            <w:fldChar w:fldCharType="end"/>
          </w:r>
          <w:r>
            <w:fldChar w:fldCharType="end"/>
          </w:r>
        </w:p>
        <w:p>
          <w:pPr>
            <w:pStyle w:val="16"/>
            <w:rPr>
              <w:rFonts w:asciiTheme="minorHAnsi" w:hAnsiTheme="minorHAnsi" w:eastAsiaTheme="minorEastAsia" w:cstheme="minorBidi"/>
              <w:szCs w:val="22"/>
            </w:rPr>
          </w:pPr>
          <w:r>
            <w:fldChar w:fldCharType="begin"/>
          </w:r>
          <w:r>
            <w:instrText xml:space="preserve"> HYPERLINK \l "_Toc177552608" </w:instrText>
          </w:r>
          <w:r>
            <w:fldChar w:fldCharType="separate"/>
          </w:r>
          <w:r>
            <w:rPr>
              <w:rStyle w:val="20"/>
              <w:rFonts w:hint="eastAsia" w:ascii="黑体" w:hAnsi="黑体" w:eastAsia="黑体"/>
            </w:rPr>
            <w:t>四、财</w:t>
          </w:r>
          <w:r>
            <w:rPr>
              <w:rStyle w:val="20"/>
              <w:rFonts w:hint="eastAsia" w:ascii="黑体" w:hAnsi="黑体" w:eastAsia="黑体"/>
              <w:bCs/>
            </w:rPr>
            <w:t>政拨款收入支出决算总体情况说明</w:t>
          </w:r>
          <w:r>
            <w:tab/>
          </w:r>
          <w:r>
            <w:fldChar w:fldCharType="begin"/>
          </w:r>
          <w:r>
            <w:instrText xml:space="preserve"> PAGEREF _Toc177552608 \h </w:instrText>
          </w:r>
          <w:r>
            <w:fldChar w:fldCharType="separate"/>
          </w:r>
          <w:r>
            <w:t>3</w:t>
          </w:r>
          <w:r>
            <w:fldChar w:fldCharType="end"/>
          </w:r>
          <w:r>
            <w:fldChar w:fldCharType="end"/>
          </w:r>
        </w:p>
        <w:p>
          <w:pPr>
            <w:pStyle w:val="16"/>
            <w:rPr>
              <w:rFonts w:asciiTheme="minorHAnsi" w:hAnsiTheme="minorHAnsi" w:eastAsiaTheme="minorEastAsia" w:cstheme="minorBidi"/>
              <w:szCs w:val="22"/>
            </w:rPr>
          </w:pPr>
          <w:r>
            <w:fldChar w:fldCharType="begin"/>
          </w:r>
          <w:r>
            <w:instrText xml:space="preserve"> HYPERLINK \l "_Toc177552609" </w:instrText>
          </w:r>
          <w:r>
            <w:fldChar w:fldCharType="separate"/>
          </w:r>
          <w:r>
            <w:rPr>
              <w:rStyle w:val="20"/>
              <w:rFonts w:hint="eastAsia" w:ascii="黑体" w:hAnsi="黑体" w:eastAsia="黑体"/>
            </w:rPr>
            <w:t>五、</w:t>
          </w:r>
          <w:r>
            <w:rPr>
              <w:rStyle w:val="20"/>
              <w:rFonts w:hint="eastAsia" w:ascii="黑体" w:hAnsi="黑体" w:eastAsia="黑体"/>
              <w:b/>
            </w:rPr>
            <w:t>一</w:t>
          </w:r>
          <w:r>
            <w:rPr>
              <w:rStyle w:val="20"/>
              <w:rFonts w:hint="eastAsia" w:ascii="黑体" w:hAnsi="黑体" w:eastAsia="黑体"/>
              <w:bCs/>
            </w:rPr>
            <w:t>般公共预算财政拨款支出决算情况说明</w:t>
          </w:r>
          <w:r>
            <w:tab/>
          </w:r>
          <w:r>
            <w:fldChar w:fldCharType="begin"/>
          </w:r>
          <w:r>
            <w:instrText xml:space="preserve"> PAGEREF _Toc177552609 \h </w:instrText>
          </w:r>
          <w:r>
            <w:fldChar w:fldCharType="separate"/>
          </w:r>
          <w:r>
            <w:t>4</w:t>
          </w:r>
          <w:r>
            <w:fldChar w:fldCharType="end"/>
          </w:r>
          <w:r>
            <w:fldChar w:fldCharType="end"/>
          </w:r>
        </w:p>
        <w:p>
          <w:pPr>
            <w:pStyle w:val="16"/>
            <w:rPr>
              <w:rFonts w:asciiTheme="minorHAnsi" w:hAnsiTheme="minorHAnsi" w:eastAsiaTheme="minorEastAsia" w:cstheme="minorBidi"/>
              <w:szCs w:val="22"/>
            </w:rPr>
          </w:pPr>
          <w:r>
            <w:fldChar w:fldCharType="begin"/>
          </w:r>
          <w:r>
            <w:instrText xml:space="preserve"> HYPERLINK \l "_Toc177552614" </w:instrText>
          </w:r>
          <w:r>
            <w:fldChar w:fldCharType="separate"/>
          </w:r>
          <w:r>
            <w:rPr>
              <w:rStyle w:val="20"/>
              <w:rFonts w:hint="eastAsia" w:ascii="黑体" w:eastAsia="黑体"/>
            </w:rPr>
            <w:t>六</w:t>
          </w:r>
          <w:r>
            <w:rPr>
              <w:rStyle w:val="20"/>
              <w:rFonts w:hint="eastAsia" w:ascii="黑体" w:eastAsia="黑体"/>
              <w:b/>
            </w:rPr>
            <w:t>、</w:t>
          </w:r>
          <w:r>
            <w:rPr>
              <w:rStyle w:val="20"/>
              <w:rFonts w:hint="eastAsia" w:ascii="黑体" w:hAnsi="黑体" w:eastAsia="黑体"/>
              <w:b/>
            </w:rPr>
            <w:t>一</w:t>
          </w:r>
          <w:r>
            <w:rPr>
              <w:rStyle w:val="20"/>
              <w:rFonts w:hint="eastAsia" w:ascii="黑体" w:hAnsi="黑体" w:eastAsia="黑体"/>
              <w:bCs/>
            </w:rPr>
            <w:t>般公共预算财政拨款基本支出决算情况说明</w:t>
          </w:r>
          <w:r>
            <w:tab/>
          </w:r>
          <w:r>
            <w:fldChar w:fldCharType="begin"/>
          </w:r>
          <w:r>
            <w:instrText xml:space="preserve"> PAGEREF _Toc177552614 \h </w:instrText>
          </w:r>
          <w:r>
            <w:fldChar w:fldCharType="separate"/>
          </w:r>
          <w:r>
            <w:t>6</w:t>
          </w:r>
          <w:r>
            <w:fldChar w:fldCharType="end"/>
          </w:r>
          <w:r>
            <w:fldChar w:fldCharType="end"/>
          </w:r>
        </w:p>
        <w:p>
          <w:pPr>
            <w:pStyle w:val="16"/>
            <w:rPr>
              <w:rFonts w:asciiTheme="minorHAnsi" w:hAnsiTheme="minorHAnsi" w:eastAsiaTheme="minorEastAsia" w:cstheme="minorBidi"/>
              <w:szCs w:val="22"/>
            </w:rPr>
          </w:pPr>
          <w:r>
            <w:fldChar w:fldCharType="begin"/>
          </w:r>
          <w:r>
            <w:instrText xml:space="preserve"> HYPERLINK \l "_Toc177552615" </w:instrText>
          </w:r>
          <w:r>
            <w:fldChar w:fldCharType="separate"/>
          </w:r>
          <w:r>
            <w:rPr>
              <w:rStyle w:val="20"/>
              <w:rFonts w:hint="eastAsia" w:ascii="黑体" w:eastAsia="黑体"/>
            </w:rPr>
            <w:t>七、</w:t>
          </w:r>
          <w:r>
            <w:rPr>
              <w:rStyle w:val="20"/>
              <w:rFonts w:hint="eastAsia" w:ascii="黑体" w:hAnsi="黑体" w:eastAsia="黑体"/>
              <w:bCs/>
            </w:rPr>
            <w:t>财政拨款</w:t>
          </w:r>
          <w:r>
            <w:rPr>
              <w:rStyle w:val="20"/>
              <w:rFonts w:ascii="黑体" w:hAnsi="黑体" w:eastAsia="黑体"/>
              <w:b/>
              <w:bCs/>
            </w:rPr>
            <w:t>“</w:t>
          </w:r>
          <w:r>
            <w:rPr>
              <w:rStyle w:val="20"/>
              <w:rFonts w:hint="eastAsia" w:ascii="黑体" w:hAnsi="黑体" w:eastAsia="黑体"/>
              <w:bCs/>
            </w:rPr>
            <w:t>三公”经费支出决算情况说明</w:t>
          </w:r>
          <w:r>
            <w:tab/>
          </w:r>
          <w:r>
            <w:fldChar w:fldCharType="begin"/>
          </w:r>
          <w:r>
            <w:instrText xml:space="preserve"> PAGEREF _Toc177552615 \h </w:instrText>
          </w:r>
          <w:r>
            <w:fldChar w:fldCharType="separate"/>
          </w:r>
          <w:r>
            <w:t>7</w:t>
          </w:r>
          <w:r>
            <w:fldChar w:fldCharType="end"/>
          </w:r>
          <w:r>
            <w:fldChar w:fldCharType="end"/>
          </w:r>
        </w:p>
        <w:p>
          <w:pPr>
            <w:pStyle w:val="16"/>
            <w:rPr>
              <w:rFonts w:asciiTheme="minorHAnsi" w:hAnsiTheme="minorHAnsi" w:eastAsiaTheme="minorEastAsia" w:cstheme="minorBidi"/>
              <w:szCs w:val="22"/>
            </w:rPr>
          </w:pPr>
          <w:r>
            <w:fldChar w:fldCharType="begin"/>
          </w:r>
          <w:r>
            <w:instrText xml:space="preserve"> HYPERLINK \l "_Toc177552618" </w:instrText>
          </w:r>
          <w:r>
            <w:fldChar w:fldCharType="separate"/>
          </w:r>
          <w:r>
            <w:rPr>
              <w:rStyle w:val="20"/>
              <w:rFonts w:hint="eastAsia" w:ascii="黑体" w:eastAsia="黑体"/>
            </w:rPr>
            <w:t>八、</w:t>
          </w:r>
          <w:r>
            <w:rPr>
              <w:rStyle w:val="20"/>
              <w:rFonts w:hint="eastAsia" w:ascii="黑体" w:hAnsi="黑体" w:eastAsia="黑体"/>
              <w:bCs/>
            </w:rPr>
            <w:t>政府性基金预算支出决算情况说明</w:t>
          </w:r>
          <w:r>
            <w:tab/>
          </w:r>
          <w:r>
            <w:fldChar w:fldCharType="begin"/>
          </w:r>
          <w:r>
            <w:instrText xml:space="preserve"> PAGEREF _Toc177552618 \h </w:instrText>
          </w:r>
          <w:r>
            <w:fldChar w:fldCharType="separate"/>
          </w:r>
          <w:r>
            <w:t>9</w:t>
          </w:r>
          <w:r>
            <w:fldChar w:fldCharType="end"/>
          </w:r>
          <w:r>
            <w:fldChar w:fldCharType="end"/>
          </w:r>
        </w:p>
        <w:p>
          <w:pPr>
            <w:pStyle w:val="16"/>
            <w:rPr>
              <w:rFonts w:asciiTheme="minorHAnsi" w:hAnsiTheme="minorHAnsi" w:eastAsiaTheme="minorEastAsia" w:cstheme="minorBidi"/>
              <w:szCs w:val="22"/>
            </w:rPr>
          </w:pPr>
          <w:r>
            <w:fldChar w:fldCharType="begin"/>
          </w:r>
          <w:r>
            <w:instrText xml:space="preserve"> HYPERLINK \l "_Toc177552619" </w:instrText>
          </w:r>
          <w:r>
            <w:fldChar w:fldCharType="separate"/>
          </w:r>
          <w:r>
            <w:rPr>
              <w:rStyle w:val="20"/>
              <w:rFonts w:hint="eastAsia" w:ascii="黑体" w:hAnsi="黑体" w:eastAsia="黑体"/>
              <w:bCs/>
            </w:rPr>
            <w:t>九、国有资本经营预算支出决算情况说明</w:t>
          </w:r>
          <w:r>
            <w:tab/>
          </w:r>
          <w:r>
            <w:fldChar w:fldCharType="begin"/>
          </w:r>
          <w:r>
            <w:instrText xml:space="preserve"> PAGEREF _Toc177552619 \h </w:instrText>
          </w:r>
          <w:r>
            <w:fldChar w:fldCharType="separate"/>
          </w:r>
          <w:r>
            <w:t>9</w:t>
          </w:r>
          <w:r>
            <w:fldChar w:fldCharType="end"/>
          </w:r>
          <w:r>
            <w:fldChar w:fldCharType="end"/>
          </w:r>
        </w:p>
        <w:p>
          <w:pPr>
            <w:pStyle w:val="16"/>
            <w:rPr>
              <w:rFonts w:asciiTheme="minorHAnsi" w:hAnsiTheme="minorHAnsi" w:eastAsiaTheme="minorEastAsia" w:cstheme="minorBidi"/>
              <w:szCs w:val="22"/>
            </w:rPr>
          </w:pPr>
          <w:r>
            <w:fldChar w:fldCharType="begin"/>
          </w:r>
          <w:r>
            <w:instrText xml:space="preserve"> HYPERLINK \l "_Toc177552620" </w:instrText>
          </w:r>
          <w:r>
            <w:fldChar w:fldCharType="separate"/>
          </w:r>
          <w:r>
            <w:rPr>
              <w:rStyle w:val="20"/>
              <w:rFonts w:hint="eastAsia" w:ascii="黑体" w:hAnsi="黑体" w:eastAsia="黑体"/>
              <w:bCs/>
            </w:rPr>
            <w:t>十、其他重要事项的情况说明</w:t>
          </w:r>
          <w:r>
            <w:tab/>
          </w:r>
          <w:r>
            <w:fldChar w:fldCharType="begin"/>
          </w:r>
          <w:r>
            <w:instrText xml:space="preserve"> PAGEREF _Toc177552620 \h </w:instrText>
          </w:r>
          <w:r>
            <w:fldChar w:fldCharType="separate"/>
          </w:r>
          <w:r>
            <w:t>9</w:t>
          </w:r>
          <w:r>
            <w:fldChar w:fldCharType="end"/>
          </w:r>
          <w:r>
            <w:fldChar w:fldCharType="end"/>
          </w:r>
        </w:p>
        <w:p>
          <w:pPr>
            <w:pStyle w:val="13"/>
            <w:rPr>
              <w:rStyle w:val="20"/>
              <w:rFonts w:ascii="黑体" w:hAnsi="黑体" w:eastAsia="黑体"/>
              <w:b/>
              <w:szCs w:val="21"/>
            </w:rPr>
          </w:pPr>
          <w:r>
            <w:fldChar w:fldCharType="begin"/>
          </w:r>
          <w:r>
            <w:instrText xml:space="preserve"> HYPERLINK \l "_Toc177552625" </w:instrText>
          </w:r>
          <w:r>
            <w:fldChar w:fldCharType="separate"/>
          </w:r>
          <w:r>
            <w:rPr>
              <w:rStyle w:val="20"/>
              <w:rFonts w:hint="eastAsia" w:ascii="黑体" w:hAnsi="黑体" w:eastAsia="黑体"/>
              <w:b/>
              <w:sz w:val="21"/>
              <w:szCs w:val="21"/>
            </w:rPr>
            <w:t>第三部分 名词解释</w:t>
          </w:r>
          <w:r>
            <w:rPr>
              <w:rStyle w:val="20"/>
              <w:rFonts w:ascii="黑体" w:hAnsi="黑体" w:eastAsia="黑体"/>
              <w:b/>
              <w:sz w:val="21"/>
              <w:szCs w:val="21"/>
            </w:rPr>
            <w:tab/>
          </w:r>
          <w:r>
            <w:rPr>
              <w:rStyle w:val="20"/>
              <w:rFonts w:ascii="黑体" w:hAnsi="黑体" w:eastAsia="黑体"/>
              <w:b/>
              <w:sz w:val="21"/>
              <w:szCs w:val="21"/>
            </w:rPr>
            <w:fldChar w:fldCharType="begin"/>
          </w:r>
          <w:r>
            <w:rPr>
              <w:rStyle w:val="20"/>
              <w:rFonts w:ascii="黑体" w:hAnsi="黑体" w:eastAsia="黑体"/>
              <w:b/>
              <w:sz w:val="21"/>
              <w:szCs w:val="21"/>
            </w:rPr>
            <w:instrText xml:space="preserve"> PAGEREF _Toc177552625 \h </w:instrText>
          </w:r>
          <w:r>
            <w:rPr>
              <w:rStyle w:val="20"/>
              <w:rFonts w:ascii="黑体" w:hAnsi="黑体" w:eastAsia="黑体"/>
              <w:b/>
              <w:sz w:val="21"/>
              <w:szCs w:val="21"/>
            </w:rPr>
            <w:fldChar w:fldCharType="separate"/>
          </w:r>
          <w:r>
            <w:rPr>
              <w:rStyle w:val="20"/>
              <w:rFonts w:ascii="黑体" w:hAnsi="黑体" w:eastAsia="黑体"/>
              <w:b/>
              <w:sz w:val="21"/>
              <w:szCs w:val="21"/>
            </w:rPr>
            <w:t>11</w:t>
          </w:r>
          <w:r>
            <w:rPr>
              <w:rStyle w:val="20"/>
              <w:rFonts w:ascii="黑体" w:hAnsi="黑体" w:eastAsia="黑体"/>
              <w:b/>
              <w:sz w:val="21"/>
              <w:szCs w:val="21"/>
            </w:rPr>
            <w:fldChar w:fldCharType="end"/>
          </w:r>
          <w:r>
            <w:rPr>
              <w:rStyle w:val="20"/>
              <w:rFonts w:ascii="黑体" w:hAnsi="黑体" w:eastAsia="黑体"/>
              <w:b/>
              <w:sz w:val="21"/>
              <w:szCs w:val="21"/>
            </w:rPr>
            <w:fldChar w:fldCharType="end"/>
          </w:r>
        </w:p>
        <w:p>
          <w:pPr>
            <w:pStyle w:val="13"/>
            <w:rPr>
              <w:rStyle w:val="20"/>
              <w:rFonts w:ascii="黑体" w:hAnsi="黑体" w:eastAsia="黑体"/>
              <w:b/>
              <w:szCs w:val="21"/>
            </w:rPr>
          </w:pPr>
          <w:r>
            <w:fldChar w:fldCharType="begin"/>
          </w:r>
          <w:r>
            <w:instrText xml:space="preserve"> HYPERLINK \l "_Toc177552626" </w:instrText>
          </w:r>
          <w:r>
            <w:fldChar w:fldCharType="separate"/>
          </w:r>
          <w:r>
            <w:rPr>
              <w:rStyle w:val="20"/>
              <w:rFonts w:hint="eastAsia" w:ascii="黑体" w:hAnsi="黑体" w:eastAsia="黑体"/>
              <w:b/>
              <w:sz w:val="21"/>
              <w:szCs w:val="21"/>
            </w:rPr>
            <w:t>第四部分附件</w:t>
          </w:r>
          <w:r>
            <w:rPr>
              <w:rStyle w:val="20"/>
              <w:rFonts w:ascii="黑体" w:hAnsi="黑体" w:eastAsia="黑体"/>
              <w:b/>
              <w:sz w:val="21"/>
              <w:szCs w:val="21"/>
            </w:rPr>
            <w:tab/>
          </w:r>
          <w:r>
            <w:rPr>
              <w:rStyle w:val="20"/>
              <w:rFonts w:ascii="黑体" w:hAnsi="黑体" w:eastAsia="黑体"/>
              <w:b/>
              <w:sz w:val="21"/>
              <w:szCs w:val="21"/>
            </w:rPr>
            <w:fldChar w:fldCharType="begin"/>
          </w:r>
          <w:r>
            <w:rPr>
              <w:rStyle w:val="20"/>
              <w:rFonts w:ascii="黑体" w:hAnsi="黑体" w:eastAsia="黑体"/>
              <w:b/>
              <w:sz w:val="21"/>
              <w:szCs w:val="21"/>
            </w:rPr>
            <w:instrText xml:space="preserve"> PAGEREF _Toc177552626 \h </w:instrText>
          </w:r>
          <w:r>
            <w:rPr>
              <w:rStyle w:val="20"/>
              <w:rFonts w:ascii="黑体" w:hAnsi="黑体" w:eastAsia="黑体"/>
              <w:b/>
              <w:sz w:val="21"/>
              <w:szCs w:val="21"/>
            </w:rPr>
            <w:fldChar w:fldCharType="separate"/>
          </w:r>
          <w:r>
            <w:rPr>
              <w:rStyle w:val="20"/>
              <w:rFonts w:ascii="黑体" w:hAnsi="黑体" w:eastAsia="黑体"/>
              <w:b/>
              <w:sz w:val="21"/>
              <w:szCs w:val="21"/>
            </w:rPr>
            <w:t>13</w:t>
          </w:r>
          <w:r>
            <w:rPr>
              <w:rStyle w:val="20"/>
              <w:rFonts w:ascii="黑体" w:hAnsi="黑体" w:eastAsia="黑体"/>
              <w:b/>
              <w:sz w:val="21"/>
              <w:szCs w:val="21"/>
            </w:rPr>
            <w:fldChar w:fldCharType="end"/>
          </w:r>
          <w:r>
            <w:rPr>
              <w:rStyle w:val="20"/>
              <w:rFonts w:ascii="黑体" w:hAnsi="黑体" w:eastAsia="黑体"/>
              <w:b/>
              <w:sz w:val="21"/>
              <w:szCs w:val="21"/>
            </w:rPr>
            <w:fldChar w:fldCharType="end"/>
          </w:r>
        </w:p>
        <w:p>
          <w:pPr>
            <w:pStyle w:val="13"/>
            <w:rPr>
              <w:rStyle w:val="20"/>
              <w:rFonts w:ascii="黑体" w:hAnsi="黑体" w:eastAsia="黑体"/>
              <w:b/>
              <w:szCs w:val="21"/>
            </w:rPr>
          </w:pPr>
          <w:r>
            <w:fldChar w:fldCharType="begin"/>
          </w:r>
          <w:r>
            <w:instrText xml:space="preserve"> HYPERLINK \l "_Toc177552628" </w:instrText>
          </w:r>
          <w:r>
            <w:fldChar w:fldCharType="separate"/>
          </w:r>
          <w:r>
            <w:rPr>
              <w:rStyle w:val="20"/>
              <w:rFonts w:hint="eastAsia" w:ascii="黑体" w:hAnsi="黑体" w:eastAsia="黑体"/>
              <w:b/>
              <w:sz w:val="21"/>
              <w:szCs w:val="21"/>
            </w:rPr>
            <w:t>第五部分附表</w:t>
          </w:r>
          <w:r>
            <w:rPr>
              <w:rStyle w:val="20"/>
              <w:rFonts w:ascii="黑体" w:hAnsi="黑体" w:eastAsia="黑体"/>
              <w:b/>
              <w:sz w:val="21"/>
              <w:szCs w:val="21"/>
            </w:rPr>
            <w:tab/>
          </w:r>
          <w:r>
            <w:rPr>
              <w:rStyle w:val="20"/>
              <w:rFonts w:ascii="黑体" w:hAnsi="黑体" w:eastAsia="黑体"/>
              <w:b/>
              <w:sz w:val="21"/>
              <w:szCs w:val="21"/>
            </w:rPr>
            <w:fldChar w:fldCharType="begin"/>
          </w:r>
          <w:r>
            <w:rPr>
              <w:rStyle w:val="20"/>
              <w:rFonts w:ascii="黑体" w:hAnsi="黑体" w:eastAsia="黑体"/>
              <w:b/>
              <w:sz w:val="21"/>
              <w:szCs w:val="21"/>
            </w:rPr>
            <w:instrText xml:space="preserve"> PAGEREF _Toc177552628 \h </w:instrText>
          </w:r>
          <w:r>
            <w:rPr>
              <w:rStyle w:val="20"/>
              <w:rFonts w:ascii="黑体" w:hAnsi="黑体" w:eastAsia="黑体"/>
              <w:b/>
              <w:sz w:val="21"/>
              <w:szCs w:val="21"/>
            </w:rPr>
            <w:fldChar w:fldCharType="separate"/>
          </w:r>
          <w:r>
            <w:rPr>
              <w:rStyle w:val="20"/>
              <w:rFonts w:ascii="黑体" w:hAnsi="黑体" w:eastAsia="黑体"/>
              <w:b/>
              <w:sz w:val="21"/>
              <w:szCs w:val="21"/>
            </w:rPr>
            <w:t>38</w:t>
          </w:r>
          <w:r>
            <w:rPr>
              <w:rStyle w:val="20"/>
              <w:rFonts w:ascii="黑体" w:hAnsi="黑体" w:eastAsia="黑体"/>
              <w:b/>
              <w:sz w:val="21"/>
              <w:szCs w:val="21"/>
            </w:rPr>
            <w:fldChar w:fldCharType="end"/>
          </w:r>
          <w:r>
            <w:rPr>
              <w:rStyle w:val="20"/>
              <w:rFonts w:ascii="黑体" w:hAnsi="黑体" w:eastAsia="黑体"/>
              <w:b/>
              <w:sz w:val="21"/>
              <w:szCs w:val="21"/>
            </w:rPr>
            <w:fldChar w:fldCharType="end"/>
          </w:r>
        </w:p>
        <w:p>
          <w:pPr>
            <w:pStyle w:val="16"/>
            <w:rPr>
              <w:rFonts w:ascii="黑体" w:hAnsi="黑体" w:eastAsia="黑体" w:cstheme="minorBidi"/>
              <w:szCs w:val="22"/>
            </w:rPr>
          </w:pPr>
          <w:r>
            <w:fldChar w:fldCharType="begin"/>
          </w:r>
          <w:r>
            <w:instrText xml:space="preserve"> HYPERLINK \l "_Toc177552629" </w:instrText>
          </w:r>
          <w:r>
            <w:fldChar w:fldCharType="separate"/>
          </w:r>
          <w:r>
            <w:rPr>
              <w:rStyle w:val="20"/>
              <w:rFonts w:hint="eastAsia" w:ascii="黑体" w:hAnsi="黑体" w:eastAsia="黑体"/>
            </w:rPr>
            <w:t>一、收入支出决算总表</w:t>
          </w:r>
          <w:r>
            <w:rPr>
              <w:rFonts w:ascii="黑体" w:hAnsi="黑体" w:eastAsia="黑体"/>
            </w:rPr>
            <w:tab/>
          </w:r>
          <w:r>
            <w:rPr>
              <w:rFonts w:ascii="黑体" w:hAnsi="黑体" w:eastAsia="黑体"/>
            </w:rPr>
            <w:fldChar w:fldCharType="begin"/>
          </w:r>
          <w:r>
            <w:rPr>
              <w:rFonts w:ascii="黑体" w:hAnsi="黑体" w:eastAsia="黑体"/>
            </w:rPr>
            <w:instrText xml:space="preserve"> PAGEREF _Toc177552629 \h </w:instrText>
          </w:r>
          <w:r>
            <w:rPr>
              <w:rFonts w:ascii="黑体" w:hAnsi="黑体" w:eastAsia="黑体"/>
            </w:rPr>
            <w:fldChar w:fldCharType="separate"/>
          </w:r>
          <w:r>
            <w:rPr>
              <w:rFonts w:ascii="黑体" w:hAnsi="黑体" w:eastAsia="黑体"/>
            </w:rPr>
            <w:t>38</w:t>
          </w:r>
          <w:r>
            <w:rPr>
              <w:rFonts w:ascii="黑体" w:hAnsi="黑体" w:eastAsia="黑体"/>
            </w:rPr>
            <w:fldChar w:fldCharType="end"/>
          </w:r>
          <w:r>
            <w:rPr>
              <w:rFonts w:ascii="黑体" w:hAnsi="黑体" w:eastAsia="黑体"/>
            </w:rPr>
            <w:fldChar w:fldCharType="end"/>
          </w:r>
        </w:p>
        <w:p>
          <w:pPr>
            <w:pStyle w:val="16"/>
            <w:rPr>
              <w:rFonts w:ascii="黑体" w:hAnsi="黑体" w:eastAsia="黑体" w:cstheme="minorBidi"/>
              <w:szCs w:val="22"/>
            </w:rPr>
          </w:pPr>
          <w:r>
            <w:fldChar w:fldCharType="begin"/>
          </w:r>
          <w:r>
            <w:instrText xml:space="preserve"> HYPERLINK \l "_Toc177552630" </w:instrText>
          </w:r>
          <w:r>
            <w:fldChar w:fldCharType="separate"/>
          </w:r>
          <w:r>
            <w:rPr>
              <w:rStyle w:val="20"/>
              <w:rFonts w:hint="eastAsia" w:ascii="黑体" w:hAnsi="黑体" w:eastAsia="黑体"/>
            </w:rPr>
            <w:t>二、收入决算表</w:t>
          </w:r>
          <w:r>
            <w:rPr>
              <w:rFonts w:ascii="黑体" w:hAnsi="黑体" w:eastAsia="黑体"/>
            </w:rPr>
            <w:tab/>
          </w:r>
          <w:r>
            <w:rPr>
              <w:rFonts w:ascii="黑体" w:hAnsi="黑体" w:eastAsia="黑体"/>
            </w:rPr>
            <w:fldChar w:fldCharType="begin"/>
          </w:r>
          <w:r>
            <w:rPr>
              <w:rFonts w:ascii="黑体" w:hAnsi="黑体" w:eastAsia="黑体"/>
            </w:rPr>
            <w:instrText xml:space="preserve"> PAGEREF _Toc177552630 \h </w:instrText>
          </w:r>
          <w:r>
            <w:rPr>
              <w:rFonts w:ascii="黑体" w:hAnsi="黑体" w:eastAsia="黑体"/>
            </w:rPr>
            <w:fldChar w:fldCharType="separate"/>
          </w:r>
          <w:r>
            <w:rPr>
              <w:rFonts w:ascii="黑体" w:hAnsi="黑体" w:eastAsia="黑体"/>
            </w:rPr>
            <w:t>38</w:t>
          </w:r>
          <w:r>
            <w:rPr>
              <w:rFonts w:ascii="黑体" w:hAnsi="黑体" w:eastAsia="黑体"/>
            </w:rPr>
            <w:fldChar w:fldCharType="end"/>
          </w:r>
          <w:r>
            <w:rPr>
              <w:rFonts w:ascii="黑体" w:hAnsi="黑体" w:eastAsia="黑体"/>
            </w:rPr>
            <w:fldChar w:fldCharType="end"/>
          </w:r>
        </w:p>
        <w:p>
          <w:pPr>
            <w:pStyle w:val="16"/>
            <w:rPr>
              <w:rFonts w:ascii="黑体" w:hAnsi="黑体" w:eastAsia="黑体" w:cstheme="minorBidi"/>
              <w:szCs w:val="22"/>
            </w:rPr>
          </w:pPr>
          <w:r>
            <w:fldChar w:fldCharType="begin"/>
          </w:r>
          <w:r>
            <w:instrText xml:space="preserve"> HYPERLINK \l "_Toc177552631" </w:instrText>
          </w:r>
          <w:r>
            <w:fldChar w:fldCharType="separate"/>
          </w:r>
          <w:r>
            <w:rPr>
              <w:rStyle w:val="20"/>
              <w:rFonts w:hint="eastAsia" w:ascii="黑体" w:hAnsi="黑体" w:eastAsia="黑体"/>
            </w:rPr>
            <w:t>三、支出决算表</w:t>
          </w:r>
          <w:r>
            <w:rPr>
              <w:rFonts w:ascii="黑体" w:hAnsi="黑体" w:eastAsia="黑体"/>
            </w:rPr>
            <w:tab/>
          </w:r>
          <w:r>
            <w:rPr>
              <w:rFonts w:ascii="黑体" w:hAnsi="黑体" w:eastAsia="黑体"/>
            </w:rPr>
            <w:fldChar w:fldCharType="begin"/>
          </w:r>
          <w:r>
            <w:rPr>
              <w:rFonts w:ascii="黑体" w:hAnsi="黑体" w:eastAsia="黑体"/>
            </w:rPr>
            <w:instrText xml:space="preserve"> PAGEREF _Toc177552631 \h </w:instrText>
          </w:r>
          <w:r>
            <w:rPr>
              <w:rFonts w:ascii="黑体" w:hAnsi="黑体" w:eastAsia="黑体"/>
            </w:rPr>
            <w:fldChar w:fldCharType="separate"/>
          </w:r>
          <w:r>
            <w:rPr>
              <w:rFonts w:ascii="黑体" w:hAnsi="黑体" w:eastAsia="黑体"/>
            </w:rPr>
            <w:t>38</w:t>
          </w:r>
          <w:r>
            <w:rPr>
              <w:rFonts w:ascii="黑体" w:hAnsi="黑体" w:eastAsia="黑体"/>
            </w:rPr>
            <w:fldChar w:fldCharType="end"/>
          </w:r>
          <w:r>
            <w:rPr>
              <w:rFonts w:ascii="黑体" w:hAnsi="黑体" w:eastAsia="黑体"/>
            </w:rPr>
            <w:fldChar w:fldCharType="end"/>
          </w:r>
        </w:p>
        <w:p>
          <w:pPr>
            <w:pStyle w:val="16"/>
            <w:rPr>
              <w:rFonts w:ascii="黑体" w:hAnsi="黑体" w:eastAsia="黑体" w:cstheme="minorBidi"/>
              <w:szCs w:val="22"/>
            </w:rPr>
          </w:pPr>
          <w:r>
            <w:fldChar w:fldCharType="begin"/>
          </w:r>
          <w:r>
            <w:instrText xml:space="preserve"> HYPERLINK \l "_Toc177552632" </w:instrText>
          </w:r>
          <w:r>
            <w:fldChar w:fldCharType="separate"/>
          </w:r>
          <w:r>
            <w:rPr>
              <w:rStyle w:val="20"/>
              <w:rFonts w:hint="eastAsia" w:ascii="黑体" w:hAnsi="黑体" w:eastAsia="黑体"/>
            </w:rPr>
            <w:t>四、财政拨款收入支出决算总表</w:t>
          </w:r>
          <w:r>
            <w:rPr>
              <w:rFonts w:ascii="黑体" w:hAnsi="黑体" w:eastAsia="黑体"/>
            </w:rPr>
            <w:tab/>
          </w:r>
          <w:r>
            <w:rPr>
              <w:rFonts w:ascii="黑体" w:hAnsi="黑体" w:eastAsia="黑体"/>
            </w:rPr>
            <w:fldChar w:fldCharType="begin"/>
          </w:r>
          <w:r>
            <w:rPr>
              <w:rFonts w:ascii="黑体" w:hAnsi="黑体" w:eastAsia="黑体"/>
            </w:rPr>
            <w:instrText xml:space="preserve"> PAGEREF _Toc177552632 \h </w:instrText>
          </w:r>
          <w:r>
            <w:rPr>
              <w:rFonts w:ascii="黑体" w:hAnsi="黑体" w:eastAsia="黑体"/>
            </w:rPr>
            <w:fldChar w:fldCharType="separate"/>
          </w:r>
          <w:r>
            <w:rPr>
              <w:rFonts w:ascii="黑体" w:hAnsi="黑体" w:eastAsia="黑体"/>
            </w:rPr>
            <w:t>38</w:t>
          </w:r>
          <w:r>
            <w:rPr>
              <w:rFonts w:ascii="黑体" w:hAnsi="黑体" w:eastAsia="黑体"/>
            </w:rPr>
            <w:fldChar w:fldCharType="end"/>
          </w:r>
          <w:r>
            <w:rPr>
              <w:rFonts w:ascii="黑体" w:hAnsi="黑体" w:eastAsia="黑体"/>
            </w:rPr>
            <w:fldChar w:fldCharType="end"/>
          </w:r>
        </w:p>
        <w:p>
          <w:pPr>
            <w:pStyle w:val="16"/>
            <w:rPr>
              <w:rFonts w:ascii="黑体" w:hAnsi="黑体" w:eastAsia="黑体" w:cstheme="minorBidi"/>
              <w:szCs w:val="22"/>
            </w:rPr>
          </w:pPr>
          <w:r>
            <w:fldChar w:fldCharType="begin"/>
          </w:r>
          <w:r>
            <w:instrText xml:space="preserve"> HYPERLINK \l "_Toc177552633" </w:instrText>
          </w:r>
          <w:r>
            <w:fldChar w:fldCharType="separate"/>
          </w:r>
          <w:r>
            <w:rPr>
              <w:rStyle w:val="20"/>
              <w:rFonts w:hint="eastAsia" w:ascii="黑体" w:hAnsi="黑体" w:eastAsia="黑体"/>
            </w:rPr>
            <w:t>五、财政拨款支出决算明细表</w:t>
          </w:r>
          <w:r>
            <w:rPr>
              <w:rFonts w:ascii="黑体" w:hAnsi="黑体" w:eastAsia="黑体"/>
            </w:rPr>
            <w:tab/>
          </w:r>
          <w:r>
            <w:rPr>
              <w:rFonts w:ascii="黑体" w:hAnsi="黑体" w:eastAsia="黑体"/>
            </w:rPr>
            <w:fldChar w:fldCharType="begin"/>
          </w:r>
          <w:r>
            <w:rPr>
              <w:rFonts w:ascii="黑体" w:hAnsi="黑体" w:eastAsia="黑体"/>
            </w:rPr>
            <w:instrText xml:space="preserve"> PAGEREF _Toc177552633 \h </w:instrText>
          </w:r>
          <w:r>
            <w:rPr>
              <w:rFonts w:ascii="黑体" w:hAnsi="黑体" w:eastAsia="黑体"/>
            </w:rPr>
            <w:fldChar w:fldCharType="separate"/>
          </w:r>
          <w:r>
            <w:rPr>
              <w:rFonts w:ascii="黑体" w:hAnsi="黑体" w:eastAsia="黑体"/>
            </w:rPr>
            <w:t>38</w:t>
          </w:r>
          <w:r>
            <w:rPr>
              <w:rFonts w:ascii="黑体" w:hAnsi="黑体" w:eastAsia="黑体"/>
            </w:rPr>
            <w:fldChar w:fldCharType="end"/>
          </w:r>
          <w:r>
            <w:rPr>
              <w:rFonts w:ascii="黑体" w:hAnsi="黑体" w:eastAsia="黑体"/>
            </w:rPr>
            <w:fldChar w:fldCharType="end"/>
          </w:r>
        </w:p>
        <w:p>
          <w:pPr>
            <w:pStyle w:val="16"/>
            <w:rPr>
              <w:rFonts w:ascii="黑体" w:hAnsi="黑体" w:eastAsia="黑体" w:cstheme="minorBidi"/>
              <w:szCs w:val="22"/>
            </w:rPr>
          </w:pPr>
          <w:r>
            <w:fldChar w:fldCharType="begin"/>
          </w:r>
          <w:r>
            <w:instrText xml:space="preserve"> HYPERLINK \l "_Toc177552634" </w:instrText>
          </w:r>
          <w:r>
            <w:fldChar w:fldCharType="separate"/>
          </w:r>
          <w:r>
            <w:rPr>
              <w:rStyle w:val="20"/>
              <w:rFonts w:hint="eastAsia" w:ascii="黑体" w:hAnsi="黑体" w:eastAsia="黑体"/>
            </w:rPr>
            <w:t>六、一般公共预算财政拨款支出决算表</w:t>
          </w:r>
          <w:r>
            <w:rPr>
              <w:rFonts w:ascii="黑体" w:hAnsi="黑体" w:eastAsia="黑体"/>
            </w:rPr>
            <w:tab/>
          </w:r>
          <w:r>
            <w:rPr>
              <w:rFonts w:ascii="黑体" w:hAnsi="黑体" w:eastAsia="黑体"/>
            </w:rPr>
            <w:fldChar w:fldCharType="begin"/>
          </w:r>
          <w:r>
            <w:rPr>
              <w:rFonts w:ascii="黑体" w:hAnsi="黑体" w:eastAsia="黑体"/>
            </w:rPr>
            <w:instrText xml:space="preserve"> PAGEREF _Toc177552634 \h </w:instrText>
          </w:r>
          <w:r>
            <w:rPr>
              <w:rFonts w:ascii="黑体" w:hAnsi="黑体" w:eastAsia="黑体"/>
            </w:rPr>
            <w:fldChar w:fldCharType="separate"/>
          </w:r>
          <w:r>
            <w:rPr>
              <w:rFonts w:ascii="黑体" w:hAnsi="黑体" w:eastAsia="黑体"/>
            </w:rPr>
            <w:t>38</w:t>
          </w:r>
          <w:r>
            <w:rPr>
              <w:rFonts w:ascii="黑体" w:hAnsi="黑体" w:eastAsia="黑体"/>
            </w:rPr>
            <w:fldChar w:fldCharType="end"/>
          </w:r>
          <w:r>
            <w:rPr>
              <w:rFonts w:ascii="黑体" w:hAnsi="黑体" w:eastAsia="黑体"/>
            </w:rPr>
            <w:fldChar w:fldCharType="end"/>
          </w:r>
        </w:p>
        <w:p>
          <w:pPr>
            <w:pStyle w:val="16"/>
            <w:rPr>
              <w:rFonts w:ascii="黑体" w:hAnsi="黑体" w:eastAsia="黑体" w:cstheme="minorBidi"/>
              <w:szCs w:val="22"/>
            </w:rPr>
          </w:pPr>
          <w:r>
            <w:fldChar w:fldCharType="begin"/>
          </w:r>
          <w:r>
            <w:instrText xml:space="preserve"> HYPERLINK \l "_Toc177552635" </w:instrText>
          </w:r>
          <w:r>
            <w:fldChar w:fldCharType="separate"/>
          </w:r>
          <w:r>
            <w:rPr>
              <w:rStyle w:val="20"/>
              <w:rFonts w:hint="eastAsia" w:ascii="黑体" w:hAnsi="黑体" w:eastAsia="黑体"/>
            </w:rPr>
            <w:t>七、一般公共预算财政拨款支出决算明细表</w:t>
          </w:r>
          <w:r>
            <w:rPr>
              <w:rFonts w:ascii="黑体" w:hAnsi="黑体" w:eastAsia="黑体"/>
            </w:rPr>
            <w:tab/>
          </w:r>
          <w:r>
            <w:rPr>
              <w:rFonts w:ascii="黑体" w:hAnsi="黑体" w:eastAsia="黑体"/>
            </w:rPr>
            <w:fldChar w:fldCharType="begin"/>
          </w:r>
          <w:r>
            <w:rPr>
              <w:rFonts w:ascii="黑体" w:hAnsi="黑体" w:eastAsia="黑体"/>
            </w:rPr>
            <w:instrText xml:space="preserve"> PAGEREF _Toc177552635 \h </w:instrText>
          </w:r>
          <w:r>
            <w:rPr>
              <w:rFonts w:ascii="黑体" w:hAnsi="黑体" w:eastAsia="黑体"/>
            </w:rPr>
            <w:fldChar w:fldCharType="separate"/>
          </w:r>
          <w:r>
            <w:rPr>
              <w:rFonts w:ascii="黑体" w:hAnsi="黑体" w:eastAsia="黑体"/>
            </w:rPr>
            <w:t>38</w:t>
          </w:r>
          <w:r>
            <w:rPr>
              <w:rFonts w:ascii="黑体" w:hAnsi="黑体" w:eastAsia="黑体"/>
            </w:rPr>
            <w:fldChar w:fldCharType="end"/>
          </w:r>
          <w:r>
            <w:rPr>
              <w:rFonts w:ascii="黑体" w:hAnsi="黑体" w:eastAsia="黑体"/>
            </w:rPr>
            <w:fldChar w:fldCharType="end"/>
          </w:r>
        </w:p>
        <w:p>
          <w:pPr>
            <w:pStyle w:val="16"/>
            <w:rPr>
              <w:rFonts w:ascii="黑体" w:hAnsi="黑体" w:eastAsia="黑体" w:cstheme="minorBidi"/>
              <w:szCs w:val="22"/>
            </w:rPr>
          </w:pPr>
          <w:r>
            <w:fldChar w:fldCharType="begin"/>
          </w:r>
          <w:r>
            <w:instrText xml:space="preserve"> HYPERLINK \l "_Toc177552636" </w:instrText>
          </w:r>
          <w:r>
            <w:fldChar w:fldCharType="separate"/>
          </w:r>
          <w:r>
            <w:rPr>
              <w:rStyle w:val="20"/>
              <w:rFonts w:hint="eastAsia" w:ascii="黑体" w:hAnsi="黑体" w:eastAsia="黑体"/>
            </w:rPr>
            <w:t>八、一般公共预算财政拨款基本支出决算表</w:t>
          </w:r>
          <w:r>
            <w:rPr>
              <w:rFonts w:ascii="黑体" w:hAnsi="黑体" w:eastAsia="黑体"/>
            </w:rPr>
            <w:tab/>
          </w:r>
          <w:r>
            <w:rPr>
              <w:rFonts w:ascii="黑体" w:hAnsi="黑体" w:eastAsia="黑体"/>
            </w:rPr>
            <w:fldChar w:fldCharType="begin"/>
          </w:r>
          <w:r>
            <w:rPr>
              <w:rFonts w:ascii="黑体" w:hAnsi="黑体" w:eastAsia="黑体"/>
            </w:rPr>
            <w:instrText xml:space="preserve"> PAGEREF _Toc177552636 \h </w:instrText>
          </w:r>
          <w:r>
            <w:rPr>
              <w:rFonts w:ascii="黑体" w:hAnsi="黑体" w:eastAsia="黑体"/>
            </w:rPr>
            <w:fldChar w:fldCharType="separate"/>
          </w:r>
          <w:r>
            <w:rPr>
              <w:rFonts w:ascii="黑体" w:hAnsi="黑体" w:eastAsia="黑体"/>
            </w:rPr>
            <w:t>38</w:t>
          </w:r>
          <w:r>
            <w:rPr>
              <w:rFonts w:ascii="黑体" w:hAnsi="黑体" w:eastAsia="黑体"/>
            </w:rPr>
            <w:fldChar w:fldCharType="end"/>
          </w:r>
          <w:r>
            <w:rPr>
              <w:rFonts w:ascii="黑体" w:hAnsi="黑体" w:eastAsia="黑体"/>
            </w:rPr>
            <w:fldChar w:fldCharType="end"/>
          </w:r>
        </w:p>
        <w:p>
          <w:pPr>
            <w:pStyle w:val="16"/>
            <w:rPr>
              <w:rFonts w:ascii="黑体" w:hAnsi="黑体" w:eastAsia="黑体" w:cstheme="minorBidi"/>
              <w:szCs w:val="22"/>
            </w:rPr>
          </w:pPr>
          <w:r>
            <w:fldChar w:fldCharType="begin"/>
          </w:r>
          <w:r>
            <w:instrText xml:space="preserve"> HYPERLINK \l "_Toc177552637" </w:instrText>
          </w:r>
          <w:r>
            <w:fldChar w:fldCharType="separate"/>
          </w:r>
          <w:r>
            <w:rPr>
              <w:rStyle w:val="20"/>
              <w:rFonts w:hint="eastAsia" w:ascii="黑体" w:hAnsi="黑体" w:eastAsia="黑体"/>
            </w:rPr>
            <w:t>九、一般公共预算财政拨款项目支出决算表</w:t>
          </w:r>
          <w:r>
            <w:rPr>
              <w:rFonts w:ascii="黑体" w:hAnsi="黑体" w:eastAsia="黑体"/>
            </w:rPr>
            <w:tab/>
          </w:r>
          <w:r>
            <w:rPr>
              <w:rFonts w:ascii="黑体" w:hAnsi="黑体" w:eastAsia="黑体"/>
            </w:rPr>
            <w:fldChar w:fldCharType="begin"/>
          </w:r>
          <w:r>
            <w:rPr>
              <w:rFonts w:ascii="黑体" w:hAnsi="黑体" w:eastAsia="黑体"/>
            </w:rPr>
            <w:instrText xml:space="preserve"> PAGEREF _Toc177552637 \h </w:instrText>
          </w:r>
          <w:r>
            <w:rPr>
              <w:rFonts w:ascii="黑体" w:hAnsi="黑体" w:eastAsia="黑体"/>
            </w:rPr>
            <w:fldChar w:fldCharType="separate"/>
          </w:r>
          <w:r>
            <w:rPr>
              <w:rFonts w:ascii="黑体" w:hAnsi="黑体" w:eastAsia="黑体"/>
            </w:rPr>
            <w:t>38</w:t>
          </w:r>
          <w:r>
            <w:rPr>
              <w:rFonts w:ascii="黑体" w:hAnsi="黑体" w:eastAsia="黑体"/>
            </w:rPr>
            <w:fldChar w:fldCharType="end"/>
          </w:r>
          <w:r>
            <w:rPr>
              <w:rFonts w:ascii="黑体" w:hAnsi="黑体" w:eastAsia="黑体"/>
            </w:rPr>
            <w:fldChar w:fldCharType="end"/>
          </w:r>
        </w:p>
        <w:p>
          <w:pPr>
            <w:pStyle w:val="16"/>
            <w:rPr>
              <w:rFonts w:ascii="黑体" w:hAnsi="黑体" w:eastAsia="黑体" w:cstheme="minorBidi"/>
              <w:szCs w:val="22"/>
            </w:rPr>
          </w:pPr>
          <w:r>
            <w:fldChar w:fldCharType="begin"/>
          </w:r>
          <w:r>
            <w:instrText xml:space="preserve"> HYPERLINK \l "_Toc177552638" </w:instrText>
          </w:r>
          <w:r>
            <w:fldChar w:fldCharType="separate"/>
          </w:r>
          <w:r>
            <w:rPr>
              <w:rStyle w:val="20"/>
              <w:rFonts w:hint="eastAsia" w:ascii="黑体" w:hAnsi="黑体" w:eastAsia="黑体"/>
            </w:rPr>
            <w:t>十、政府性基金预算财政拨款收入支出决算表</w:t>
          </w:r>
          <w:r>
            <w:rPr>
              <w:rFonts w:ascii="黑体" w:hAnsi="黑体" w:eastAsia="黑体"/>
            </w:rPr>
            <w:tab/>
          </w:r>
          <w:r>
            <w:rPr>
              <w:rFonts w:ascii="黑体" w:hAnsi="黑体" w:eastAsia="黑体"/>
            </w:rPr>
            <w:fldChar w:fldCharType="begin"/>
          </w:r>
          <w:r>
            <w:rPr>
              <w:rFonts w:ascii="黑体" w:hAnsi="黑体" w:eastAsia="黑体"/>
            </w:rPr>
            <w:instrText xml:space="preserve"> PAGEREF _Toc177552638 \h </w:instrText>
          </w:r>
          <w:r>
            <w:rPr>
              <w:rFonts w:ascii="黑体" w:hAnsi="黑体" w:eastAsia="黑体"/>
            </w:rPr>
            <w:fldChar w:fldCharType="separate"/>
          </w:r>
          <w:r>
            <w:rPr>
              <w:rFonts w:ascii="黑体" w:hAnsi="黑体" w:eastAsia="黑体"/>
            </w:rPr>
            <w:t>38</w:t>
          </w:r>
          <w:r>
            <w:rPr>
              <w:rFonts w:ascii="黑体" w:hAnsi="黑体" w:eastAsia="黑体"/>
            </w:rPr>
            <w:fldChar w:fldCharType="end"/>
          </w:r>
          <w:r>
            <w:rPr>
              <w:rFonts w:ascii="黑体" w:hAnsi="黑体" w:eastAsia="黑体"/>
            </w:rPr>
            <w:fldChar w:fldCharType="end"/>
          </w:r>
        </w:p>
        <w:p>
          <w:pPr>
            <w:pStyle w:val="16"/>
            <w:rPr>
              <w:rFonts w:ascii="黑体" w:hAnsi="黑体" w:eastAsia="黑体" w:cstheme="minorBidi"/>
              <w:szCs w:val="22"/>
            </w:rPr>
          </w:pPr>
          <w:r>
            <w:fldChar w:fldCharType="begin"/>
          </w:r>
          <w:r>
            <w:instrText xml:space="preserve"> HYPERLINK \l "_Toc177552639" </w:instrText>
          </w:r>
          <w:r>
            <w:fldChar w:fldCharType="separate"/>
          </w:r>
          <w:r>
            <w:rPr>
              <w:rStyle w:val="20"/>
              <w:rFonts w:hint="eastAsia" w:ascii="黑体" w:hAnsi="黑体" w:eastAsia="黑体"/>
            </w:rPr>
            <w:t>十一、国有资本经营预算财政拨款收入支出决算表</w:t>
          </w:r>
          <w:r>
            <w:rPr>
              <w:rFonts w:ascii="黑体" w:hAnsi="黑体" w:eastAsia="黑体"/>
            </w:rPr>
            <w:tab/>
          </w:r>
          <w:r>
            <w:rPr>
              <w:rFonts w:ascii="黑体" w:hAnsi="黑体" w:eastAsia="黑体"/>
            </w:rPr>
            <w:fldChar w:fldCharType="begin"/>
          </w:r>
          <w:r>
            <w:rPr>
              <w:rFonts w:ascii="黑体" w:hAnsi="黑体" w:eastAsia="黑体"/>
            </w:rPr>
            <w:instrText xml:space="preserve"> PAGEREF _Toc177552639 \h </w:instrText>
          </w:r>
          <w:r>
            <w:rPr>
              <w:rFonts w:ascii="黑体" w:hAnsi="黑体" w:eastAsia="黑体"/>
            </w:rPr>
            <w:fldChar w:fldCharType="separate"/>
          </w:r>
          <w:r>
            <w:rPr>
              <w:rFonts w:ascii="黑体" w:hAnsi="黑体" w:eastAsia="黑体"/>
            </w:rPr>
            <w:t>38</w:t>
          </w:r>
          <w:r>
            <w:rPr>
              <w:rFonts w:ascii="黑体" w:hAnsi="黑体" w:eastAsia="黑体"/>
            </w:rPr>
            <w:fldChar w:fldCharType="end"/>
          </w:r>
          <w:r>
            <w:rPr>
              <w:rFonts w:ascii="黑体" w:hAnsi="黑体" w:eastAsia="黑体"/>
            </w:rPr>
            <w:fldChar w:fldCharType="end"/>
          </w:r>
        </w:p>
        <w:p>
          <w:pPr>
            <w:pStyle w:val="16"/>
            <w:rPr>
              <w:rFonts w:ascii="黑体" w:hAnsi="黑体" w:eastAsia="黑体" w:cstheme="minorBidi"/>
              <w:szCs w:val="22"/>
            </w:rPr>
          </w:pPr>
          <w:r>
            <w:fldChar w:fldCharType="begin"/>
          </w:r>
          <w:r>
            <w:instrText xml:space="preserve"> HYPERLINK \l "_Toc177552640" </w:instrText>
          </w:r>
          <w:r>
            <w:fldChar w:fldCharType="separate"/>
          </w:r>
          <w:r>
            <w:rPr>
              <w:rStyle w:val="20"/>
              <w:rFonts w:hint="eastAsia" w:ascii="黑体" w:hAnsi="黑体" w:eastAsia="黑体"/>
            </w:rPr>
            <w:t>十二、国有资本经营预算财政拨款支出决算表</w:t>
          </w:r>
          <w:r>
            <w:rPr>
              <w:rFonts w:ascii="黑体" w:hAnsi="黑体" w:eastAsia="黑体"/>
            </w:rPr>
            <w:tab/>
          </w:r>
          <w:r>
            <w:rPr>
              <w:rFonts w:ascii="黑体" w:hAnsi="黑体" w:eastAsia="黑体"/>
            </w:rPr>
            <w:fldChar w:fldCharType="begin"/>
          </w:r>
          <w:r>
            <w:rPr>
              <w:rFonts w:ascii="黑体" w:hAnsi="黑体" w:eastAsia="黑体"/>
            </w:rPr>
            <w:instrText xml:space="preserve"> PAGEREF _Toc177552640 \h </w:instrText>
          </w:r>
          <w:r>
            <w:rPr>
              <w:rFonts w:ascii="黑体" w:hAnsi="黑体" w:eastAsia="黑体"/>
            </w:rPr>
            <w:fldChar w:fldCharType="separate"/>
          </w:r>
          <w:r>
            <w:rPr>
              <w:rFonts w:ascii="黑体" w:hAnsi="黑体" w:eastAsia="黑体"/>
            </w:rPr>
            <w:t>38</w:t>
          </w:r>
          <w:r>
            <w:rPr>
              <w:rFonts w:ascii="黑体" w:hAnsi="黑体" w:eastAsia="黑体"/>
            </w:rPr>
            <w:fldChar w:fldCharType="end"/>
          </w:r>
          <w:r>
            <w:rPr>
              <w:rFonts w:ascii="黑体" w:hAnsi="黑体" w:eastAsia="黑体"/>
            </w:rPr>
            <w:fldChar w:fldCharType="end"/>
          </w:r>
        </w:p>
        <w:p>
          <w:pPr>
            <w:pStyle w:val="16"/>
            <w:rPr>
              <w:rFonts w:ascii="黑体" w:hAnsi="黑体" w:eastAsia="黑体" w:cstheme="minorBidi"/>
              <w:szCs w:val="22"/>
            </w:rPr>
          </w:pPr>
          <w:r>
            <w:fldChar w:fldCharType="begin"/>
          </w:r>
          <w:r>
            <w:instrText xml:space="preserve"> HYPERLINK \l "_Toc177552641" </w:instrText>
          </w:r>
          <w:r>
            <w:fldChar w:fldCharType="separate"/>
          </w:r>
          <w:r>
            <w:rPr>
              <w:rStyle w:val="20"/>
              <w:rFonts w:hint="eastAsia" w:ascii="黑体" w:hAnsi="黑体" w:eastAsia="黑体"/>
            </w:rPr>
            <w:t>十三、财政拨款“三公”经费支出决算表</w:t>
          </w:r>
          <w:r>
            <w:rPr>
              <w:rFonts w:ascii="黑体" w:hAnsi="黑体" w:eastAsia="黑体"/>
            </w:rPr>
            <w:tab/>
          </w:r>
          <w:r>
            <w:rPr>
              <w:rFonts w:ascii="黑体" w:hAnsi="黑体" w:eastAsia="黑体"/>
            </w:rPr>
            <w:fldChar w:fldCharType="begin"/>
          </w:r>
          <w:r>
            <w:rPr>
              <w:rFonts w:ascii="黑体" w:hAnsi="黑体" w:eastAsia="黑体"/>
            </w:rPr>
            <w:instrText xml:space="preserve"> PAGEREF _Toc177552641 \h </w:instrText>
          </w:r>
          <w:r>
            <w:rPr>
              <w:rFonts w:ascii="黑体" w:hAnsi="黑体" w:eastAsia="黑体"/>
            </w:rPr>
            <w:fldChar w:fldCharType="separate"/>
          </w:r>
          <w:r>
            <w:rPr>
              <w:rFonts w:ascii="黑体" w:hAnsi="黑体" w:eastAsia="黑体"/>
            </w:rPr>
            <w:t>38</w:t>
          </w:r>
          <w:r>
            <w:rPr>
              <w:rFonts w:ascii="黑体" w:hAnsi="黑体" w:eastAsia="黑体"/>
            </w:rPr>
            <w:fldChar w:fldCharType="end"/>
          </w:r>
          <w:r>
            <w:rPr>
              <w:rFonts w:ascii="黑体" w:hAnsi="黑体" w:eastAsia="黑体"/>
            </w:rPr>
            <w:fldChar w:fldCharType="end"/>
          </w:r>
        </w:p>
        <w:p>
          <w:r>
            <w:fldChar w:fldCharType="end"/>
          </w:r>
        </w:p>
      </w:sdtContent>
    </w:sdt>
    <w:p>
      <w:pPr>
        <w:widowControl/>
        <w:spacing w:line="440" w:lineRule="exact"/>
        <w:jc w:val="left"/>
        <w:rPr>
          <w:rFonts w:ascii="仿宋" w:hAnsi="仿宋" w:eastAsia="仿宋"/>
          <w:b/>
          <w:sz w:val="24"/>
        </w:rPr>
        <w:sectPr>
          <w:footerReference r:id="rId4" w:type="first"/>
          <w:footerReference r:id="rId3" w:type="default"/>
          <w:pgSz w:w="11906" w:h="16838"/>
          <w:pgMar w:top="1440" w:right="1800" w:bottom="1440" w:left="1800" w:header="851" w:footer="992" w:gutter="0"/>
          <w:pgNumType w:start="1"/>
          <w:cols w:space="425" w:num="1"/>
          <w:titlePg/>
          <w:docGrid w:type="lines" w:linePitch="312" w:charSpace="0"/>
        </w:sectPr>
      </w:pPr>
      <w:r>
        <w:rPr>
          <w:rFonts w:ascii="仿宋" w:hAnsi="仿宋" w:eastAsia="仿宋"/>
          <w:b/>
          <w:sz w:val="24"/>
        </w:rPr>
        <w:br w:type="page"/>
      </w:r>
    </w:p>
    <w:p>
      <w:pPr>
        <w:pStyle w:val="3"/>
        <w:jc w:val="center"/>
        <w:rPr>
          <w:rStyle w:val="21"/>
          <w:rFonts w:ascii="黑体" w:hAnsi="黑体" w:eastAsia="黑体"/>
          <w:b w:val="0"/>
          <w:bCs w:val="0"/>
        </w:rPr>
      </w:pPr>
      <w:bookmarkStart w:id="0" w:name="_Toc177552599"/>
      <w:r>
        <w:rPr>
          <w:rFonts w:hint="eastAsia" w:ascii="黑体" w:hAnsi="黑体" w:eastAsia="黑体"/>
          <w:b w:val="0"/>
        </w:rPr>
        <w:t>第一部分 单位</w:t>
      </w:r>
      <w:r>
        <w:rPr>
          <w:rStyle w:val="21"/>
          <w:rFonts w:hint="eastAsia" w:ascii="黑体" w:hAnsi="黑体" w:eastAsia="黑体"/>
          <w:b w:val="0"/>
          <w:bCs w:val="0"/>
        </w:rPr>
        <w:t>概况</w:t>
      </w:r>
      <w:bookmarkEnd w:id="0"/>
    </w:p>
    <w:p>
      <w:pPr>
        <w:widowControl/>
        <w:jc w:val="left"/>
        <w:rPr>
          <w:rFonts w:ascii="黑体" w:eastAsia="黑体"/>
          <w:sz w:val="32"/>
          <w:szCs w:val="32"/>
        </w:rPr>
      </w:pPr>
    </w:p>
    <w:p>
      <w:pPr>
        <w:pStyle w:val="4"/>
        <w:numPr>
          <w:ilvl w:val="0"/>
          <w:numId w:val="1"/>
        </w:numPr>
        <w:rPr>
          <w:rStyle w:val="22"/>
          <w:rFonts w:ascii="黑体" w:hAnsi="黑体" w:eastAsia="黑体"/>
          <w:b w:val="0"/>
          <w:bCs w:val="0"/>
          <w:color w:val="000000" w:themeColor="text1"/>
        </w:rPr>
      </w:pPr>
      <w:bookmarkStart w:id="1" w:name="_Toc177552600"/>
      <w:r>
        <w:rPr>
          <w:rStyle w:val="22"/>
          <w:rFonts w:hint="eastAsia" w:ascii="黑体" w:hAnsi="黑体" w:eastAsia="黑体"/>
          <w:b w:val="0"/>
          <w:bCs w:val="0"/>
          <w:color w:val="000000" w:themeColor="text1"/>
        </w:rPr>
        <w:t>主要职责</w:t>
      </w:r>
      <w:bookmarkEnd w:id="1"/>
    </w:p>
    <w:p>
      <w:pPr>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负责全市范围内有关产（商）品质量的监督检验、委托检验、质量仲裁检验工作；承担上级下达的各项监督检查、专项检查和定期监督检验工作；承接各类委托检验；依法受理各种仲裁检验；指导帮助企业建立完善质量检验管理体系。</w:t>
      </w:r>
    </w:p>
    <w:p/>
    <w:p>
      <w:pPr>
        <w:pStyle w:val="4"/>
        <w:numPr>
          <w:ilvl w:val="0"/>
          <w:numId w:val="1"/>
        </w:numPr>
        <w:rPr>
          <w:rFonts w:ascii="黑体" w:hAnsi="黑体" w:eastAsia="黑体"/>
          <w:b w:val="0"/>
          <w:color w:val="000000" w:themeColor="text1"/>
        </w:rPr>
      </w:pPr>
      <w:bookmarkStart w:id="2" w:name="_Toc177552601"/>
      <w:r>
        <w:rPr>
          <w:rFonts w:hint="eastAsia" w:ascii="黑体" w:hAnsi="黑体" w:eastAsia="黑体"/>
          <w:b w:val="0"/>
          <w:color w:val="000000" w:themeColor="text1"/>
        </w:rPr>
        <w:t>机构设置</w:t>
      </w:r>
      <w:bookmarkEnd w:id="2"/>
    </w:p>
    <w:p>
      <w:pPr>
        <w:spacing w:line="576"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我单位为广元市市场监督管理局下属二级预算单位，本单位</w:t>
      </w:r>
      <w:r>
        <w:rPr>
          <w:rFonts w:hint="eastAsia" w:ascii="仿宋_GB2312" w:hAnsi="仿宋_GB2312" w:eastAsia="仿宋_GB2312" w:cs="仿宋_GB2312"/>
          <w:color w:val="000000" w:themeColor="text1"/>
          <w:sz w:val="32"/>
          <w:szCs w:val="32"/>
          <w:lang w:eastAsia="zh-CN"/>
        </w:rPr>
        <w:t>无</w:t>
      </w:r>
      <w:r>
        <w:rPr>
          <w:rFonts w:hint="eastAsia" w:ascii="仿宋_GB2312" w:hAnsi="仿宋_GB2312" w:eastAsia="仿宋_GB2312" w:cs="仿宋_GB2312"/>
          <w:color w:val="000000" w:themeColor="text1"/>
          <w:sz w:val="32"/>
          <w:szCs w:val="32"/>
        </w:rPr>
        <w:t>下属机构，设有内设机构6个。</w:t>
      </w:r>
    </w:p>
    <w:p/>
    <w:p>
      <w:pPr>
        <w:widowControl/>
        <w:suppressAutoHyphens w:val="0"/>
        <w:jc w:val="left"/>
        <w:rPr>
          <w:rFonts w:ascii="仿宋" w:hAnsi="仿宋" w:eastAsia="仿宋"/>
          <w:kern w:val="0"/>
          <w:sz w:val="32"/>
          <w:szCs w:val="32"/>
        </w:rPr>
      </w:pPr>
      <w:r>
        <w:rPr>
          <w:rFonts w:ascii="仿宋" w:hAnsi="仿宋" w:eastAsia="仿宋"/>
          <w:sz w:val="32"/>
          <w:szCs w:val="32"/>
        </w:rPr>
        <w:br w:type="page"/>
      </w:r>
    </w:p>
    <w:p>
      <w:pPr>
        <w:pStyle w:val="3"/>
        <w:ind w:right="440"/>
        <w:jc w:val="center"/>
        <w:rPr>
          <w:rStyle w:val="21"/>
          <w:rFonts w:ascii="黑体" w:hAnsi="黑体" w:eastAsia="黑体"/>
          <w:b w:val="0"/>
          <w:bCs w:val="0"/>
        </w:rPr>
      </w:pPr>
      <w:bookmarkStart w:id="3" w:name="_Toc177552602"/>
      <w:r>
        <w:rPr>
          <w:rFonts w:hint="eastAsia" w:ascii="黑体" w:hAnsi="黑体" w:eastAsia="黑体"/>
          <w:b w:val="0"/>
        </w:rPr>
        <w:t>第二部分 2023年度</w:t>
      </w:r>
      <w:r>
        <w:rPr>
          <w:rStyle w:val="21"/>
          <w:rFonts w:hint="eastAsia" w:ascii="黑体" w:hAnsi="黑体" w:eastAsia="黑体"/>
          <w:b w:val="0"/>
          <w:bCs w:val="0"/>
        </w:rPr>
        <w:t>单位决算情况说明</w:t>
      </w:r>
      <w:bookmarkEnd w:id="3"/>
    </w:p>
    <w:p/>
    <w:p>
      <w:pPr>
        <w:pStyle w:val="27"/>
        <w:spacing w:line="600" w:lineRule="exact"/>
        <w:ind w:left="640" w:firstLine="0" w:firstLineChars="0"/>
        <w:outlineLvl w:val="1"/>
        <w:rPr>
          <w:rStyle w:val="22"/>
          <w:rFonts w:ascii="黑体" w:hAnsi="黑体" w:eastAsia="黑体"/>
          <w:b w:val="0"/>
        </w:rPr>
      </w:pPr>
      <w:bookmarkStart w:id="4" w:name="_Toc177552603"/>
      <w:r>
        <w:rPr>
          <w:rFonts w:hint="eastAsia" w:ascii="黑体" w:hAnsi="黑体" w:eastAsia="黑体"/>
          <w:sz w:val="32"/>
          <w:szCs w:val="32"/>
        </w:rPr>
        <w:t>一、收</w:t>
      </w:r>
      <w:r>
        <w:rPr>
          <w:rStyle w:val="22"/>
          <w:rFonts w:hint="eastAsia" w:ascii="黑体" w:hAnsi="黑体" w:eastAsia="黑体"/>
          <w:b w:val="0"/>
        </w:rPr>
        <w:t>入支出决算总体情况说明</w:t>
      </w:r>
      <w:bookmarkEnd w:id="4"/>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2023年度收、支总计均为748.78万元。与2022年度相比，收、支总计各增加14.81万元，增长2.02%。主要变动原因是人员经费增加。</w:t>
      </w:r>
    </w:p>
    <w:p>
      <w:pPr>
        <w:pStyle w:val="2"/>
        <w:jc w:val="center"/>
        <w:rPr>
          <w:rFonts w:ascii="仿宋_GB2312" w:hAnsi="仿宋_GB2312" w:eastAsia="仿宋_GB2312" w:cs="仿宋_GB2312"/>
          <w:sz w:val="32"/>
          <w:szCs w:val="32"/>
        </w:rPr>
      </w:pPr>
      <w:r>
        <w:drawing>
          <wp:inline distT="0" distB="0" distL="0" distR="0">
            <wp:extent cx="4110990" cy="2433955"/>
            <wp:effectExtent l="19050" t="0" r="3810" b="0"/>
            <wp:docPr id="3"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true" noChangeArrowheads="true"/>
                    </pic:cNvPicPr>
                  </pic:nvPicPr>
                  <pic:blipFill>
                    <a:blip r:embed="rId6"/>
                    <a:srcRect/>
                    <a:stretch>
                      <a:fillRect/>
                    </a:stretch>
                  </pic:blipFill>
                  <pic:spPr>
                    <a:xfrm>
                      <a:off x="0" y="0"/>
                      <a:ext cx="4115722" cy="2436933"/>
                    </a:xfrm>
                    <a:prstGeom prst="rect">
                      <a:avLst/>
                    </a:prstGeom>
                    <a:noFill/>
                  </pic:spPr>
                </pic:pic>
              </a:graphicData>
            </a:graphic>
          </wp:inline>
        </w:drawing>
      </w:r>
    </w:p>
    <w:p>
      <w:pPr>
        <w:pStyle w:val="2"/>
        <w:jc w:val="center"/>
      </w:pPr>
      <w:r>
        <w:rPr>
          <w:rFonts w:hint="eastAsia" w:ascii="仿宋_GB2312" w:hAnsi="仿宋_GB2312" w:eastAsia="仿宋_GB2312" w:cs="仿宋_GB2312"/>
          <w:sz w:val="32"/>
          <w:szCs w:val="32"/>
        </w:rPr>
        <w:t>（图1：收、支决算总计变动情况图）（柱状图）</w:t>
      </w:r>
    </w:p>
    <w:p>
      <w:pPr>
        <w:spacing w:line="600" w:lineRule="exact"/>
        <w:ind w:firstLine="640" w:firstLineChars="200"/>
        <w:jc w:val="left"/>
        <w:rPr>
          <w:rFonts w:ascii="仿宋_GB2312" w:hAnsi="仿宋_GB2312" w:eastAsia="仿宋_GB2312" w:cs="仿宋_GB2312"/>
          <w:sz w:val="32"/>
          <w:szCs w:val="32"/>
        </w:rPr>
      </w:pPr>
    </w:p>
    <w:p>
      <w:pPr>
        <w:pStyle w:val="27"/>
        <w:spacing w:line="600" w:lineRule="exact"/>
        <w:ind w:left="640" w:firstLine="0" w:firstLineChars="0"/>
        <w:outlineLvl w:val="1"/>
        <w:rPr>
          <w:rStyle w:val="22"/>
          <w:rFonts w:ascii="黑体" w:hAnsi="黑体" w:eastAsia="黑体"/>
          <w:b w:val="0"/>
        </w:rPr>
      </w:pPr>
      <w:bookmarkStart w:id="5" w:name="_Toc177552604"/>
      <w:r>
        <w:rPr>
          <w:rFonts w:hint="eastAsia" w:ascii="黑体" w:hAnsi="黑体" w:eastAsia="黑体"/>
          <w:sz w:val="32"/>
          <w:szCs w:val="32"/>
        </w:rPr>
        <w:t>二、收</w:t>
      </w:r>
      <w:r>
        <w:rPr>
          <w:rStyle w:val="22"/>
          <w:rFonts w:hint="eastAsia" w:ascii="黑体" w:hAnsi="黑体" w:eastAsia="黑体"/>
          <w:b w:val="0"/>
        </w:rPr>
        <w:t>入决算情况说明</w:t>
      </w:r>
      <w:bookmarkEnd w:id="5"/>
    </w:p>
    <w:p>
      <w:pPr>
        <w:spacing w:line="600" w:lineRule="exact"/>
        <w:ind w:firstLine="640" w:firstLineChars="200"/>
        <w:outlineLvl w:val="1"/>
        <w:rPr>
          <w:rFonts w:ascii="仿宋_GB2312" w:hAnsi="仿宋_GB2312" w:eastAsia="仿宋_GB2312" w:cs="仿宋_GB2312"/>
          <w:sz w:val="32"/>
          <w:szCs w:val="32"/>
        </w:rPr>
      </w:pPr>
      <w:bookmarkStart w:id="6" w:name="_Toc177552444"/>
      <w:bookmarkStart w:id="7" w:name="_Toc177552605"/>
      <w:r>
        <w:rPr>
          <w:rFonts w:hint="eastAsia" w:ascii="仿宋_GB2312" w:hAnsi="仿宋_GB2312" w:eastAsia="仿宋_GB2312" w:cs="仿宋_GB2312"/>
          <w:sz w:val="32"/>
          <w:szCs w:val="32"/>
        </w:rPr>
        <w:t>2023年度本年收入合计748.78万元，其中：一般公共预算财政拨款收入681.42万元，占91%；其他收入67.36万元，占9%。</w:t>
      </w:r>
      <w:bookmarkEnd w:id="6"/>
      <w:bookmarkEnd w:id="7"/>
    </w:p>
    <w:p>
      <w:pPr>
        <w:spacing w:line="600" w:lineRule="exact"/>
        <w:ind w:firstLine="642" w:firstLineChars="200"/>
        <w:outlineLvl w:val="1"/>
        <w:rPr>
          <w:rFonts w:ascii="仿宋" w:hAnsi="仿宋" w:eastAsia="仿宋"/>
          <w:b/>
          <w:sz w:val="32"/>
          <w:szCs w:val="32"/>
        </w:rPr>
      </w:pPr>
    </w:p>
    <w:p>
      <w:pPr>
        <w:pStyle w:val="2"/>
        <w:jc w:val="center"/>
        <w:rPr>
          <w:rFonts w:ascii="仿宋_GB2312" w:hAnsi="仿宋_GB2312" w:eastAsia="仿宋_GB2312" w:cs="仿宋_GB2312"/>
          <w:sz w:val="32"/>
          <w:szCs w:val="32"/>
        </w:rPr>
      </w:pPr>
      <w:r>
        <w:drawing>
          <wp:inline distT="0" distB="0" distL="0" distR="0">
            <wp:extent cx="4221480" cy="2541905"/>
            <wp:effectExtent l="19050" t="0" r="7620" b="0"/>
            <wp:docPr id="6"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true" noChangeArrowheads="true"/>
                    </pic:cNvPicPr>
                  </pic:nvPicPr>
                  <pic:blipFill>
                    <a:blip r:embed="rId7"/>
                    <a:srcRect/>
                    <a:stretch>
                      <a:fillRect/>
                    </a:stretch>
                  </pic:blipFill>
                  <pic:spPr>
                    <a:xfrm>
                      <a:off x="0" y="0"/>
                      <a:ext cx="4225884" cy="2544637"/>
                    </a:xfrm>
                    <a:prstGeom prst="rect">
                      <a:avLst/>
                    </a:prstGeom>
                    <a:noFill/>
                  </pic:spPr>
                </pic:pic>
              </a:graphicData>
            </a:graphic>
          </wp:inline>
        </w:drawing>
      </w:r>
    </w:p>
    <w:p>
      <w:pPr>
        <w:pStyle w:val="2"/>
        <w:jc w:val="center"/>
      </w:pPr>
      <w:r>
        <w:rPr>
          <w:rFonts w:hint="eastAsia" w:ascii="仿宋_GB2312" w:hAnsi="仿宋_GB2312" w:eastAsia="仿宋_GB2312" w:cs="仿宋_GB2312"/>
          <w:sz w:val="32"/>
          <w:szCs w:val="32"/>
        </w:rPr>
        <w:t>（图2：收入决算结构图）（饼状图）</w:t>
      </w:r>
    </w:p>
    <w:p>
      <w:pPr>
        <w:spacing w:line="600" w:lineRule="exact"/>
        <w:ind w:firstLine="640" w:firstLineChars="200"/>
        <w:rPr>
          <w:rFonts w:ascii="仿宋_GB2312" w:eastAsia="仿宋_GB2312"/>
          <w:sz w:val="32"/>
          <w:szCs w:val="32"/>
        </w:rPr>
      </w:pPr>
    </w:p>
    <w:p>
      <w:pPr>
        <w:pStyle w:val="27"/>
        <w:spacing w:line="600" w:lineRule="exact"/>
        <w:ind w:left="640" w:firstLine="0" w:firstLineChars="0"/>
        <w:outlineLvl w:val="1"/>
        <w:rPr>
          <w:rStyle w:val="22"/>
          <w:rFonts w:ascii="黑体" w:hAnsi="黑体" w:eastAsia="黑体"/>
          <w:b w:val="0"/>
        </w:rPr>
      </w:pPr>
      <w:bookmarkStart w:id="8" w:name="_Toc177552606"/>
      <w:r>
        <w:rPr>
          <w:rFonts w:hint="eastAsia" w:ascii="黑体" w:hAnsi="黑体" w:eastAsia="黑体"/>
          <w:sz w:val="32"/>
          <w:szCs w:val="32"/>
        </w:rPr>
        <w:t>三、支</w:t>
      </w:r>
      <w:r>
        <w:rPr>
          <w:rStyle w:val="22"/>
          <w:rFonts w:hint="eastAsia" w:ascii="黑体" w:hAnsi="黑体" w:eastAsia="黑体"/>
          <w:b w:val="0"/>
        </w:rPr>
        <w:t>出决算情况说明</w:t>
      </w:r>
      <w:bookmarkEnd w:id="8"/>
    </w:p>
    <w:p>
      <w:pPr>
        <w:spacing w:line="600" w:lineRule="exact"/>
        <w:ind w:firstLine="640" w:firstLineChars="200"/>
        <w:outlineLvl w:val="1"/>
        <w:rPr>
          <w:rFonts w:ascii="仿宋" w:hAnsi="仿宋" w:eastAsia="仿宋"/>
          <w:sz w:val="32"/>
          <w:szCs w:val="32"/>
        </w:rPr>
      </w:pPr>
      <w:bookmarkStart w:id="9" w:name="_Toc177552446"/>
      <w:bookmarkStart w:id="10" w:name="_Toc177552607"/>
      <w:r>
        <w:rPr>
          <w:rFonts w:hint="eastAsia" w:ascii="仿宋" w:hAnsi="仿宋" w:eastAsia="仿宋"/>
          <w:sz w:val="32"/>
          <w:szCs w:val="32"/>
        </w:rPr>
        <w:t>2023年度本年支出合计748.72万元，其中：基本支出526.22万元，占70.28</w:t>
      </w:r>
      <w:r>
        <w:rPr>
          <w:rFonts w:ascii="仿宋" w:hAnsi="仿宋" w:eastAsia="仿宋"/>
          <w:sz w:val="32"/>
          <w:szCs w:val="32"/>
        </w:rPr>
        <w:t>%</w:t>
      </w:r>
      <w:r>
        <w:rPr>
          <w:rFonts w:hint="eastAsia" w:ascii="仿宋" w:hAnsi="仿宋" w:eastAsia="仿宋"/>
          <w:sz w:val="32"/>
          <w:szCs w:val="32"/>
        </w:rPr>
        <w:t>；项目支出222.50万元，占29.72</w:t>
      </w:r>
      <w:r>
        <w:rPr>
          <w:rFonts w:ascii="仿宋" w:hAnsi="仿宋" w:eastAsia="仿宋"/>
          <w:sz w:val="32"/>
          <w:szCs w:val="32"/>
        </w:rPr>
        <w:t>%</w:t>
      </w:r>
      <w:r>
        <w:rPr>
          <w:rFonts w:hint="eastAsia" w:ascii="仿宋" w:hAnsi="仿宋" w:eastAsia="仿宋"/>
          <w:sz w:val="32"/>
          <w:szCs w:val="32"/>
        </w:rPr>
        <w:t>。</w:t>
      </w:r>
      <w:bookmarkEnd w:id="9"/>
      <w:bookmarkEnd w:id="10"/>
    </w:p>
    <w:p>
      <w:pPr>
        <w:pStyle w:val="2"/>
        <w:jc w:val="center"/>
        <w:rPr>
          <w:rFonts w:ascii="仿宋_GB2312" w:hAnsi="仿宋_GB2312" w:eastAsia="仿宋_GB2312" w:cs="仿宋_GB2312"/>
          <w:sz w:val="32"/>
          <w:szCs w:val="32"/>
        </w:rPr>
      </w:pPr>
      <w:r>
        <w:drawing>
          <wp:inline distT="0" distB="0" distL="0" distR="0">
            <wp:extent cx="4095750" cy="2463800"/>
            <wp:effectExtent l="19050" t="0" r="0" b="0"/>
            <wp:docPr id="10" name="图片 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0" name="图片 4"/>
                    <pic:cNvPicPr>
                      <a:picLocks noChangeAspect="true" noChangeArrowheads="true"/>
                    </pic:cNvPicPr>
                  </pic:nvPicPr>
                  <pic:blipFill>
                    <a:blip r:embed="rId8"/>
                    <a:srcRect/>
                    <a:stretch>
                      <a:fillRect/>
                    </a:stretch>
                  </pic:blipFill>
                  <pic:spPr>
                    <a:xfrm>
                      <a:off x="0" y="0"/>
                      <a:ext cx="4100464" cy="2466858"/>
                    </a:xfrm>
                    <a:prstGeom prst="rect">
                      <a:avLst/>
                    </a:prstGeom>
                    <a:noFill/>
                  </pic:spPr>
                </pic:pic>
              </a:graphicData>
            </a:graphic>
          </wp:inline>
        </w:drawing>
      </w:r>
    </w:p>
    <w:p>
      <w:pPr>
        <w:pStyle w:val="2"/>
        <w:jc w:val="center"/>
      </w:pPr>
      <w:r>
        <w:rPr>
          <w:rFonts w:hint="eastAsia" w:ascii="仿宋_GB2312" w:hAnsi="仿宋_GB2312" w:eastAsia="仿宋_GB2312" w:cs="仿宋_GB2312"/>
          <w:sz w:val="32"/>
          <w:szCs w:val="32"/>
        </w:rPr>
        <w:t>（图3：支出决算结构图）（饼状图）</w:t>
      </w:r>
    </w:p>
    <w:p>
      <w:pPr>
        <w:spacing w:line="600" w:lineRule="exact"/>
        <w:ind w:firstLine="640" w:firstLineChars="200"/>
        <w:rPr>
          <w:rFonts w:ascii="仿宋_GB2312" w:eastAsia="仿宋_GB2312"/>
          <w:sz w:val="32"/>
          <w:szCs w:val="32"/>
        </w:rPr>
      </w:pPr>
    </w:p>
    <w:p>
      <w:pPr>
        <w:spacing w:line="600" w:lineRule="exact"/>
        <w:ind w:firstLine="640" w:firstLineChars="200"/>
        <w:outlineLvl w:val="1"/>
        <w:rPr>
          <w:rStyle w:val="22"/>
          <w:rFonts w:ascii="黑体" w:hAnsi="黑体" w:eastAsia="黑体"/>
          <w:b w:val="0"/>
        </w:rPr>
      </w:pPr>
      <w:bookmarkStart w:id="11" w:name="_Toc177552608"/>
      <w:r>
        <w:rPr>
          <w:rFonts w:hint="eastAsia" w:ascii="黑体" w:hAnsi="黑体" w:eastAsia="黑体"/>
          <w:sz w:val="32"/>
          <w:szCs w:val="32"/>
        </w:rPr>
        <w:t>四、财</w:t>
      </w:r>
      <w:r>
        <w:rPr>
          <w:rStyle w:val="22"/>
          <w:rFonts w:hint="eastAsia" w:ascii="黑体" w:hAnsi="黑体" w:eastAsia="黑体"/>
          <w:b w:val="0"/>
        </w:rPr>
        <w:t>政拨款收入支出决算总体情况说明</w:t>
      </w:r>
      <w:bookmarkEnd w:id="11"/>
    </w:p>
    <w:p>
      <w:pPr>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2023年度财政拨款收、支总计均为681.42万元。与2022年度相比，财政拨款收、支总计各增加6.58万元，增长0.98%。主要变动原因是人员经费增加。</w:t>
      </w:r>
    </w:p>
    <w:p>
      <w:pPr>
        <w:pStyle w:val="2"/>
        <w:jc w:val="center"/>
        <w:rPr>
          <w:rFonts w:ascii="仿宋_GB2312" w:hAnsi="仿宋_GB2312" w:eastAsia="仿宋_GB2312" w:cs="仿宋_GB2312"/>
          <w:sz w:val="32"/>
          <w:szCs w:val="32"/>
        </w:rPr>
      </w:pPr>
      <w:r>
        <w:drawing>
          <wp:inline distT="0" distB="0" distL="0" distR="0">
            <wp:extent cx="3981450" cy="2580005"/>
            <wp:effectExtent l="19050" t="0" r="0" b="0"/>
            <wp:docPr id="13" name="图片 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3" name="图片 5"/>
                    <pic:cNvPicPr>
                      <a:picLocks noChangeAspect="true" noChangeArrowheads="true"/>
                    </pic:cNvPicPr>
                  </pic:nvPicPr>
                  <pic:blipFill>
                    <a:blip r:embed="rId9"/>
                    <a:srcRect/>
                    <a:stretch>
                      <a:fillRect/>
                    </a:stretch>
                  </pic:blipFill>
                  <pic:spPr>
                    <a:xfrm>
                      <a:off x="0" y="0"/>
                      <a:ext cx="3985703" cy="2583071"/>
                    </a:xfrm>
                    <a:prstGeom prst="rect">
                      <a:avLst/>
                    </a:prstGeom>
                    <a:noFill/>
                  </pic:spPr>
                </pic:pic>
              </a:graphicData>
            </a:graphic>
          </wp:inline>
        </w:drawing>
      </w:r>
    </w:p>
    <w:p>
      <w:pPr>
        <w:pStyle w:val="2"/>
        <w:jc w:val="center"/>
      </w:pPr>
      <w:r>
        <w:rPr>
          <w:rFonts w:hint="eastAsia" w:ascii="仿宋_GB2312" w:hAnsi="仿宋_GB2312" w:eastAsia="仿宋_GB2312" w:cs="仿宋_GB2312"/>
          <w:sz w:val="32"/>
          <w:szCs w:val="32"/>
        </w:rPr>
        <w:t>（图4：财政拨款收、支决算总计变动情况）（柱状图）</w:t>
      </w:r>
    </w:p>
    <w:p>
      <w:pPr>
        <w:spacing w:line="600" w:lineRule="exact"/>
        <w:ind w:firstLine="640"/>
        <w:rPr>
          <w:rFonts w:ascii="仿宋_GB2312" w:hAnsi="仿宋_GB2312" w:eastAsia="仿宋_GB2312" w:cs="仿宋_GB2312"/>
          <w:b/>
          <w:sz w:val="32"/>
          <w:szCs w:val="32"/>
        </w:rPr>
      </w:pPr>
    </w:p>
    <w:p>
      <w:pPr>
        <w:spacing w:line="600" w:lineRule="exact"/>
        <w:ind w:firstLine="640" w:firstLineChars="200"/>
        <w:outlineLvl w:val="1"/>
        <w:rPr>
          <w:rStyle w:val="22"/>
          <w:rFonts w:ascii="黑体" w:hAnsi="黑体" w:eastAsia="黑体"/>
          <w:b w:val="0"/>
        </w:rPr>
      </w:pPr>
      <w:bookmarkStart w:id="12" w:name="_Toc177552609"/>
      <w:r>
        <w:rPr>
          <w:rFonts w:hint="eastAsia" w:ascii="黑体" w:hAnsi="黑体" w:eastAsia="黑体"/>
          <w:sz w:val="32"/>
          <w:szCs w:val="32"/>
        </w:rPr>
        <w:t>五、</w:t>
      </w:r>
      <w:r>
        <w:rPr>
          <w:rFonts w:hint="eastAsia" w:ascii="黑体" w:hAnsi="黑体" w:eastAsia="黑体"/>
          <w:b/>
          <w:sz w:val="32"/>
          <w:szCs w:val="32"/>
        </w:rPr>
        <w:t>一</w:t>
      </w:r>
      <w:r>
        <w:rPr>
          <w:rStyle w:val="22"/>
          <w:rFonts w:hint="eastAsia" w:ascii="黑体" w:hAnsi="黑体" w:eastAsia="黑体"/>
          <w:b w:val="0"/>
        </w:rPr>
        <w:t>般公共预算财政拨款支出决算情况说明</w:t>
      </w:r>
      <w:bookmarkEnd w:id="12"/>
    </w:p>
    <w:p>
      <w:pPr>
        <w:spacing w:line="600" w:lineRule="exact"/>
        <w:ind w:firstLine="642" w:firstLineChars="200"/>
        <w:outlineLvl w:val="2"/>
        <w:rPr>
          <w:rFonts w:ascii="仿宋_GB2312" w:hAnsi="仿宋_GB2312" w:eastAsia="仿宋_GB2312" w:cs="仿宋_GB2312"/>
          <w:b/>
          <w:sz w:val="32"/>
          <w:szCs w:val="32"/>
        </w:rPr>
      </w:pPr>
      <w:bookmarkStart w:id="13" w:name="_Toc177552610"/>
      <w:r>
        <w:rPr>
          <w:rFonts w:hint="eastAsia" w:ascii="仿宋_GB2312" w:hAnsi="仿宋_GB2312" w:eastAsia="仿宋_GB2312" w:cs="仿宋_GB2312"/>
          <w:b/>
          <w:sz w:val="32"/>
          <w:szCs w:val="32"/>
        </w:rPr>
        <w:t>（一）一般公共预算财政拨款支出决算总体情况</w:t>
      </w:r>
      <w:bookmarkEnd w:id="13"/>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2023年度一般公共预算财政拨款支出681.36万元，占本年支出合计的91.00%。与2022年度相比，一般公共预算财政拨款支出增加6.52万元，增长0.97%。主要变动原因是人员经费增加。</w:t>
      </w:r>
    </w:p>
    <w:p>
      <w:pPr>
        <w:pStyle w:val="2"/>
        <w:jc w:val="center"/>
        <w:rPr>
          <w:rFonts w:ascii="仿宋_GB2312" w:hAnsi="仿宋_GB2312" w:eastAsia="仿宋_GB2312" w:cs="仿宋_GB2312"/>
          <w:sz w:val="32"/>
          <w:szCs w:val="32"/>
        </w:rPr>
      </w:pPr>
      <w:r>
        <w:drawing>
          <wp:inline distT="0" distB="0" distL="0" distR="0">
            <wp:extent cx="3996690" cy="2602230"/>
            <wp:effectExtent l="19050" t="0" r="3810" b="0"/>
            <wp:docPr id="17" name="图片 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7" name="图片 6"/>
                    <pic:cNvPicPr>
                      <a:picLocks noChangeAspect="true" noChangeArrowheads="true"/>
                    </pic:cNvPicPr>
                  </pic:nvPicPr>
                  <pic:blipFill>
                    <a:blip r:embed="rId10"/>
                    <a:srcRect/>
                    <a:stretch>
                      <a:fillRect/>
                    </a:stretch>
                  </pic:blipFill>
                  <pic:spPr>
                    <a:xfrm>
                      <a:off x="0" y="0"/>
                      <a:ext cx="4004395" cy="2607625"/>
                    </a:xfrm>
                    <a:prstGeom prst="rect">
                      <a:avLst/>
                    </a:prstGeom>
                    <a:noFill/>
                  </pic:spPr>
                </pic:pic>
              </a:graphicData>
            </a:graphic>
          </wp:inline>
        </w:drawing>
      </w:r>
    </w:p>
    <w:p>
      <w:pPr>
        <w:pStyle w:val="2"/>
        <w:jc w:val="center"/>
      </w:pPr>
      <w:r>
        <w:rPr>
          <w:rFonts w:hint="eastAsia" w:ascii="仿宋_GB2312" w:hAnsi="仿宋_GB2312" w:eastAsia="仿宋_GB2312" w:cs="仿宋_GB2312"/>
          <w:sz w:val="32"/>
          <w:szCs w:val="32"/>
        </w:rPr>
        <w:t>（图5：一般公共预算财政拨款支出决算变动情况）（柱状图）</w:t>
      </w:r>
    </w:p>
    <w:p>
      <w:pPr>
        <w:spacing w:line="600" w:lineRule="exact"/>
        <w:ind w:firstLine="640" w:firstLineChars="200"/>
        <w:rPr>
          <w:rFonts w:ascii="仿宋_GB2312" w:hAnsi="仿宋_GB2312" w:eastAsia="仿宋_GB2312" w:cs="仿宋_GB2312"/>
          <w:sz w:val="32"/>
          <w:szCs w:val="32"/>
        </w:rPr>
      </w:pPr>
    </w:p>
    <w:p>
      <w:pPr>
        <w:spacing w:line="600" w:lineRule="exact"/>
        <w:ind w:firstLine="642" w:firstLineChars="200"/>
        <w:outlineLvl w:val="2"/>
        <w:rPr>
          <w:rFonts w:ascii="仿宋_GB2312" w:hAnsi="仿宋_GB2312" w:eastAsia="仿宋_GB2312" w:cs="仿宋_GB2312"/>
          <w:b/>
          <w:sz w:val="32"/>
          <w:szCs w:val="32"/>
        </w:rPr>
      </w:pPr>
      <w:bookmarkStart w:id="14" w:name="_Toc177552611"/>
      <w:r>
        <w:rPr>
          <w:rFonts w:hint="eastAsia" w:ascii="仿宋_GB2312" w:hAnsi="仿宋_GB2312" w:eastAsia="仿宋_GB2312" w:cs="仿宋_GB2312"/>
          <w:b/>
          <w:sz w:val="32"/>
          <w:szCs w:val="32"/>
        </w:rPr>
        <w:t>（二）一般公共预算财政拨款支出决算结构情况</w:t>
      </w:r>
      <w:bookmarkEnd w:id="14"/>
    </w:p>
    <w:p>
      <w:pPr>
        <w:spacing w:line="600" w:lineRule="exact"/>
        <w:ind w:firstLine="640"/>
        <w:rPr>
          <w:rFonts w:ascii="仿宋_GB2312" w:hAnsi="仿宋_GB2312" w:eastAsia="仿宋_GB2312" w:cs="仿宋_GB2312"/>
          <w:b/>
          <w:sz w:val="32"/>
          <w:szCs w:val="32"/>
        </w:rPr>
      </w:pPr>
      <w:r>
        <w:rPr>
          <w:rFonts w:hint="eastAsia" w:ascii="仿宋_GB2312" w:hAnsi="仿宋_GB2312" w:eastAsia="仿宋_GB2312" w:cs="仿宋_GB2312"/>
          <w:sz w:val="32"/>
          <w:szCs w:val="32"/>
        </w:rPr>
        <w:t>2023年度一般公共预算财政拨款支出681.36万元，主要用于以下方面</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sz w:val="32"/>
          <w:szCs w:val="32"/>
        </w:rPr>
        <w:t>一般公共服务支出559.07万元，占82.05</w:t>
      </w:r>
      <w:r>
        <w:rPr>
          <w:rFonts w:ascii="仿宋_GB2312" w:hAnsi="仿宋_GB2312" w:eastAsia="仿宋_GB2312" w:cs="仿宋_GB2312"/>
          <w:b/>
          <w:sz w:val="32"/>
          <w:szCs w:val="32"/>
        </w:rPr>
        <w:t>%</w:t>
      </w:r>
      <w:r>
        <w:rPr>
          <w:rFonts w:hint="eastAsia" w:ascii="仿宋_GB2312" w:hAnsi="仿宋_GB2312" w:eastAsia="仿宋_GB2312" w:cs="仿宋_GB2312"/>
          <w:b/>
          <w:sz w:val="32"/>
          <w:szCs w:val="32"/>
        </w:rPr>
        <w:t>；社会保障和就业支出69.41万元，占10.19</w:t>
      </w:r>
      <w:r>
        <w:rPr>
          <w:rFonts w:ascii="仿宋_GB2312" w:hAnsi="仿宋_GB2312" w:eastAsia="仿宋_GB2312" w:cs="仿宋_GB2312"/>
          <w:b/>
          <w:sz w:val="32"/>
          <w:szCs w:val="32"/>
        </w:rPr>
        <w:t>%</w:t>
      </w:r>
      <w:r>
        <w:rPr>
          <w:rFonts w:hint="eastAsia" w:ascii="仿宋_GB2312" w:hAnsi="仿宋_GB2312" w:eastAsia="仿宋_GB2312" w:cs="仿宋_GB2312"/>
          <w:b/>
          <w:sz w:val="32"/>
          <w:szCs w:val="32"/>
        </w:rPr>
        <w:t>；卫生健康支出18.95万元，占2.78</w:t>
      </w:r>
      <w:r>
        <w:rPr>
          <w:rFonts w:ascii="仿宋_GB2312" w:hAnsi="仿宋_GB2312" w:eastAsia="仿宋_GB2312" w:cs="仿宋_GB2312"/>
          <w:b/>
          <w:sz w:val="32"/>
          <w:szCs w:val="32"/>
        </w:rPr>
        <w:t>%</w:t>
      </w:r>
      <w:r>
        <w:rPr>
          <w:rFonts w:hint="eastAsia" w:ascii="仿宋_GB2312" w:hAnsi="仿宋_GB2312" w:eastAsia="仿宋_GB2312" w:cs="仿宋_GB2312"/>
          <w:b/>
          <w:sz w:val="32"/>
          <w:szCs w:val="32"/>
        </w:rPr>
        <w:t>；住房保障支出33.94万元，占4.98</w:t>
      </w:r>
      <w:r>
        <w:rPr>
          <w:rFonts w:ascii="仿宋_GB2312" w:hAnsi="仿宋_GB2312" w:eastAsia="仿宋_GB2312" w:cs="仿宋_GB2312"/>
          <w:b/>
          <w:sz w:val="32"/>
          <w:szCs w:val="32"/>
        </w:rPr>
        <w:t>%</w:t>
      </w:r>
      <w:r>
        <w:rPr>
          <w:rFonts w:hint="eastAsia" w:ascii="仿宋_GB2312" w:hAnsi="仿宋_GB2312" w:eastAsia="仿宋_GB2312" w:cs="仿宋_GB2312"/>
          <w:b/>
          <w:sz w:val="32"/>
          <w:szCs w:val="32"/>
        </w:rPr>
        <w:t>。</w:t>
      </w:r>
    </w:p>
    <w:p>
      <w:pPr>
        <w:pStyle w:val="2"/>
        <w:jc w:val="center"/>
        <w:rPr>
          <w:rFonts w:ascii="仿宋_GB2312" w:hAnsi="仿宋_GB2312" w:eastAsia="仿宋_GB2312" w:cs="仿宋_GB2312"/>
          <w:sz w:val="32"/>
          <w:szCs w:val="32"/>
        </w:rPr>
      </w:pPr>
      <w:r>
        <w:drawing>
          <wp:inline distT="0" distB="0" distL="0" distR="0">
            <wp:extent cx="3981450" cy="2400300"/>
            <wp:effectExtent l="19050" t="0" r="0" b="0"/>
            <wp:docPr id="19" name="图片 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9" name="图片 7"/>
                    <pic:cNvPicPr>
                      <a:picLocks noChangeAspect="true" noChangeArrowheads="true"/>
                    </pic:cNvPicPr>
                  </pic:nvPicPr>
                  <pic:blipFill>
                    <a:blip r:embed="rId11"/>
                    <a:srcRect/>
                    <a:stretch>
                      <a:fillRect/>
                    </a:stretch>
                  </pic:blipFill>
                  <pic:spPr>
                    <a:xfrm>
                      <a:off x="0" y="0"/>
                      <a:ext cx="3989859" cy="2405837"/>
                    </a:xfrm>
                    <a:prstGeom prst="rect">
                      <a:avLst/>
                    </a:prstGeom>
                    <a:noFill/>
                  </pic:spPr>
                </pic:pic>
              </a:graphicData>
            </a:graphic>
          </wp:inline>
        </w:drawing>
      </w:r>
    </w:p>
    <w:p>
      <w:pPr>
        <w:pStyle w:val="2"/>
        <w:jc w:val="center"/>
      </w:pPr>
      <w:r>
        <w:rPr>
          <w:rFonts w:hint="eastAsia" w:ascii="仿宋_GB2312" w:hAnsi="仿宋_GB2312" w:eastAsia="仿宋_GB2312" w:cs="仿宋_GB2312"/>
          <w:sz w:val="32"/>
          <w:szCs w:val="32"/>
        </w:rPr>
        <w:t>（图6：一般公共预算财政拨款支出决算结构）（饼状图）</w:t>
      </w:r>
    </w:p>
    <w:p>
      <w:pPr>
        <w:spacing w:line="600" w:lineRule="exact"/>
        <w:ind w:firstLine="640" w:firstLineChars="200"/>
        <w:rPr>
          <w:rFonts w:ascii="仿宋" w:hAnsi="仿宋" w:eastAsia="仿宋"/>
          <w:sz w:val="32"/>
          <w:szCs w:val="32"/>
        </w:rPr>
      </w:pPr>
    </w:p>
    <w:p>
      <w:pPr>
        <w:spacing w:line="600" w:lineRule="exact"/>
        <w:ind w:firstLine="642" w:firstLineChars="200"/>
        <w:outlineLvl w:val="2"/>
        <w:rPr>
          <w:rFonts w:ascii="仿宋_GB2312" w:hAnsi="仿宋_GB2312" w:eastAsia="仿宋_GB2312" w:cs="仿宋_GB2312"/>
          <w:b/>
          <w:sz w:val="32"/>
          <w:szCs w:val="32"/>
        </w:rPr>
      </w:pPr>
      <w:bookmarkStart w:id="15" w:name="_Toc177552612"/>
      <w:r>
        <w:rPr>
          <w:rFonts w:hint="eastAsia" w:ascii="仿宋_GB2312" w:hAnsi="仿宋_GB2312" w:eastAsia="仿宋_GB2312" w:cs="仿宋_GB2312"/>
          <w:b/>
          <w:sz w:val="32"/>
          <w:szCs w:val="32"/>
        </w:rPr>
        <w:t>（三）一般公共预算财政拨款支出决算具体情况</w:t>
      </w:r>
      <w:bookmarkEnd w:id="15"/>
    </w:p>
    <w:p>
      <w:pPr>
        <w:spacing w:line="600" w:lineRule="exact"/>
        <w:ind w:firstLine="642" w:firstLineChars="200"/>
        <w:outlineLvl w:val="2"/>
        <w:rPr>
          <w:rFonts w:ascii="仿宋_GB2312" w:hAnsi="仿宋_GB2312" w:eastAsia="仿宋_GB2312" w:cs="仿宋_GB2312"/>
          <w:sz w:val="32"/>
          <w:szCs w:val="32"/>
        </w:rPr>
      </w:pPr>
      <w:bookmarkStart w:id="16" w:name="_Toc177552613"/>
      <w:bookmarkStart w:id="17" w:name="_Toc177552452"/>
      <w:r>
        <w:rPr>
          <w:rFonts w:hint="eastAsia" w:ascii="仿宋_GB2312" w:hAnsi="仿宋_GB2312" w:eastAsia="仿宋_GB2312" w:cs="仿宋_GB2312"/>
          <w:b/>
          <w:sz w:val="32"/>
          <w:szCs w:val="32"/>
        </w:rPr>
        <w:t>2023年度一般公共预算支出决算数为681.36万元</w:t>
      </w:r>
      <w:r>
        <w:rPr>
          <w:rFonts w:hint="eastAsia" w:ascii="仿宋_GB2312" w:hAnsi="仿宋_GB2312" w:eastAsia="仿宋_GB2312" w:cs="仿宋_GB2312"/>
          <w:sz w:val="32"/>
          <w:szCs w:val="32"/>
        </w:rPr>
        <w:t>，</w:t>
      </w:r>
      <w:r>
        <w:rPr>
          <w:rStyle w:val="19"/>
          <w:rFonts w:hint="eastAsia" w:ascii="仿宋_GB2312" w:hAnsi="仿宋_GB2312" w:eastAsia="仿宋_GB2312" w:cs="仿宋_GB2312"/>
          <w:bCs/>
          <w:sz w:val="32"/>
          <w:szCs w:val="32"/>
        </w:rPr>
        <w:t>完成预算</w:t>
      </w:r>
      <w:r>
        <w:rPr>
          <w:rStyle w:val="19"/>
          <w:rFonts w:hint="eastAsia" w:ascii="仿宋_GB2312" w:hAnsi="仿宋_GB2312" w:eastAsia="仿宋_GB2312" w:cs="仿宋_GB2312"/>
          <w:bCs/>
          <w:sz w:val="32"/>
          <w:szCs w:val="32"/>
          <w:lang w:val="en-US" w:eastAsia="zh-CN"/>
        </w:rPr>
        <w:t>99.99</w:t>
      </w:r>
      <w:r>
        <w:rPr>
          <w:rStyle w:val="19"/>
          <w:rFonts w:hint="eastAsia" w:ascii="仿宋_GB2312" w:hAnsi="仿宋_GB2312" w:eastAsia="仿宋_GB2312" w:cs="仿宋_GB2312"/>
          <w:bCs/>
          <w:sz w:val="32"/>
          <w:szCs w:val="32"/>
        </w:rPr>
        <w:t>%。其中：</w:t>
      </w:r>
      <w:bookmarkEnd w:id="16"/>
      <w:bookmarkEnd w:id="17"/>
    </w:p>
    <w:p>
      <w:pPr>
        <w:spacing w:line="560" w:lineRule="exact"/>
        <w:ind w:firstLine="640" w:firstLineChars="200"/>
        <w:rPr>
          <w:rFonts w:ascii="仿宋" w:hAnsi="仿宋" w:eastAsia="仿宋"/>
          <w:sz w:val="32"/>
          <w:szCs w:val="32"/>
        </w:rPr>
      </w:pPr>
      <w:r>
        <w:rPr>
          <w:rFonts w:hint="eastAsia" w:ascii="仿宋" w:hAnsi="仿宋" w:eastAsia="仿宋"/>
          <w:sz w:val="32"/>
          <w:szCs w:val="32"/>
        </w:rPr>
        <w:t>1.一般公共服务（类）市场监督管理事务（款）质量安全监管（项）：支出决算为123万元，完成预算的100%。</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2.一般公共服务（类）市场监督管理事务（款）事业运行（项）：支出决算为336.57万元，完成预算的</w:t>
      </w:r>
      <w:r>
        <w:rPr>
          <w:rFonts w:hint="eastAsia" w:ascii="仿宋" w:hAnsi="仿宋" w:eastAsia="仿宋"/>
          <w:sz w:val="32"/>
          <w:szCs w:val="32"/>
          <w:lang w:val="en-US" w:eastAsia="zh-CN"/>
        </w:rPr>
        <w:t>99.99</w:t>
      </w:r>
      <w:r>
        <w:rPr>
          <w:rFonts w:hint="eastAsia" w:ascii="仿宋" w:hAnsi="仿宋" w:eastAsia="仿宋"/>
          <w:sz w:val="32"/>
          <w:szCs w:val="32"/>
        </w:rPr>
        <w:t>%</w:t>
      </w:r>
      <w:r>
        <w:rPr>
          <w:rFonts w:hint="eastAsia" w:ascii="仿宋" w:hAnsi="仿宋" w:eastAsia="仿宋"/>
          <w:sz w:val="32"/>
          <w:szCs w:val="32"/>
          <w:lang w:eastAsia="zh-CN"/>
        </w:rPr>
        <w:t>，基本与预算持平</w:t>
      </w:r>
      <w:r>
        <w:rPr>
          <w:rFonts w:hint="eastAsia" w:ascii="仿宋" w:hAnsi="仿宋" w:eastAsia="仿宋"/>
          <w:sz w:val="32"/>
          <w:szCs w:val="32"/>
        </w:rPr>
        <w:t>。</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3.一般公共服务（类）市场监督管理事务（款）其他市场监督管理事务（项）：支出决算为99.5万元，完成预算的100%。</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4.社会保障和就业支出（类）行政事业单位养老支出（款</w:t>
      </w:r>
      <w:r>
        <w:rPr>
          <w:rFonts w:ascii="仿宋" w:hAnsi="仿宋" w:eastAsia="仿宋"/>
          <w:sz w:val="32"/>
          <w:szCs w:val="32"/>
        </w:rPr>
        <w:t>）</w:t>
      </w:r>
      <w:r>
        <w:rPr>
          <w:rFonts w:hint="eastAsia" w:ascii="仿宋" w:hAnsi="仿宋" w:eastAsia="仿宋"/>
          <w:sz w:val="32"/>
          <w:szCs w:val="32"/>
        </w:rPr>
        <w:t>机关事业单位基本养老保险缴费（项）：支出决算为46.17万元，完成预算100%。</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5.社会保障和就业支出（类）行政事业单位养老支出（款）机关事业单位职业年金缴费支出（项）：支出决算为23.23万元，完成预算100%。</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6.卫生健康支出（类）行政事业单位医疗（款）事业单位医疗（项）：支出决算为18.95万元，完成预算100%。</w:t>
      </w:r>
    </w:p>
    <w:p>
      <w:pPr>
        <w:spacing w:line="600" w:lineRule="exact"/>
        <w:ind w:firstLine="640" w:firstLineChars="200"/>
        <w:rPr>
          <w:rFonts w:ascii="仿宋" w:hAnsi="仿宋" w:eastAsia="仿宋"/>
          <w:b/>
          <w:sz w:val="32"/>
          <w:szCs w:val="32"/>
        </w:rPr>
      </w:pPr>
      <w:r>
        <w:rPr>
          <w:rFonts w:hint="eastAsia" w:ascii="仿宋" w:hAnsi="仿宋" w:eastAsia="仿宋"/>
          <w:sz w:val="32"/>
          <w:szCs w:val="32"/>
        </w:rPr>
        <w:t>7.住房保障支出（类）住房改革支出（款）住房公积金（项）：支出决算为33.94万元，完成预算100%。</w:t>
      </w:r>
    </w:p>
    <w:p>
      <w:pPr>
        <w:tabs>
          <w:tab w:val="right" w:pos="8306"/>
        </w:tabs>
        <w:spacing w:line="600" w:lineRule="exact"/>
        <w:ind w:firstLine="640"/>
        <w:outlineLvl w:val="1"/>
        <w:rPr>
          <w:rStyle w:val="22"/>
        </w:rPr>
      </w:pPr>
      <w:bookmarkStart w:id="18" w:name="_Toc1775526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2"/>
          <w:rFonts w:hint="eastAsia" w:ascii="黑体" w:hAnsi="黑体" w:eastAsia="黑体"/>
          <w:b w:val="0"/>
        </w:rPr>
        <w:t>般公共预算财政拨款基本支出决算情况说明</w:t>
      </w:r>
      <w:bookmarkEnd w:id="18"/>
      <w:r>
        <w:rPr>
          <w:rStyle w:val="22"/>
          <w:rFonts w:ascii="黑体" w:hAnsi="黑体" w:eastAsia="黑体"/>
          <w:b w:val="0"/>
        </w:rPr>
        <w:tab/>
      </w:r>
    </w:p>
    <w:p>
      <w:pPr>
        <w:spacing w:line="60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2023年度一般公共预算财政拨款基本支出458.86万元，其中：</w:t>
      </w:r>
    </w:p>
    <w:p>
      <w:pPr>
        <w:ind w:firstLine="640" w:firstLineChars="200"/>
        <w:rPr>
          <w:rFonts w:ascii="仿宋" w:hAnsi="仿宋" w:eastAsia="仿宋"/>
          <w:sz w:val="32"/>
          <w:szCs w:val="32"/>
        </w:rPr>
      </w:pPr>
      <w:r>
        <w:rPr>
          <w:rFonts w:hint="eastAsia" w:ascii="仿宋" w:hAnsi="仿宋" w:eastAsia="仿宋"/>
          <w:sz w:val="32"/>
          <w:szCs w:val="32"/>
        </w:rPr>
        <w:t>人员经费426.31万元，主要包括：基本工资、津贴补贴、奖金、绩效工资、机关事业单位基本养老保险缴费、职业年金缴费、职工基本医疗保险缴费、其他社会保障缴费、住房公积金、生活补助、其他对个人和家庭的补助。</w:t>
      </w:r>
    </w:p>
    <w:p>
      <w:pPr>
        <w:spacing w:line="600" w:lineRule="exact"/>
        <w:ind w:firstLine="645"/>
        <w:rPr>
          <w:rFonts w:ascii="仿宋" w:hAnsi="仿宋" w:eastAsia="仿宋"/>
          <w:b/>
          <w:sz w:val="32"/>
          <w:szCs w:val="32"/>
        </w:rPr>
      </w:pPr>
      <w:r>
        <w:rPr>
          <w:rFonts w:hint="eastAsia" w:ascii="仿宋" w:hAnsi="仿宋" w:eastAsia="仿宋"/>
          <w:sz w:val="32"/>
          <w:szCs w:val="32"/>
        </w:rPr>
        <w:t>公用经费32.55万元，主要包括：办公费、印刷费、咨询费</w:t>
      </w:r>
      <w:r>
        <w:rPr>
          <w:rFonts w:hint="eastAsia" w:ascii="仿宋" w:hAnsi="仿宋" w:eastAsia="仿宋"/>
          <w:sz w:val="32"/>
          <w:szCs w:val="32"/>
          <w:lang w:eastAsia="zh-CN"/>
        </w:rPr>
        <w:t>、</w:t>
      </w:r>
      <w:r>
        <w:rPr>
          <w:rFonts w:hint="eastAsia" w:ascii="仿宋" w:hAnsi="仿宋" w:eastAsia="仿宋"/>
          <w:sz w:val="32"/>
          <w:szCs w:val="32"/>
        </w:rPr>
        <w:t>水费、邮电费、物业管理费、差旅费、维修（护）费、培训费、公务接待费、委托业务费、工会经费、福利费、公务用车运行维护费、其他交通费用、其他商品和服务支出。</w:t>
      </w:r>
    </w:p>
    <w:p>
      <w:pPr>
        <w:spacing w:line="600" w:lineRule="exact"/>
        <w:ind w:firstLine="640"/>
        <w:outlineLvl w:val="1"/>
        <w:rPr>
          <w:rStyle w:val="22"/>
          <w:rFonts w:ascii="黑体" w:hAnsi="黑体" w:eastAsia="黑体"/>
          <w:b w:val="0"/>
        </w:rPr>
      </w:pPr>
      <w:bookmarkStart w:id="19" w:name="_Toc177552615"/>
      <w:r>
        <w:rPr>
          <w:rFonts w:hint="eastAsia" w:ascii="黑体" w:eastAsia="黑体"/>
          <w:sz w:val="32"/>
          <w:szCs w:val="32"/>
        </w:rPr>
        <w:t>七、</w:t>
      </w:r>
      <w:r>
        <w:rPr>
          <w:rStyle w:val="22"/>
          <w:rFonts w:hint="eastAsia" w:ascii="黑体" w:hAnsi="黑体" w:eastAsia="黑体"/>
          <w:b w:val="0"/>
        </w:rPr>
        <w:t>财政拨款</w:t>
      </w:r>
      <w:r>
        <w:rPr>
          <w:rStyle w:val="22"/>
          <w:rFonts w:hint="eastAsia" w:ascii="黑体" w:hAnsi="黑体" w:eastAsia="黑体"/>
        </w:rPr>
        <w:t>“</w:t>
      </w:r>
      <w:r>
        <w:rPr>
          <w:rStyle w:val="22"/>
          <w:rFonts w:hint="eastAsia" w:ascii="黑体" w:hAnsi="黑体" w:eastAsia="黑体"/>
          <w:b w:val="0"/>
        </w:rPr>
        <w:t>三公”经费支出决算情况说明</w:t>
      </w:r>
      <w:bookmarkEnd w:id="19"/>
    </w:p>
    <w:p>
      <w:pPr>
        <w:spacing w:line="600" w:lineRule="exact"/>
        <w:ind w:firstLine="640"/>
        <w:outlineLvl w:val="2"/>
        <w:rPr>
          <w:rFonts w:ascii="仿宋_GB2312" w:hAnsi="仿宋_GB2312" w:eastAsia="仿宋_GB2312" w:cs="仿宋_GB2312"/>
          <w:b/>
          <w:sz w:val="32"/>
          <w:szCs w:val="32"/>
        </w:rPr>
      </w:pPr>
      <w:bookmarkStart w:id="20" w:name="_Toc177552616"/>
      <w:r>
        <w:rPr>
          <w:rFonts w:hint="eastAsia" w:ascii="仿宋_GB2312" w:hAnsi="仿宋_GB2312" w:eastAsia="仿宋_GB2312" w:cs="仿宋_GB2312"/>
          <w:b/>
          <w:sz w:val="32"/>
          <w:szCs w:val="32"/>
        </w:rPr>
        <w:t>（一）“三公”经费财政拨款支出决算总体情况说明</w:t>
      </w:r>
      <w:bookmarkEnd w:id="20"/>
    </w:p>
    <w:p>
      <w:pPr>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2023年度“三公”经费财政拨款支出决算为6.25万元，完成预算100%，较上年度增加0.52万元，增长9.08%。决算数与预算数持平</w:t>
      </w:r>
      <w:r>
        <w:rPr>
          <w:rFonts w:hint="eastAsia" w:ascii="仿宋_GB2312" w:hAnsi="仿宋_GB2312" w:eastAsia="仿宋_GB2312" w:cs="仿宋_GB2312"/>
          <w:sz w:val="32"/>
          <w:szCs w:val="32"/>
          <w:lang w:eastAsia="zh-CN"/>
        </w:rPr>
        <w:t>。</w:t>
      </w:r>
    </w:p>
    <w:p>
      <w:pPr>
        <w:spacing w:line="600" w:lineRule="exact"/>
        <w:ind w:firstLine="640"/>
        <w:outlineLvl w:val="2"/>
        <w:rPr>
          <w:rFonts w:ascii="仿宋_GB2312" w:hAnsi="仿宋_GB2312" w:eastAsia="仿宋_GB2312" w:cs="仿宋_GB2312"/>
          <w:b/>
          <w:sz w:val="32"/>
          <w:szCs w:val="32"/>
        </w:rPr>
      </w:pPr>
      <w:bookmarkStart w:id="21" w:name="_Toc177552617"/>
      <w:r>
        <w:rPr>
          <w:rFonts w:hint="eastAsia" w:ascii="仿宋_GB2312" w:hAnsi="仿宋_GB2312" w:eastAsia="仿宋_GB2312" w:cs="仿宋_GB2312"/>
          <w:b/>
          <w:sz w:val="32"/>
          <w:szCs w:val="32"/>
        </w:rPr>
        <w:t>（二）“三公”经费财政拨款支出决算具体情况说明</w:t>
      </w:r>
      <w:bookmarkEnd w:id="21"/>
    </w:p>
    <w:p>
      <w:pPr>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2023年度“三公”经费财政拨款支出决算中，公务用车购置及运行维护费支出决算5.37万元，占85.92%；公务接待费支出决算0.88万元，占14.08%。具体情况如下：</w:t>
      </w:r>
    </w:p>
    <w:p>
      <w:pPr>
        <w:pStyle w:val="2"/>
        <w:jc w:val="center"/>
        <w:rPr>
          <w:rFonts w:ascii="仿宋_GB2312" w:hAnsi="仿宋_GB2312" w:eastAsia="仿宋_GB2312" w:cs="仿宋_GB2312"/>
          <w:sz w:val="32"/>
          <w:szCs w:val="32"/>
        </w:rPr>
      </w:pPr>
      <w:r>
        <w:drawing>
          <wp:inline distT="0" distB="0" distL="0" distR="0">
            <wp:extent cx="4279900" cy="2761615"/>
            <wp:effectExtent l="19050" t="0" r="6350" b="0"/>
            <wp:docPr id="21" name="图片 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1" name="图片 8"/>
                    <pic:cNvPicPr>
                      <a:picLocks noChangeAspect="true" noChangeArrowheads="true"/>
                    </pic:cNvPicPr>
                  </pic:nvPicPr>
                  <pic:blipFill>
                    <a:blip r:embed="rId12"/>
                    <a:srcRect/>
                    <a:stretch>
                      <a:fillRect/>
                    </a:stretch>
                  </pic:blipFill>
                  <pic:spPr>
                    <a:xfrm>
                      <a:off x="0" y="0"/>
                      <a:ext cx="4279900" cy="2761615"/>
                    </a:xfrm>
                    <a:prstGeom prst="rect">
                      <a:avLst/>
                    </a:prstGeom>
                    <a:noFill/>
                  </pic:spPr>
                </pic:pic>
              </a:graphicData>
            </a:graphic>
          </wp:inline>
        </w:drawing>
      </w:r>
    </w:p>
    <w:p>
      <w:pPr>
        <w:pStyle w:val="2"/>
        <w:jc w:val="center"/>
      </w:pPr>
      <w:r>
        <w:rPr>
          <w:rFonts w:hint="eastAsia" w:ascii="仿宋_GB2312" w:hAnsi="仿宋_GB2312" w:eastAsia="仿宋_GB2312" w:cs="仿宋_GB2312"/>
          <w:sz w:val="32"/>
          <w:szCs w:val="32"/>
        </w:rPr>
        <w:t>（图7：“三公”经费财政拨款支出结构）（饼状图）</w:t>
      </w:r>
    </w:p>
    <w:p>
      <w:pPr>
        <w:spacing w:line="600" w:lineRule="exact"/>
        <w:ind w:firstLine="640"/>
        <w:rPr>
          <w:rFonts w:ascii="仿宋_GB2312" w:hAnsi="仿宋_GB2312" w:eastAsia="仿宋_GB2312" w:cs="仿宋_GB2312"/>
          <w:b/>
          <w:sz w:val="32"/>
          <w:szCs w:val="32"/>
        </w:rPr>
      </w:pPr>
      <w:r>
        <w:rPr>
          <w:rFonts w:hint="eastAsia" w:ascii="仿宋_GB2312" w:hAnsi="仿宋_GB2312" w:eastAsia="仿宋_GB2312" w:cs="仿宋_GB2312"/>
          <w:b/>
          <w:sz w:val="32"/>
          <w:szCs w:val="32"/>
        </w:rPr>
        <w:t>1.因公出国（境）经费支出0万元，年初未安排预算。</w:t>
      </w:r>
      <w:r>
        <w:rPr>
          <w:rFonts w:hint="eastAsia" w:ascii="仿宋_GB2312" w:hAnsi="仿宋_GB2312" w:eastAsia="仿宋_GB2312" w:cs="仿宋_GB2312"/>
          <w:sz w:val="32"/>
          <w:szCs w:val="32"/>
        </w:rPr>
        <w:t>因公出国（境）支出决算较2022年无变化。</w:t>
      </w:r>
    </w:p>
    <w:p>
      <w:pPr>
        <w:spacing w:line="600" w:lineRule="exact"/>
        <w:ind w:firstLine="640"/>
        <w:rPr>
          <w:rFonts w:ascii="仿宋_GB2312" w:hAnsi="仿宋_GB2312" w:eastAsia="仿宋_GB2312" w:cs="仿宋_GB2312"/>
          <w:b/>
          <w:sz w:val="32"/>
          <w:szCs w:val="32"/>
        </w:rPr>
      </w:pPr>
      <w:r>
        <w:rPr>
          <w:rFonts w:hint="eastAsia" w:ascii="仿宋_GB2312" w:hAnsi="仿宋_GB2312" w:eastAsia="仿宋_GB2312" w:cs="仿宋_GB2312"/>
          <w:b/>
          <w:sz w:val="32"/>
          <w:szCs w:val="32"/>
        </w:rPr>
        <w:t>2.公务用车购置及运行维护费支出</w:t>
      </w:r>
      <w:r>
        <w:rPr>
          <w:rFonts w:hint="eastAsia" w:ascii="仿宋_GB2312" w:hAnsi="仿宋_GB2312" w:eastAsia="仿宋_GB2312" w:cs="仿宋_GB2312"/>
          <w:sz w:val="32"/>
          <w:szCs w:val="32"/>
        </w:rPr>
        <w:t>5.37万元</w:t>
      </w:r>
      <w:r>
        <w:rPr>
          <w:rFonts w:hint="eastAsia" w:ascii="仿宋_GB2312" w:hAnsi="仿宋_GB2312" w:eastAsia="仿宋_GB2312" w:cs="仿宋_GB2312"/>
          <w:sz w:val="32"/>
          <w:szCs w:val="32"/>
          <w:lang w:eastAsia="zh-CN"/>
        </w:rPr>
        <w:t>，</w:t>
      </w:r>
      <w:r>
        <w:rPr>
          <w:rStyle w:val="19"/>
          <w:rFonts w:hint="eastAsia" w:ascii="仿宋_GB2312" w:hAnsi="仿宋_GB2312" w:eastAsia="仿宋_GB2312" w:cs="仿宋_GB2312"/>
          <w:b w:val="0"/>
          <w:bCs/>
          <w:sz w:val="32"/>
          <w:szCs w:val="32"/>
        </w:rPr>
        <w:t>完成预算100%。</w:t>
      </w:r>
      <w:r>
        <w:rPr>
          <w:rFonts w:hint="eastAsia" w:ascii="仿宋_GB2312" w:hAnsi="仿宋_GB2312" w:eastAsia="仿宋_GB2312" w:cs="仿宋_GB2312"/>
          <w:sz w:val="32"/>
          <w:szCs w:val="32"/>
        </w:rPr>
        <w:t>公务用车购置及运行维护费支出决算比2022年度增加0.52万元，增长10.72%。主要原因是抽检任务增加。</w:t>
      </w:r>
    </w:p>
    <w:p>
      <w:pPr>
        <w:spacing w:line="600" w:lineRule="exact"/>
        <w:ind w:firstLine="640" w:firstLineChars="200"/>
        <w:rPr>
          <w:rFonts w:ascii="仿宋_GB2312" w:hAnsi="仿宋_GB2312" w:eastAsia="仿宋_GB2312" w:cs="仿宋_GB2312"/>
          <w:b/>
          <w:sz w:val="32"/>
          <w:szCs w:val="32"/>
        </w:rPr>
      </w:pPr>
      <w:r>
        <w:rPr>
          <w:rFonts w:hint="eastAsia" w:ascii="仿宋_GB2312" w:hAnsi="仿宋_GB2312" w:eastAsia="仿宋_GB2312" w:cs="仿宋_GB2312"/>
          <w:sz w:val="32"/>
          <w:szCs w:val="32"/>
        </w:rPr>
        <w:t>其中：</w:t>
      </w:r>
      <w:r>
        <w:rPr>
          <w:rFonts w:hint="eastAsia" w:ascii="仿宋_GB2312" w:hAnsi="仿宋_GB2312" w:eastAsia="仿宋_GB2312" w:cs="仿宋_GB2312"/>
          <w:b/>
          <w:sz w:val="32"/>
          <w:szCs w:val="32"/>
        </w:rPr>
        <w:t>公务用车购置支出</w:t>
      </w:r>
      <w:r>
        <w:rPr>
          <w:rFonts w:hint="eastAsia" w:ascii="仿宋_GB2312" w:hAnsi="仿宋_GB2312" w:eastAsia="仿宋_GB2312" w:cs="仿宋_GB2312"/>
          <w:sz w:val="32"/>
          <w:szCs w:val="32"/>
        </w:rPr>
        <w:t>0万元</w:t>
      </w:r>
      <w:r>
        <w:rPr>
          <w:rFonts w:hint="eastAsia" w:ascii="仿宋_GB2312" w:hAnsi="仿宋_GB2312" w:eastAsia="仿宋_GB2312" w:cs="仿宋_GB2312"/>
          <w:sz w:val="32"/>
          <w:szCs w:val="32"/>
          <w:lang w:eastAsia="zh-CN"/>
        </w:rPr>
        <w:t>，未购置公务用车。</w:t>
      </w:r>
      <w:r>
        <w:rPr>
          <w:rFonts w:hint="eastAsia" w:ascii="仿宋_GB2312" w:hAnsi="仿宋_GB2312" w:eastAsia="仿宋_GB2312" w:cs="仿宋_GB2312"/>
          <w:sz w:val="32"/>
          <w:szCs w:val="32"/>
        </w:rPr>
        <w:t>截至2023年12月31日，</w:t>
      </w:r>
      <w:r>
        <w:rPr>
          <w:rFonts w:hint="eastAsia" w:ascii="仿宋_GB2312" w:eastAsia="仿宋_GB2312"/>
          <w:bCs/>
          <w:sz w:val="32"/>
          <w:szCs w:val="32"/>
        </w:rPr>
        <w:t>广元市产品质量监督检验所共有车辆1辆。</w:t>
      </w:r>
      <w:r>
        <w:rPr>
          <w:rFonts w:ascii="仿宋_GB2312" w:eastAsia="仿宋_GB2312"/>
          <w:bCs/>
          <w:sz w:val="32"/>
          <w:szCs w:val="32"/>
        </w:rPr>
        <w:t xml:space="preserve">其中，轿车 </w:t>
      </w:r>
      <w:r>
        <w:rPr>
          <w:rFonts w:hint="eastAsia" w:ascii="仿宋_GB2312" w:eastAsia="仿宋_GB2312"/>
          <w:bCs/>
          <w:sz w:val="32"/>
          <w:szCs w:val="32"/>
        </w:rPr>
        <w:t>1</w:t>
      </w:r>
      <w:r>
        <w:rPr>
          <w:rFonts w:ascii="仿宋_GB2312" w:eastAsia="仿宋_GB2312"/>
          <w:bCs/>
          <w:sz w:val="32"/>
          <w:szCs w:val="32"/>
        </w:rPr>
        <w:t>辆。</w:t>
      </w:r>
    </w:p>
    <w:p>
      <w:pPr>
        <w:spacing w:line="600" w:lineRule="exact"/>
        <w:ind w:firstLine="640"/>
        <w:rPr>
          <w:rFonts w:ascii="仿宋_GB2312" w:hAnsi="仿宋_GB2312" w:eastAsia="仿宋_GB2312" w:cs="仿宋_GB2312"/>
          <w:color w:val="0070C0"/>
          <w:sz w:val="32"/>
          <w:szCs w:val="32"/>
        </w:rPr>
      </w:pPr>
      <w:r>
        <w:rPr>
          <w:rFonts w:hint="eastAsia" w:ascii="仿宋_GB2312" w:hAnsi="仿宋_GB2312" w:eastAsia="仿宋_GB2312" w:cs="仿宋_GB2312"/>
          <w:b/>
          <w:sz w:val="32"/>
          <w:szCs w:val="32"/>
        </w:rPr>
        <w:t>公务用车运行维护费支出</w:t>
      </w:r>
      <w:r>
        <w:rPr>
          <w:rFonts w:hint="eastAsia" w:ascii="仿宋_GB2312" w:hAnsi="仿宋_GB2312" w:eastAsia="仿宋_GB2312" w:cs="仿宋_GB2312"/>
          <w:sz w:val="32"/>
          <w:szCs w:val="32"/>
        </w:rPr>
        <w:t>5.37万元。</w:t>
      </w:r>
      <w:r>
        <w:rPr>
          <w:rFonts w:hint="eastAsia" w:ascii="仿宋_GB2312" w:eastAsia="仿宋_GB2312"/>
          <w:sz w:val="32"/>
          <w:szCs w:val="32"/>
        </w:rPr>
        <w:t>主要用于</w:t>
      </w:r>
      <w:r>
        <w:rPr>
          <w:rFonts w:hint="eastAsia" w:ascii="仿宋" w:hAnsi="仿宋" w:eastAsia="仿宋"/>
          <w:sz w:val="32"/>
          <w:szCs w:val="32"/>
        </w:rPr>
        <w:t>抽检及业务工作所需的公务用车燃料费、维修费、过路过桥费、保险费等支出。</w:t>
      </w:r>
    </w:p>
    <w:p>
      <w:pPr>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b/>
          <w:sz w:val="32"/>
          <w:szCs w:val="32"/>
        </w:rPr>
        <w:t>3.公务接待费支出</w:t>
      </w:r>
      <w:r>
        <w:rPr>
          <w:rFonts w:hint="eastAsia" w:ascii="仿宋_GB2312" w:hAnsi="仿宋_GB2312" w:eastAsia="仿宋_GB2312" w:cs="仿宋_GB2312"/>
          <w:sz w:val="32"/>
          <w:szCs w:val="32"/>
        </w:rPr>
        <w:t>0.88万元，</w:t>
      </w:r>
      <w:r>
        <w:rPr>
          <w:rStyle w:val="19"/>
          <w:rFonts w:hint="eastAsia" w:ascii="仿宋_GB2312" w:hAnsi="仿宋_GB2312" w:eastAsia="仿宋_GB2312" w:cs="仿宋_GB2312"/>
          <w:b w:val="0"/>
          <w:bCs/>
          <w:sz w:val="32"/>
          <w:szCs w:val="32"/>
        </w:rPr>
        <w:t>完成预算100%。</w:t>
      </w:r>
      <w:r>
        <w:rPr>
          <w:rFonts w:hint="eastAsia" w:ascii="仿宋_GB2312" w:hAnsi="仿宋_GB2312" w:eastAsia="仿宋_GB2312" w:cs="仿宋_GB2312"/>
          <w:sz w:val="32"/>
          <w:szCs w:val="32"/>
        </w:rPr>
        <w:t>公务接待费支出决算与2022年度持平。其中：</w:t>
      </w:r>
    </w:p>
    <w:p>
      <w:pPr>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b/>
          <w:sz w:val="32"/>
          <w:szCs w:val="32"/>
        </w:rPr>
        <w:t>国内公务接待支出</w:t>
      </w:r>
      <w:r>
        <w:rPr>
          <w:rFonts w:hint="eastAsia" w:ascii="仿宋_GB2312" w:hAnsi="仿宋_GB2312" w:eastAsia="仿宋_GB2312" w:cs="仿宋_GB2312"/>
          <w:sz w:val="32"/>
          <w:szCs w:val="32"/>
        </w:rPr>
        <w:t>0.88万元，</w:t>
      </w:r>
      <w:r>
        <w:rPr>
          <w:rFonts w:hint="eastAsia" w:ascii="仿宋_GB2312" w:hAnsi="仿宋_GB2312" w:eastAsia="仿宋_GB2312" w:cs="仿宋_GB2312"/>
          <w:sz w:val="32"/>
          <w:szCs w:val="32"/>
          <w:lang w:eastAsia="zh-CN"/>
        </w:rPr>
        <w:t>主要用于</w:t>
      </w:r>
      <w:r>
        <w:rPr>
          <w:rFonts w:hint="eastAsia" w:ascii="仿宋" w:hAnsi="仿宋" w:eastAsia="仿宋"/>
          <w:sz w:val="32"/>
          <w:szCs w:val="32"/>
        </w:rPr>
        <w:t>开展业务活动和技术交流等开支的用餐费。国内公务接待14批次，84人次（不包括陪同人员），共计支出0.88万元，具体内容包括：其他地市级部门工作联系0.56万元，县局（检验机构）业务联系0.32万元。</w:t>
      </w:r>
    </w:p>
    <w:p>
      <w:pPr>
        <w:spacing w:line="600" w:lineRule="exact"/>
        <w:ind w:firstLine="642"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外事接待支出</w:t>
      </w:r>
      <w:r>
        <w:rPr>
          <w:rFonts w:hint="eastAsia" w:ascii="仿宋_GB2312" w:hAnsi="仿宋_GB2312" w:eastAsia="仿宋_GB2312" w:cs="仿宋_GB2312"/>
          <w:sz w:val="32"/>
          <w:szCs w:val="32"/>
        </w:rPr>
        <w:t>0万元。</w:t>
      </w:r>
    </w:p>
    <w:p>
      <w:pPr>
        <w:spacing w:line="600" w:lineRule="exact"/>
        <w:ind w:firstLine="640"/>
        <w:outlineLvl w:val="1"/>
        <w:rPr>
          <w:rFonts w:ascii="黑体" w:eastAsia="黑体"/>
          <w:sz w:val="32"/>
          <w:szCs w:val="32"/>
        </w:rPr>
      </w:pPr>
    </w:p>
    <w:p>
      <w:pPr>
        <w:spacing w:line="600" w:lineRule="exact"/>
        <w:ind w:firstLine="640"/>
        <w:outlineLvl w:val="1"/>
        <w:rPr>
          <w:rStyle w:val="22"/>
          <w:rFonts w:ascii="黑体" w:hAnsi="黑体" w:eastAsia="黑体"/>
        </w:rPr>
      </w:pPr>
      <w:bookmarkStart w:id="22" w:name="_Toc177552618"/>
      <w:r>
        <w:rPr>
          <w:rFonts w:hint="eastAsia" w:ascii="黑体" w:eastAsia="黑体"/>
          <w:sz w:val="32"/>
          <w:szCs w:val="32"/>
        </w:rPr>
        <w:t>八、</w:t>
      </w:r>
      <w:r>
        <w:rPr>
          <w:rStyle w:val="22"/>
          <w:rFonts w:hint="eastAsia" w:ascii="黑体" w:hAnsi="黑体" w:eastAsia="黑体"/>
          <w:b w:val="0"/>
        </w:rPr>
        <w:t>政府性基金预算支出决算情况说明</w:t>
      </w:r>
      <w:bookmarkEnd w:id="22"/>
    </w:p>
    <w:p>
      <w:pPr>
        <w:spacing w:line="600" w:lineRule="exact"/>
        <w:ind w:firstLine="640"/>
        <w:rPr>
          <w:rFonts w:ascii="仿宋_GB2312" w:eastAsia="仿宋_GB2312"/>
          <w:sz w:val="32"/>
          <w:szCs w:val="32"/>
        </w:rPr>
      </w:pPr>
      <w:r>
        <w:rPr>
          <w:rFonts w:hint="eastAsia" w:ascii="仿宋_GB2312" w:eastAsia="仿宋_GB2312"/>
          <w:sz w:val="32"/>
          <w:szCs w:val="32"/>
        </w:rPr>
        <w:t>2023年度政府性基金预算财政拨款支出0万元。</w:t>
      </w:r>
    </w:p>
    <w:p>
      <w:pPr>
        <w:spacing w:line="600" w:lineRule="exact"/>
        <w:ind w:firstLine="640"/>
        <w:rPr>
          <w:rFonts w:ascii="仿宋_GB2312" w:eastAsia="仿宋_GB2312"/>
          <w:sz w:val="32"/>
          <w:szCs w:val="32"/>
        </w:rPr>
      </w:pPr>
    </w:p>
    <w:p>
      <w:pPr>
        <w:spacing w:line="600" w:lineRule="exact"/>
        <w:ind w:firstLine="640" w:firstLineChars="200"/>
        <w:outlineLvl w:val="1"/>
        <w:rPr>
          <w:rStyle w:val="22"/>
          <w:rFonts w:ascii="黑体" w:hAnsi="黑体" w:eastAsia="黑体"/>
          <w:b w:val="0"/>
        </w:rPr>
      </w:pPr>
      <w:bookmarkStart w:id="23" w:name="_Toc177552619"/>
      <w:r>
        <w:rPr>
          <w:rStyle w:val="22"/>
          <w:rFonts w:hint="eastAsia" w:ascii="黑体" w:hAnsi="黑体" w:eastAsia="黑体"/>
          <w:b w:val="0"/>
        </w:rPr>
        <w:t>九、国有资本经营预算支出决算情况说明</w:t>
      </w:r>
      <w:bookmarkEnd w:id="23"/>
    </w:p>
    <w:p>
      <w:pPr>
        <w:spacing w:line="600" w:lineRule="exact"/>
        <w:ind w:firstLine="640"/>
        <w:rPr>
          <w:rFonts w:ascii="仿宋_GB2312" w:eastAsia="仿宋_GB2312"/>
          <w:sz w:val="32"/>
          <w:szCs w:val="32"/>
        </w:rPr>
      </w:pPr>
      <w:r>
        <w:rPr>
          <w:rFonts w:hint="eastAsia" w:ascii="仿宋_GB2312" w:eastAsia="仿宋_GB2312"/>
          <w:sz w:val="32"/>
          <w:szCs w:val="32"/>
        </w:rPr>
        <w:t>2023年度国有资本经营预算财政拨款支出0万元。</w:t>
      </w:r>
    </w:p>
    <w:p>
      <w:pPr>
        <w:spacing w:line="580" w:lineRule="exact"/>
        <w:ind w:firstLine="880" w:firstLineChars="200"/>
        <w:jc w:val="center"/>
        <w:rPr>
          <w:rFonts w:ascii="方正小标宋简体" w:hAnsi="方正小标宋简体" w:eastAsia="方正小标宋简体" w:cs="方正小标宋简体"/>
          <w:sz w:val="44"/>
          <w:szCs w:val="44"/>
        </w:rPr>
      </w:pPr>
    </w:p>
    <w:p>
      <w:pPr>
        <w:spacing w:line="600" w:lineRule="exact"/>
        <w:ind w:firstLine="640" w:firstLineChars="200"/>
        <w:outlineLvl w:val="1"/>
        <w:rPr>
          <w:rStyle w:val="22"/>
          <w:rFonts w:ascii="黑体" w:hAnsi="黑体" w:eastAsia="黑体"/>
          <w:b w:val="0"/>
        </w:rPr>
      </w:pPr>
      <w:bookmarkStart w:id="24" w:name="_Toc177552620"/>
      <w:r>
        <w:rPr>
          <w:rStyle w:val="22"/>
          <w:rFonts w:hint="eastAsia" w:ascii="黑体" w:hAnsi="黑体" w:eastAsia="黑体"/>
          <w:b w:val="0"/>
        </w:rPr>
        <w:t>十、其他重要事项的情况说明</w:t>
      </w:r>
      <w:bookmarkEnd w:id="24"/>
    </w:p>
    <w:p>
      <w:pPr>
        <w:spacing w:line="600" w:lineRule="exact"/>
        <w:ind w:firstLine="642" w:firstLineChars="200"/>
        <w:outlineLvl w:val="2"/>
        <w:rPr>
          <w:rFonts w:ascii="仿宋" w:hAnsi="仿宋" w:eastAsia="仿宋"/>
          <w:sz w:val="32"/>
          <w:szCs w:val="32"/>
        </w:rPr>
      </w:pPr>
      <w:bookmarkStart w:id="25" w:name="_Toc177552621"/>
      <w:r>
        <w:rPr>
          <w:rFonts w:hint="eastAsia" w:ascii="仿宋" w:hAnsi="仿宋" w:eastAsia="仿宋"/>
          <w:b/>
          <w:sz w:val="32"/>
          <w:szCs w:val="32"/>
        </w:rPr>
        <w:t>（一）机关运行经费支出情况</w:t>
      </w:r>
      <w:bookmarkEnd w:id="25"/>
    </w:p>
    <w:p>
      <w:pPr>
        <w:spacing w:line="600" w:lineRule="exact"/>
        <w:ind w:firstLine="640" w:firstLineChars="200"/>
        <w:rPr>
          <w:rFonts w:ascii="仿宋_GB2312" w:eastAsia="仿宋_GB2312"/>
          <w:sz w:val="32"/>
          <w:szCs w:val="32"/>
        </w:rPr>
      </w:pPr>
      <w:r>
        <w:rPr>
          <w:rFonts w:hint="eastAsia" w:ascii="仿宋_GB2312" w:eastAsia="仿宋_GB2312"/>
          <w:sz w:val="32"/>
          <w:szCs w:val="32"/>
        </w:rPr>
        <w:t>2023年未发生机关运行经费支出，与2022年决算数持平。</w:t>
      </w:r>
    </w:p>
    <w:p>
      <w:pPr>
        <w:autoSpaceDE w:val="0"/>
        <w:autoSpaceDN w:val="0"/>
        <w:adjustRightInd w:val="0"/>
        <w:spacing w:line="600" w:lineRule="exact"/>
        <w:ind w:firstLine="642" w:firstLineChars="200"/>
        <w:jc w:val="left"/>
        <w:outlineLvl w:val="2"/>
        <w:rPr>
          <w:rFonts w:ascii="仿宋" w:hAnsi="仿宋" w:eastAsia="仿宋"/>
          <w:b/>
          <w:sz w:val="32"/>
          <w:szCs w:val="32"/>
        </w:rPr>
      </w:pPr>
      <w:bookmarkStart w:id="26" w:name="_Toc177552622"/>
      <w:r>
        <w:rPr>
          <w:rFonts w:hint="eastAsia" w:ascii="仿宋" w:hAnsi="仿宋" w:eastAsia="仿宋"/>
          <w:b/>
          <w:sz w:val="32"/>
          <w:szCs w:val="32"/>
        </w:rPr>
        <w:t>（二）政府采购支出情况</w:t>
      </w:r>
      <w:bookmarkEnd w:id="26"/>
    </w:p>
    <w:p>
      <w:pPr>
        <w:spacing w:line="600" w:lineRule="exact"/>
        <w:ind w:firstLine="640" w:firstLineChars="200"/>
        <w:rPr>
          <w:rFonts w:ascii="仿宋_GB2312" w:eastAsia="仿宋_GB2312"/>
          <w:sz w:val="32"/>
          <w:szCs w:val="32"/>
        </w:rPr>
      </w:pPr>
      <w:r>
        <w:rPr>
          <w:rFonts w:hint="eastAsia" w:ascii="仿宋_GB2312" w:eastAsia="仿宋_GB2312"/>
          <w:sz w:val="32"/>
          <w:szCs w:val="32"/>
        </w:rPr>
        <w:t>2023年度，</w:t>
      </w:r>
      <w:r>
        <w:rPr>
          <w:rFonts w:hint="eastAsia" w:ascii="仿宋" w:hAnsi="仿宋" w:eastAsia="仿宋"/>
          <w:sz w:val="32"/>
          <w:szCs w:val="32"/>
        </w:rPr>
        <w:t>广元市产品质量监督检验所政府采购支出总额</w:t>
      </w:r>
      <w:r>
        <w:rPr>
          <w:rFonts w:hint="eastAsia" w:ascii="仿宋_GB2312" w:eastAsia="仿宋_GB2312"/>
          <w:sz w:val="32"/>
          <w:szCs w:val="32"/>
        </w:rPr>
        <w:t>0</w:t>
      </w:r>
      <w:r>
        <w:rPr>
          <w:rFonts w:hint="eastAsia" w:ascii="仿宋" w:hAnsi="仿宋" w:eastAsia="仿宋"/>
          <w:sz w:val="32"/>
          <w:szCs w:val="32"/>
        </w:rPr>
        <w:t>万元</w:t>
      </w:r>
      <w:r>
        <w:rPr>
          <w:rFonts w:hint="eastAsia" w:ascii="仿宋_GB2312" w:eastAsia="仿宋_GB2312"/>
          <w:sz w:val="32"/>
          <w:szCs w:val="32"/>
        </w:rPr>
        <w:t>。</w:t>
      </w:r>
    </w:p>
    <w:p>
      <w:pPr>
        <w:autoSpaceDE w:val="0"/>
        <w:autoSpaceDN w:val="0"/>
        <w:adjustRightInd w:val="0"/>
        <w:spacing w:line="600" w:lineRule="exact"/>
        <w:ind w:firstLine="642" w:firstLineChars="200"/>
        <w:jc w:val="left"/>
        <w:outlineLvl w:val="2"/>
        <w:rPr>
          <w:rFonts w:ascii="仿宋" w:hAnsi="仿宋" w:eastAsia="仿宋"/>
          <w:b/>
          <w:sz w:val="32"/>
          <w:szCs w:val="32"/>
        </w:rPr>
      </w:pPr>
      <w:bookmarkStart w:id="27" w:name="_Toc177552623"/>
      <w:r>
        <w:rPr>
          <w:rFonts w:hint="eastAsia" w:ascii="仿宋" w:hAnsi="仿宋" w:eastAsia="仿宋"/>
          <w:b/>
          <w:sz w:val="32"/>
          <w:szCs w:val="32"/>
        </w:rPr>
        <w:t>（三）国有资产占有使用情况</w:t>
      </w:r>
      <w:bookmarkEnd w:id="27"/>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截至2023年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hint="eastAsia" w:ascii="仿宋_GB2312" w:hAnsi="仿宋_GB2312" w:eastAsia="仿宋_GB2312" w:cs="仿宋_GB2312"/>
          <w:color w:val="000000" w:themeColor="text1"/>
          <w:kern w:val="0"/>
          <w:sz w:val="32"/>
          <w:szCs w:val="32"/>
        </w:rPr>
        <w:t>广元市产品</w:t>
      </w:r>
      <w:r>
        <w:rPr>
          <w:rFonts w:hint="eastAsia" w:ascii="仿宋_GB2312" w:hAnsi="仿宋_GB2312" w:eastAsia="仿宋_GB2312" w:cs="仿宋_GB2312"/>
          <w:kern w:val="0"/>
          <w:sz w:val="32"/>
          <w:szCs w:val="32"/>
        </w:rPr>
        <w:t>质量监督检验所共有车辆1辆，其中：其他用车1辆，其他用车主要用于省市各级抽检及业务工作。单价</w:t>
      </w:r>
      <w:r>
        <w:rPr>
          <w:rFonts w:ascii="仿宋_GB2312" w:hAnsi="仿宋_GB2312" w:eastAsia="仿宋_GB2312" w:cs="仿宋_GB2312"/>
          <w:kern w:val="0"/>
          <w:sz w:val="32"/>
          <w:szCs w:val="32"/>
        </w:rPr>
        <w:t>100</w:t>
      </w:r>
      <w:r>
        <w:rPr>
          <w:rFonts w:hint="eastAsia" w:ascii="仿宋_GB2312" w:hAnsi="仿宋_GB2312" w:eastAsia="仿宋_GB2312" w:cs="仿宋_GB2312"/>
          <w:kern w:val="0"/>
          <w:sz w:val="32"/>
          <w:szCs w:val="32"/>
        </w:rPr>
        <w:t>万元以上专用设备0（台、套）。</w:t>
      </w:r>
    </w:p>
    <w:p>
      <w:pPr>
        <w:autoSpaceDE w:val="0"/>
        <w:autoSpaceDN w:val="0"/>
        <w:adjustRightInd w:val="0"/>
        <w:spacing w:line="600" w:lineRule="exact"/>
        <w:ind w:firstLine="642" w:firstLineChars="200"/>
        <w:jc w:val="left"/>
        <w:outlineLvl w:val="2"/>
        <w:rPr>
          <w:rFonts w:ascii="仿宋" w:hAnsi="仿宋" w:eastAsia="仿宋"/>
          <w:b/>
          <w:sz w:val="32"/>
          <w:szCs w:val="32"/>
        </w:rPr>
      </w:pPr>
      <w:bookmarkStart w:id="28" w:name="_Toc177552624"/>
      <w:r>
        <w:rPr>
          <w:rFonts w:hint="eastAsia" w:ascii="仿宋" w:hAnsi="仿宋" w:eastAsia="仿宋"/>
          <w:b/>
          <w:sz w:val="32"/>
          <w:szCs w:val="32"/>
        </w:rPr>
        <w:t>（四）预算绩效管理情况</w:t>
      </w:r>
      <w:bookmarkEnd w:id="28"/>
    </w:p>
    <w:p>
      <w:pPr>
        <w:pStyle w:val="2"/>
        <w:spacing w:before="93"/>
        <w:ind w:firstLine="640" w:firstLineChars="200"/>
        <w:rPr>
          <w:rFonts w:ascii="仿宋_GB2312" w:eastAsia="仿宋_GB2312"/>
          <w:sz w:val="32"/>
          <w:szCs w:val="32"/>
        </w:rPr>
      </w:pPr>
      <w:r>
        <w:rPr>
          <w:rFonts w:hint="eastAsia" w:ascii="仿宋_GB2312" w:eastAsia="仿宋_GB2312"/>
          <w:sz w:val="32"/>
          <w:szCs w:val="32"/>
        </w:rPr>
        <w:t>根据预算绩效管理要求，本单位在2023年度预算编制阶段，组织对“产品质量监督抽查经费”“ 质检运行经费”“ 设备购置经费”“市场监管专项资金”项目等14个项目开展了预算事前绩效评估，对14个项目编制了绩效目标，预算执行过程中，选取14个项目开展绩效监控，组织对14个项目开展绩效自评，绩效自评表详见第四部分附件。</w:t>
      </w:r>
    </w:p>
    <w:p>
      <w:pPr>
        <w:widowControl/>
        <w:jc w:val="left"/>
        <w:rPr>
          <w:rFonts w:ascii="仿宋_GB2312" w:eastAsia="仿宋_GB2312"/>
          <w:b/>
          <w:sz w:val="32"/>
          <w:szCs w:val="32"/>
        </w:rPr>
      </w:pPr>
      <w:r>
        <w:rPr>
          <w:rFonts w:ascii="仿宋_GB2312" w:eastAsia="仿宋_GB2312"/>
          <w:b/>
          <w:sz w:val="32"/>
          <w:szCs w:val="32"/>
        </w:rPr>
        <w:br w:type="page"/>
      </w:r>
    </w:p>
    <w:p>
      <w:pPr>
        <w:numPr>
          <w:ilvl w:val="0"/>
          <w:numId w:val="2"/>
        </w:numPr>
        <w:suppressAutoHyphens w:val="0"/>
        <w:spacing w:line="600" w:lineRule="exact"/>
        <w:ind w:firstLine="660" w:firstLineChars="150"/>
        <w:jc w:val="center"/>
        <w:outlineLvl w:val="0"/>
        <w:rPr>
          <w:rStyle w:val="21"/>
          <w:rFonts w:ascii="黑体" w:hAnsi="黑体" w:eastAsia="黑体"/>
          <w:b w:val="0"/>
        </w:rPr>
      </w:pPr>
      <w:bookmarkStart w:id="29" w:name="_Toc18331"/>
      <w:bookmarkStart w:id="30" w:name="_Toc177552625"/>
      <w:bookmarkStart w:id="31" w:name="_Toc15396613"/>
      <w:bookmarkStart w:id="32" w:name="_Toc15377225"/>
      <w:r>
        <w:rPr>
          <w:rFonts w:hint="eastAsia" w:ascii="黑体" w:hAnsi="黑体" w:eastAsia="黑体"/>
          <w:sz w:val="44"/>
          <w:szCs w:val="44"/>
        </w:rPr>
        <w:t>名</w:t>
      </w:r>
      <w:r>
        <w:rPr>
          <w:rStyle w:val="21"/>
          <w:rFonts w:hint="eastAsia" w:ascii="黑体" w:hAnsi="黑体" w:eastAsia="黑体"/>
          <w:b w:val="0"/>
        </w:rPr>
        <w:t>词解释</w:t>
      </w:r>
      <w:bookmarkEnd w:id="29"/>
      <w:bookmarkEnd w:id="30"/>
      <w:bookmarkEnd w:id="31"/>
      <w:bookmarkEnd w:id="32"/>
    </w:p>
    <w:p>
      <w:pPr>
        <w:numPr>
          <w:ilvl w:val="0"/>
          <w:numId w:val="3"/>
        </w:numPr>
        <w:suppressAutoHyphens w:val="0"/>
        <w:spacing w:line="560" w:lineRule="exact"/>
        <w:rPr>
          <w:rFonts w:ascii="仿宋" w:hAnsi="仿宋" w:eastAsia="仿宋"/>
          <w:sz w:val="32"/>
          <w:szCs w:val="32"/>
        </w:rPr>
      </w:pPr>
      <w:r>
        <w:rPr>
          <w:rFonts w:hint="eastAsia" w:ascii="仿宋" w:hAnsi="仿宋" w:eastAsia="仿宋"/>
          <w:sz w:val="32"/>
          <w:szCs w:val="32"/>
        </w:rPr>
        <w:t>财政拨款收入：指单位从同级财政部门取得的财政预算资金。</w:t>
      </w:r>
    </w:p>
    <w:p>
      <w:pPr>
        <w:numPr>
          <w:ilvl w:val="0"/>
          <w:numId w:val="3"/>
        </w:numPr>
        <w:suppressAutoHyphens w:val="0"/>
        <w:spacing w:line="560" w:lineRule="exact"/>
      </w:pPr>
      <w:r>
        <w:rPr>
          <w:rFonts w:hint="eastAsia" w:ascii="仿宋" w:hAnsi="仿宋" w:eastAsia="仿宋"/>
          <w:sz w:val="32"/>
          <w:szCs w:val="32"/>
        </w:rPr>
        <w:t>其他收入：指单位取得的除上述收入以外的各项收入。主要是非本级财政拨款及利息收入等。</w:t>
      </w:r>
    </w:p>
    <w:p>
      <w:pPr>
        <w:numPr>
          <w:ilvl w:val="0"/>
          <w:numId w:val="3"/>
        </w:numPr>
        <w:suppressAutoHyphens w:val="0"/>
        <w:spacing w:line="560" w:lineRule="exact"/>
      </w:pPr>
      <w:r>
        <w:rPr>
          <w:rFonts w:hint="eastAsia" w:ascii="仿宋" w:hAnsi="仿宋" w:eastAsia="仿宋" w:cs="Times New Roman"/>
          <w:sz w:val="32"/>
          <w:szCs w:val="32"/>
        </w:rPr>
        <w:t>年末结转和结余：指单位按有关规定结转到下年或以后年度继续使用的资金。</w:t>
      </w:r>
    </w:p>
    <w:p>
      <w:pPr>
        <w:numPr>
          <w:ilvl w:val="0"/>
          <w:numId w:val="3"/>
        </w:numPr>
        <w:suppressAutoHyphens w:val="0"/>
        <w:spacing w:line="560" w:lineRule="exact"/>
        <w:rPr>
          <w:rFonts w:ascii="仿宋" w:hAnsi="仿宋" w:eastAsia="仿宋"/>
          <w:sz w:val="32"/>
          <w:szCs w:val="32"/>
        </w:rPr>
      </w:pPr>
      <w:r>
        <w:rPr>
          <w:rFonts w:hint="eastAsia" w:ascii="仿宋" w:hAnsi="仿宋" w:eastAsia="仿宋"/>
          <w:sz w:val="32"/>
          <w:szCs w:val="32"/>
        </w:rPr>
        <w:t>一般公共服务支出（类）市场监督管理事务（款）质量安全监管（项）：指反映产品质量安全监管、特种设备安全监管等质量监管专项工作的支出。</w:t>
      </w:r>
    </w:p>
    <w:p>
      <w:pPr>
        <w:numPr>
          <w:ilvl w:val="0"/>
          <w:numId w:val="3"/>
        </w:numPr>
        <w:suppressAutoHyphens w:val="0"/>
        <w:spacing w:line="560" w:lineRule="exact"/>
        <w:rPr>
          <w:rFonts w:ascii="仿宋" w:hAnsi="仿宋" w:eastAsia="仿宋"/>
          <w:sz w:val="32"/>
          <w:szCs w:val="32"/>
        </w:rPr>
      </w:pPr>
      <w:r>
        <w:rPr>
          <w:rFonts w:hint="eastAsia" w:ascii="仿宋" w:hAnsi="仿宋" w:eastAsia="仿宋"/>
          <w:sz w:val="32"/>
          <w:szCs w:val="32"/>
        </w:rPr>
        <w:t>一般公共服务支出（类）市场监督管理事务（款）事业运行（项）：指反映事业单位的基本支出。</w:t>
      </w:r>
    </w:p>
    <w:p>
      <w:pPr>
        <w:numPr>
          <w:ilvl w:val="0"/>
          <w:numId w:val="3"/>
        </w:numPr>
        <w:suppressAutoHyphens w:val="0"/>
        <w:spacing w:line="560" w:lineRule="exact"/>
        <w:rPr>
          <w:rFonts w:ascii="仿宋" w:hAnsi="仿宋" w:eastAsia="仿宋"/>
          <w:sz w:val="32"/>
          <w:szCs w:val="32"/>
        </w:rPr>
      </w:pPr>
      <w:r>
        <w:rPr>
          <w:rFonts w:hint="eastAsia" w:ascii="仿宋" w:hAnsi="仿宋" w:eastAsia="仿宋"/>
          <w:sz w:val="32"/>
          <w:szCs w:val="32"/>
        </w:rPr>
        <w:t>一般公共服务支出（类）市场监督管理事务（款）其他市场监督管理事务（项）：指反映其他市场监督管理事务方面的支出。</w:t>
      </w:r>
    </w:p>
    <w:p>
      <w:pPr>
        <w:numPr>
          <w:ilvl w:val="0"/>
          <w:numId w:val="3"/>
        </w:numPr>
        <w:suppressAutoHyphens w:val="0"/>
        <w:spacing w:line="560" w:lineRule="exact"/>
        <w:rPr>
          <w:rFonts w:ascii="仿宋" w:hAnsi="仿宋" w:eastAsia="仿宋"/>
          <w:sz w:val="32"/>
          <w:szCs w:val="32"/>
        </w:rPr>
      </w:pPr>
      <w:r>
        <w:rPr>
          <w:rFonts w:hint="eastAsia" w:ascii="仿宋" w:hAnsi="仿宋" w:eastAsia="仿宋"/>
          <w:sz w:val="32"/>
          <w:szCs w:val="32"/>
        </w:rPr>
        <w:t>社会保障和就业（类）行政事业单位养老支出（款）机关事业单位基本养老保险缴费支出（项）：指用于机关事业单位实施养老保险制度由单位缴纳的基本养老保险费支出。</w:t>
      </w:r>
    </w:p>
    <w:p>
      <w:pPr>
        <w:numPr>
          <w:ilvl w:val="0"/>
          <w:numId w:val="3"/>
        </w:numPr>
        <w:suppressAutoHyphens w:val="0"/>
        <w:spacing w:line="560" w:lineRule="exact"/>
        <w:rPr>
          <w:rFonts w:ascii="仿宋" w:hAnsi="仿宋" w:eastAsia="仿宋"/>
          <w:sz w:val="32"/>
          <w:szCs w:val="32"/>
        </w:rPr>
      </w:pPr>
      <w:r>
        <w:rPr>
          <w:rFonts w:hint="eastAsia" w:ascii="仿宋" w:hAnsi="仿宋" w:eastAsia="仿宋"/>
          <w:sz w:val="32"/>
          <w:szCs w:val="32"/>
        </w:rPr>
        <w:t>社会保障和就业（类）行政事业单位养老支出（款）机关事业单位职业年金缴费支出（项）：指用于机关事业单位实施养老保险制度由单位缴纳的职业年金缴费支出。</w:t>
      </w:r>
    </w:p>
    <w:p>
      <w:pPr>
        <w:numPr>
          <w:ilvl w:val="0"/>
          <w:numId w:val="3"/>
        </w:numPr>
        <w:suppressAutoHyphens w:val="0"/>
        <w:spacing w:line="560" w:lineRule="exact"/>
        <w:rPr>
          <w:rFonts w:ascii="仿宋" w:hAnsi="仿宋" w:eastAsia="仿宋"/>
          <w:sz w:val="32"/>
          <w:szCs w:val="32"/>
        </w:rPr>
      </w:pPr>
      <w:r>
        <w:rPr>
          <w:rFonts w:hint="eastAsia" w:ascii="仿宋" w:hAnsi="仿宋" w:eastAsia="仿宋"/>
          <w:sz w:val="32"/>
          <w:szCs w:val="32"/>
        </w:rPr>
        <w:t>卫生健康支出（类）行政事业单位医疗（款）事业单位医疗（项）：指用于事业单位基本医疗保险缴费。</w:t>
      </w:r>
    </w:p>
    <w:p>
      <w:pPr>
        <w:numPr>
          <w:ilvl w:val="0"/>
          <w:numId w:val="3"/>
        </w:numPr>
        <w:suppressAutoHyphens w:val="0"/>
        <w:spacing w:line="560" w:lineRule="exact"/>
        <w:rPr>
          <w:rFonts w:ascii="仿宋" w:hAnsi="仿宋" w:eastAsia="仿宋"/>
          <w:sz w:val="32"/>
          <w:szCs w:val="32"/>
        </w:rPr>
      </w:pPr>
      <w:r>
        <w:rPr>
          <w:rFonts w:hint="eastAsia" w:ascii="仿宋" w:hAnsi="仿宋" w:eastAsia="仿宋"/>
          <w:sz w:val="32"/>
          <w:szCs w:val="32"/>
        </w:rPr>
        <w:t>住房保障支出（类）住房改革支出（款）住房公积金（项）：指用于行政事业单位按人力资源和社会保障部、财政部规定的基本工资和津贴补贴以及规定比例为职工缴纳的住房公积金。</w:t>
      </w:r>
    </w:p>
    <w:p>
      <w:pPr>
        <w:numPr>
          <w:ilvl w:val="0"/>
          <w:numId w:val="3"/>
        </w:numPr>
        <w:suppressAutoHyphens w:val="0"/>
        <w:spacing w:line="560" w:lineRule="exact"/>
        <w:rPr>
          <w:rFonts w:ascii="仿宋" w:hAnsi="仿宋" w:eastAsia="仿宋"/>
          <w:sz w:val="32"/>
          <w:szCs w:val="32"/>
        </w:rPr>
      </w:pPr>
      <w:r>
        <w:rPr>
          <w:rFonts w:hint="eastAsia" w:ascii="仿宋" w:hAnsi="仿宋" w:eastAsia="仿宋"/>
          <w:sz w:val="32"/>
          <w:szCs w:val="32"/>
        </w:rPr>
        <w:t>基本支出：指为保障机构正常运转、完成日常工作任务而发生的人员支出和公用支出。</w:t>
      </w:r>
    </w:p>
    <w:p>
      <w:pPr>
        <w:numPr>
          <w:ilvl w:val="0"/>
          <w:numId w:val="3"/>
        </w:numPr>
        <w:suppressAutoHyphens w:val="0"/>
        <w:spacing w:line="560" w:lineRule="exact"/>
        <w:rPr>
          <w:rFonts w:ascii="仿宋" w:hAnsi="仿宋" w:eastAsia="仿宋"/>
          <w:sz w:val="32"/>
          <w:szCs w:val="32"/>
        </w:rPr>
      </w:pPr>
      <w:r>
        <w:rPr>
          <w:rFonts w:hint="eastAsia" w:ascii="仿宋" w:hAnsi="仿宋" w:eastAsia="仿宋"/>
          <w:sz w:val="32"/>
          <w:szCs w:val="32"/>
        </w:rPr>
        <w:t>项目支出：指在基本支出之外为完成特定行政任务和事业发展目标所发生的支出。</w:t>
      </w:r>
    </w:p>
    <w:p>
      <w:pPr>
        <w:numPr>
          <w:ilvl w:val="0"/>
          <w:numId w:val="3"/>
        </w:numPr>
        <w:suppressAutoHyphens w:val="0"/>
        <w:spacing w:line="600" w:lineRule="exact"/>
        <w:rPr>
          <w:rFonts w:ascii="仿宋" w:hAnsi="仿宋" w:eastAsia="仿宋"/>
          <w:b/>
          <w:sz w:val="32"/>
          <w:szCs w:val="32"/>
        </w:rPr>
      </w:pPr>
      <w:r>
        <w:rPr>
          <w:rFonts w:hint="eastAsia" w:ascii="仿宋" w:hAnsi="仿宋" w:eastAsia="仿宋"/>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600" w:lineRule="exact"/>
        <w:jc w:val="center"/>
        <w:outlineLvl w:val="0"/>
        <w:rPr>
          <w:rFonts w:ascii="黑体" w:hAnsi="黑体" w:eastAsia="黑体"/>
          <w:sz w:val="44"/>
          <w:szCs w:val="44"/>
        </w:rPr>
      </w:pPr>
      <w:bookmarkStart w:id="33" w:name="_Toc21988"/>
      <w:bookmarkStart w:id="34" w:name="_Toc15396614"/>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sectPr>
          <w:pgSz w:w="11906" w:h="16838"/>
          <w:pgMar w:top="1440" w:right="1800" w:bottom="1440" w:left="1800" w:header="851" w:footer="992" w:gutter="0"/>
          <w:pgNumType w:start="1"/>
          <w:cols w:space="425" w:num="1"/>
          <w:titlePg/>
          <w:docGrid w:type="lines" w:linePitch="312" w:charSpace="0"/>
        </w:sectPr>
      </w:pPr>
    </w:p>
    <w:p>
      <w:pPr>
        <w:spacing w:line="600" w:lineRule="exact"/>
        <w:jc w:val="center"/>
        <w:outlineLvl w:val="0"/>
        <w:rPr>
          <w:rStyle w:val="21"/>
          <w:rFonts w:ascii="黑体" w:hAnsi="黑体" w:eastAsia="黑体"/>
          <w:b w:val="0"/>
        </w:rPr>
      </w:pPr>
      <w:bookmarkStart w:id="35" w:name="_Toc177552626"/>
      <w:r>
        <w:rPr>
          <w:rFonts w:hint="eastAsia" w:ascii="黑体" w:hAnsi="黑体" w:eastAsia="黑体"/>
          <w:sz w:val="44"/>
          <w:szCs w:val="44"/>
        </w:rPr>
        <w:t>第</w:t>
      </w:r>
      <w:r>
        <w:rPr>
          <w:rStyle w:val="21"/>
          <w:rFonts w:hint="eastAsia" w:ascii="黑体" w:hAnsi="黑体" w:eastAsia="黑体"/>
          <w:b w:val="0"/>
        </w:rPr>
        <w:t>四部分 附件</w:t>
      </w:r>
      <w:bookmarkEnd w:id="33"/>
      <w:bookmarkEnd w:id="34"/>
      <w:bookmarkEnd w:id="35"/>
    </w:p>
    <w:p>
      <w:pPr>
        <w:spacing w:line="600" w:lineRule="exact"/>
        <w:jc w:val="center"/>
        <w:outlineLvl w:val="0"/>
        <w:rPr>
          <w:rFonts w:ascii="黑体" w:hAnsi="黑体" w:eastAsia="黑体"/>
          <w:color w:val="FF0000"/>
          <w:sz w:val="44"/>
          <w:szCs w:val="44"/>
        </w:rPr>
      </w:pPr>
      <w:bookmarkStart w:id="36" w:name="_Toc177552627"/>
      <w:r>
        <w:rPr>
          <w:rFonts w:hint="eastAsia" w:hAnsi="Times New Roman"/>
          <w:sz w:val="32"/>
          <w:szCs w:val="32"/>
        </w:rPr>
        <w:t>部门预算项目支出绩效自评表（202</w:t>
      </w:r>
      <w:r>
        <w:rPr>
          <w:rFonts w:hint="eastAsia"/>
          <w:sz w:val="32"/>
          <w:szCs w:val="32"/>
        </w:rPr>
        <w:t>3</w:t>
      </w:r>
      <w:r>
        <w:rPr>
          <w:rFonts w:hint="eastAsia" w:hAnsi="Times New Roman"/>
          <w:sz w:val="32"/>
          <w:szCs w:val="32"/>
        </w:rPr>
        <w:t>年度）</w:t>
      </w:r>
      <w:bookmarkEnd w:id="36"/>
    </w:p>
    <w:tbl>
      <w:tblPr>
        <w:tblStyle w:val="17"/>
        <w:tblW w:w="12780" w:type="dxa"/>
        <w:tblInd w:w="96" w:type="dxa"/>
        <w:tblLayout w:type="autofit"/>
        <w:tblCellMar>
          <w:top w:w="0" w:type="dxa"/>
          <w:left w:w="108" w:type="dxa"/>
          <w:bottom w:w="0" w:type="dxa"/>
          <w:right w:w="108" w:type="dxa"/>
        </w:tblCellMar>
      </w:tblPr>
      <w:tblGrid>
        <w:gridCol w:w="619"/>
        <w:gridCol w:w="1819"/>
        <w:gridCol w:w="1586"/>
        <w:gridCol w:w="2018"/>
        <w:gridCol w:w="459"/>
        <w:gridCol w:w="1504"/>
        <w:gridCol w:w="459"/>
        <w:gridCol w:w="978"/>
        <w:gridCol w:w="486"/>
        <w:gridCol w:w="576"/>
        <w:gridCol w:w="2276"/>
      </w:tblGrid>
      <w:tr>
        <w:tblPrEx>
          <w:tblCellMar>
            <w:top w:w="0" w:type="dxa"/>
            <w:left w:w="108" w:type="dxa"/>
            <w:bottom w:w="0" w:type="dxa"/>
            <w:right w:w="108" w:type="dxa"/>
          </w:tblCellMar>
        </w:tblPrEx>
        <w:trPr>
          <w:trHeight w:val="903" w:hRule="atLeast"/>
        </w:trPr>
        <w:tc>
          <w:tcPr>
            <w:tcW w:w="1278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部门预算项目支出绩效自评表（2023年度）</w:t>
            </w:r>
          </w:p>
        </w:tc>
      </w:tr>
      <w:tr>
        <w:tblPrEx>
          <w:tblCellMar>
            <w:top w:w="0" w:type="dxa"/>
            <w:left w:w="108" w:type="dxa"/>
            <w:bottom w:w="0" w:type="dxa"/>
            <w:right w:w="108" w:type="dxa"/>
          </w:tblCellMar>
        </w:tblPrEx>
        <w:trPr>
          <w:trHeight w:val="285" w:hRule="atLeast"/>
        </w:trPr>
        <w:tc>
          <w:tcPr>
            <w:tcW w:w="2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0342"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51000021R000000019951-工资性支出</w:t>
            </w:r>
          </w:p>
        </w:tc>
      </w:tr>
      <w:tr>
        <w:tblPrEx>
          <w:tblCellMar>
            <w:top w:w="0" w:type="dxa"/>
            <w:left w:w="108" w:type="dxa"/>
            <w:bottom w:w="0" w:type="dxa"/>
            <w:right w:w="108" w:type="dxa"/>
          </w:tblCellMar>
        </w:tblPrEx>
        <w:trPr>
          <w:trHeight w:val="513" w:hRule="atLeast"/>
        </w:trPr>
        <w:tc>
          <w:tcPr>
            <w:tcW w:w="2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广元市市场监督管理局部门</w:t>
            </w:r>
            <w:bookmarkStart w:id="51" w:name="_GoBack"/>
            <w:bookmarkEnd w:id="51"/>
          </w:p>
        </w:tc>
        <w:tc>
          <w:tcPr>
            <w:tcW w:w="978" w:type="dxa"/>
            <w:tcBorders>
              <w:top w:val="nil"/>
              <w:left w:val="nil"/>
              <w:bottom w:val="nil"/>
              <w:right w:val="nil"/>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实施单位 （盖章）</w:t>
            </w:r>
          </w:p>
        </w:tc>
        <w:tc>
          <w:tcPr>
            <w:tcW w:w="33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广元市产品质量监督检验所</w:t>
            </w:r>
          </w:p>
        </w:tc>
      </w:tr>
      <w:tr>
        <w:tblPrEx>
          <w:tblCellMar>
            <w:top w:w="0" w:type="dxa"/>
            <w:left w:w="108" w:type="dxa"/>
            <w:bottom w:w="0" w:type="dxa"/>
            <w:right w:w="108" w:type="dxa"/>
          </w:tblCellMar>
        </w:tblPrEx>
        <w:trPr>
          <w:trHeight w:val="285"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8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4316"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Courier New" w:hAnsi="Courier New" w:cs="宋体"/>
                <w:color w:val="000000"/>
                <w:kern w:val="0"/>
                <w:sz w:val="18"/>
                <w:szCs w:val="18"/>
              </w:rPr>
            </w:pPr>
            <w:r>
              <w:rPr>
                <w:rFonts w:ascii="Courier New" w:hAnsi="Courier New" w:cs="宋体"/>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严格执行相关政策，保障工资及时、足额发放或社保及时、足额缴纳，预算编制科学合理，减少结余资金</w:t>
            </w:r>
          </w:p>
        </w:tc>
        <w:tc>
          <w:tcPr>
            <w:tcW w:w="4316"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已按相关政策执行完毕。</w:t>
            </w:r>
          </w:p>
        </w:tc>
      </w:tr>
      <w:tr>
        <w:tblPrEx>
          <w:tblCellMar>
            <w:top w:w="0" w:type="dxa"/>
            <w:left w:w="108" w:type="dxa"/>
            <w:bottom w:w="0" w:type="dxa"/>
            <w:right w:w="108" w:type="dxa"/>
          </w:tblCellMar>
        </w:tblPrEx>
        <w:trPr>
          <w:trHeight w:val="69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0342"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严格执行相关政策，保障工资及时、足额发放或社保及时、足额缴纳，预算编制科学合理，减少结余资金</w:t>
            </w:r>
          </w:p>
        </w:tc>
      </w:tr>
      <w:tr>
        <w:tblPrEx>
          <w:tblCellMar>
            <w:top w:w="0" w:type="dxa"/>
            <w:left w:w="108" w:type="dxa"/>
            <w:bottom w:w="0" w:type="dxa"/>
            <w:right w:w="108" w:type="dxa"/>
          </w:tblCellMar>
        </w:tblPrEx>
        <w:trPr>
          <w:trHeight w:val="360"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45"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188.66</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188.66</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184.66</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97.88%</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9.79</w:t>
            </w:r>
          </w:p>
        </w:tc>
        <w:tc>
          <w:tcPr>
            <w:tcW w:w="22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i/>
                <w:iCs/>
                <w:color w:val="000000"/>
                <w:kern w:val="0"/>
                <w:sz w:val="18"/>
                <w:szCs w:val="18"/>
              </w:rPr>
            </w:pPr>
            <w:r>
              <w:rPr>
                <w:rFonts w:ascii="Courier New" w:hAnsi="Courier New" w:cs="宋体"/>
                <w:i/>
                <w:iCs/>
                <w:color w:val="000000"/>
                <w:kern w:val="0"/>
                <w:sz w:val="18"/>
                <w:szCs w:val="18"/>
              </w:rPr>
              <w:t>1.预算执行率=预算执行数/调整后预算数，预算执行率未达到90%的需说明原因（100字以内）</w:t>
            </w:r>
            <w:r>
              <w:rPr>
                <w:rFonts w:hint="eastAsia" w:ascii="Courier New" w:hAnsi="Courier New" w:cs="宋体"/>
                <w:i/>
                <w:iCs/>
                <w:color w:val="000000"/>
                <w:kern w:val="0"/>
                <w:sz w:val="18"/>
                <w:szCs w:val="18"/>
                <w:lang w:eastAsia="zh-CN"/>
              </w:rPr>
              <w:t>；</w:t>
            </w:r>
            <w:r>
              <w:rPr>
                <w:rFonts w:ascii="Courier New" w:hAnsi="Courier New" w:cs="宋体"/>
                <w:i/>
                <w:iCs/>
                <w:color w:val="000000"/>
                <w:kern w:val="0"/>
                <w:sz w:val="18"/>
                <w:szCs w:val="18"/>
              </w:rPr>
              <w:t>2.年中发生预算调整的（追加或调减）</w:t>
            </w:r>
            <w:r>
              <w:rPr>
                <w:rFonts w:hint="eastAsia" w:ascii="Courier New" w:hAnsi="Courier New" w:cs="宋体"/>
                <w:i/>
                <w:iCs/>
                <w:color w:val="000000"/>
                <w:kern w:val="0"/>
                <w:sz w:val="18"/>
                <w:szCs w:val="18"/>
                <w:lang w:eastAsia="zh-CN"/>
              </w:rPr>
              <w:t>，</w:t>
            </w:r>
            <w:r>
              <w:rPr>
                <w:rFonts w:ascii="Courier New" w:hAnsi="Courier New" w:cs="宋体"/>
                <w:i/>
                <w:iCs/>
                <w:color w:val="000000"/>
                <w:kern w:val="0"/>
                <w:sz w:val="18"/>
                <w:szCs w:val="18"/>
              </w:rPr>
              <w:t>应单独说明理由；3.其他资金包括：社会投入资金、银行贷款.</w:t>
            </w:r>
          </w:p>
        </w:tc>
      </w:tr>
      <w:tr>
        <w:tblPrEx>
          <w:tblCellMar>
            <w:top w:w="0" w:type="dxa"/>
            <w:left w:w="108" w:type="dxa"/>
            <w:bottom w:w="0" w:type="dxa"/>
            <w:right w:w="108" w:type="dxa"/>
          </w:tblCellMar>
        </w:tblPrEx>
        <w:trPr>
          <w:trHeight w:val="390"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188.66</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188.66</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184.66</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97.88%</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408"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360"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453"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发放（缴纳）覆盖率</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60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60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足额保障率（参保率）</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944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99.8</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自评总分99.8分。</w:t>
            </w:r>
          </w:p>
        </w:tc>
      </w:tr>
      <w:tr>
        <w:tblPrEx>
          <w:tblCellMar>
            <w:top w:w="0" w:type="dxa"/>
            <w:left w:w="108" w:type="dxa"/>
            <w:bottom w:w="0" w:type="dxa"/>
            <w:right w:w="108" w:type="dxa"/>
          </w:tblCellMar>
        </w:tblPrEx>
        <w:trPr>
          <w:trHeight w:val="57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650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项目负责人：王禹陈</w:t>
            </w:r>
          </w:p>
        </w:tc>
        <w:tc>
          <w:tcPr>
            <w:tcW w:w="6279" w:type="dxa"/>
            <w:gridSpan w:val="6"/>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财务负责人：赵诗</w:t>
            </w:r>
          </w:p>
        </w:tc>
      </w:tr>
      <w:tr>
        <w:tblPrEx>
          <w:tblCellMar>
            <w:top w:w="0" w:type="dxa"/>
            <w:left w:w="108" w:type="dxa"/>
            <w:bottom w:w="0" w:type="dxa"/>
            <w:right w:w="108" w:type="dxa"/>
          </w:tblCellMar>
        </w:tblPrEx>
        <w:trPr>
          <w:trHeight w:val="285" w:hRule="atLeast"/>
        </w:trPr>
        <w:tc>
          <w:tcPr>
            <w:tcW w:w="61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81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58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2018"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5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504"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5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978"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8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227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r>
      <w:tr>
        <w:tblPrEx>
          <w:tblCellMar>
            <w:top w:w="0" w:type="dxa"/>
            <w:left w:w="108" w:type="dxa"/>
            <w:bottom w:w="0" w:type="dxa"/>
            <w:right w:w="108" w:type="dxa"/>
          </w:tblCellMar>
        </w:tblPrEx>
        <w:trPr>
          <w:trHeight w:val="903" w:hRule="atLeast"/>
        </w:trPr>
        <w:tc>
          <w:tcPr>
            <w:tcW w:w="1278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部门预算项目支出绩效自评表（2023年度）</w:t>
            </w:r>
          </w:p>
        </w:tc>
      </w:tr>
      <w:tr>
        <w:tblPrEx>
          <w:tblCellMar>
            <w:top w:w="0" w:type="dxa"/>
            <w:left w:w="108" w:type="dxa"/>
            <w:bottom w:w="0" w:type="dxa"/>
            <w:right w:w="108" w:type="dxa"/>
          </w:tblCellMar>
        </w:tblPrEx>
        <w:trPr>
          <w:trHeight w:val="285" w:hRule="atLeast"/>
        </w:trPr>
        <w:tc>
          <w:tcPr>
            <w:tcW w:w="2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0342"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51000021R000000019956-离退休费支出</w:t>
            </w:r>
          </w:p>
        </w:tc>
      </w:tr>
      <w:tr>
        <w:tblPrEx>
          <w:tblCellMar>
            <w:top w:w="0" w:type="dxa"/>
            <w:left w:w="108" w:type="dxa"/>
            <w:bottom w:w="0" w:type="dxa"/>
            <w:right w:w="108" w:type="dxa"/>
          </w:tblCellMar>
        </w:tblPrEx>
        <w:trPr>
          <w:trHeight w:val="513" w:hRule="atLeast"/>
        </w:trPr>
        <w:tc>
          <w:tcPr>
            <w:tcW w:w="2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广元市市场监督管理局部门</w:t>
            </w:r>
          </w:p>
        </w:tc>
        <w:tc>
          <w:tcPr>
            <w:tcW w:w="978" w:type="dxa"/>
            <w:tcBorders>
              <w:top w:val="nil"/>
              <w:left w:val="nil"/>
              <w:bottom w:val="nil"/>
              <w:right w:val="nil"/>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实施单位 （盖章）</w:t>
            </w:r>
          </w:p>
        </w:tc>
        <w:tc>
          <w:tcPr>
            <w:tcW w:w="33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广元市产品质量监督检验所</w:t>
            </w:r>
          </w:p>
        </w:tc>
      </w:tr>
      <w:tr>
        <w:tblPrEx>
          <w:tblCellMar>
            <w:top w:w="0" w:type="dxa"/>
            <w:left w:w="108" w:type="dxa"/>
            <w:bottom w:w="0" w:type="dxa"/>
            <w:right w:w="108" w:type="dxa"/>
          </w:tblCellMar>
        </w:tblPrEx>
        <w:trPr>
          <w:trHeight w:val="285"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8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4316"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Courier New" w:hAnsi="Courier New" w:cs="宋体"/>
                <w:color w:val="000000"/>
                <w:kern w:val="0"/>
                <w:sz w:val="18"/>
                <w:szCs w:val="18"/>
              </w:rPr>
            </w:pPr>
            <w:r>
              <w:rPr>
                <w:rFonts w:ascii="Courier New" w:hAnsi="Courier New" w:cs="宋体"/>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严格执行相关政策，保障工资及时、足额发放或社保及时、足额缴纳，预算编制科学合理，减少结余资金</w:t>
            </w:r>
          </w:p>
        </w:tc>
        <w:tc>
          <w:tcPr>
            <w:tcW w:w="4316"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已按相关政策执行完毕。</w:t>
            </w:r>
          </w:p>
        </w:tc>
      </w:tr>
      <w:tr>
        <w:tblPrEx>
          <w:tblCellMar>
            <w:top w:w="0" w:type="dxa"/>
            <w:left w:w="108" w:type="dxa"/>
            <w:bottom w:w="0" w:type="dxa"/>
            <w:right w:w="108" w:type="dxa"/>
          </w:tblCellMar>
        </w:tblPrEx>
        <w:trPr>
          <w:trHeight w:val="69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0342"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严格执行相关政策，保障工资及时、足额发放或社保及时、足额缴纳，预算编制科学合理，减少结余资金</w:t>
            </w:r>
          </w:p>
        </w:tc>
      </w:tr>
      <w:tr>
        <w:tblPrEx>
          <w:tblCellMar>
            <w:top w:w="0" w:type="dxa"/>
            <w:left w:w="108" w:type="dxa"/>
            <w:bottom w:w="0" w:type="dxa"/>
            <w:right w:w="108" w:type="dxa"/>
          </w:tblCellMar>
        </w:tblPrEx>
        <w:trPr>
          <w:trHeight w:val="360"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45"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7.56</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7.56</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7.56</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2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i/>
                <w:iCs/>
                <w:color w:val="000000"/>
                <w:kern w:val="0"/>
                <w:sz w:val="18"/>
                <w:szCs w:val="18"/>
              </w:rPr>
            </w:pPr>
            <w:r>
              <w:rPr>
                <w:rFonts w:ascii="Courier New" w:hAnsi="Courier New" w:cs="宋体"/>
                <w:i/>
                <w:iCs/>
                <w:color w:val="000000"/>
                <w:kern w:val="0"/>
                <w:sz w:val="18"/>
                <w:szCs w:val="18"/>
              </w:rPr>
              <w:t>1.预算执行率=预算执行数/调整后预算数，预算执行率未达到90%的需说明原因（100字以内）</w:t>
            </w:r>
            <w:r>
              <w:rPr>
                <w:rFonts w:hint="eastAsia" w:ascii="Courier New" w:hAnsi="Courier New" w:cs="宋体"/>
                <w:i/>
                <w:iCs/>
                <w:color w:val="000000"/>
                <w:kern w:val="0"/>
                <w:sz w:val="18"/>
                <w:szCs w:val="18"/>
                <w:lang w:eastAsia="zh-CN"/>
              </w:rPr>
              <w:t>；</w:t>
            </w:r>
            <w:r>
              <w:rPr>
                <w:rFonts w:ascii="Courier New" w:hAnsi="Courier New" w:cs="宋体"/>
                <w:i/>
                <w:iCs/>
                <w:color w:val="000000"/>
                <w:kern w:val="0"/>
                <w:sz w:val="18"/>
                <w:szCs w:val="18"/>
              </w:rPr>
              <w:t>2.年中发生预算调整的（追加或调减）</w:t>
            </w:r>
            <w:r>
              <w:rPr>
                <w:rFonts w:hint="eastAsia" w:ascii="Courier New" w:hAnsi="Courier New" w:cs="宋体"/>
                <w:i/>
                <w:iCs/>
                <w:color w:val="000000"/>
                <w:kern w:val="0"/>
                <w:sz w:val="18"/>
                <w:szCs w:val="18"/>
                <w:lang w:eastAsia="zh-CN"/>
              </w:rPr>
              <w:t>，</w:t>
            </w:r>
            <w:r>
              <w:rPr>
                <w:rFonts w:ascii="Courier New" w:hAnsi="Courier New" w:cs="宋体"/>
                <w:i/>
                <w:iCs/>
                <w:color w:val="000000"/>
                <w:kern w:val="0"/>
                <w:sz w:val="18"/>
                <w:szCs w:val="18"/>
              </w:rPr>
              <w:t>应单独说明理由；3.其他资金包括：社会投入资金、银行贷款.</w:t>
            </w:r>
          </w:p>
        </w:tc>
      </w:tr>
      <w:tr>
        <w:tblPrEx>
          <w:tblCellMar>
            <w:top w:w="0" w:type="dxa"/>
            <w:left w:w="108" w:type="dxa"/>
            <w:bottom w:w="0" w:type="dxa"/>
            <w:right w:w="108" w:type="dxa"/>
          </w:tblCellMar>
        </w:tblPrEx>
        <w:trPr>
          <w:trHeight w:val="390"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7.56</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7.56</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7.56</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408"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360"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453"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发放（缴纳）覆盖率</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60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60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足额保障率（参保率）</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944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自评总分100分。</w:t>
            </w:r>
          </w:p>
        </w:tc>
      </w:tr>
      <w:tr>
        <w:tblPrEx>
          <w:tblCellMar>
            <w:top w:w="0" w:type="dxa"/>
            <w:left w:w="108" w:type="dxa"/>
            <w:bottom w:w="0" w:type="dxa"/>
            <w:right w:w="108" w:type="dxa"/>
          </w:tblCellMar>
        </w:tblPrEx>
        <w:trPr>
          <w:trHeight w:val="57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650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项目负责人：王禹陈</w:t>
            </w:r>
          </w:p>
        </w:tc>
        <w:tc>
          <w:tcPr>
            <w:tcW w:w="6279" w:type="dxa"/>
            <w:gridSpan w:val="6"/>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财务负责人：赵诗</w:t>
            </w:r>
          </w:p>
        </w:tc>
      </w:tr>
      <w:tr>
        <w:tblPrEx>
          <w:tblCellMar>
            <w:top w:w="0" w:type="dxa"/>
            <w:left w:w="108" w:type="dxa"/>
            <w:bottom w:w="0" w:type="dxa"/>
            <w:right w:w="108" w:type="dxa"/>
          </w:tblCellMar>
        </w:tblPrEx>
        <w:trPr>
          <w:trHeight w:val="285" w:hRule="atLeast"/>
        </w:trPr>
        <w:tc>
          <w:tcPr>
            <w:tcW w:w="61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81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58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2018"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5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504"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5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978"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8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227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r>
      <w:tr>
        <w:tblPrEx>
          <w:tblCellMar>
            <w:top w:w="0" w:type="dxa"/>
            <w:left w:w="108" w:type="dxa"/>
            <w:bottom w:w="0" w:type="dxa"/>
            <w:right w:w="108" w:type="dxa"/>
          </w:tblCellMar>
        </w:tblPrEx>
        <w:trPr>
          <w:trHeight w:val="903" w:hRule="atLeast"/>
        </w:trPr>
        <w:tc>
          <w:tcPr>
            <w:tcW w:w="1278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部门预算项目支出绩效自评表（2023年度）</w:t>
            </w:r>
          </w:p>
        </w:tc>
      </w:tr>
      <w:tr>
        <w:tblPrEx>
          <w:tblCellMar>
            <w:top w:w="0" w:type="dxa"/>
            <w:left w:w="108" w:type="dxa"/>
            <w:bottom w:w="0" w:type="dxa"/>
            <w:right w:w="108" w:type="dxa"/>
          </w:tblCellMar>
        </w:tblPrEx>
        <w:trPr>
          <w:trHeight w:val="285" w:hRule="atLeast"/>
        </w:trPr>
        <w:tc>
          <w:tcPr>
            <w:tcW w:w="2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0342"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51000021Y000000011490-日常公用经费</w:t>
            </w:r>
          </w:p>
        </w:tc>
      </w:tr>
      <w:tr>
        <w:tblPrEx>
          <w:tblCellMar>
            <w:top w:w="0" w:type="dxa"/>
            <w:left w:w="108" w:type="dxa"/>
            <w:bottom w:w="0" w:type="dxa"/>
            <w:right w:w="108" w:type="dxa"/>
          </w:tblCellMar>
        </w:tblPrEx>
        <w:trPr>
          <w:trHeight w:val="513" w:hRule="atLeast"/>
        </w:trPr>
        <w:tc>
          <w:tcPr>
            <w:tcW w:w="2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广元市市场监督管理局部门</w:t>
            </w:r>
          </w:p>
        </w:tc>
        <w:tc>
          <w:tcPr>
            <w:tcW w:w="978" w:type="dxa"/>
            <w:tcBorders>
              <w:top w:val="nil"/>
              <w:left w:val="nil"/>
              <w:bottom w:val="nil"/>
              <w:right w:val="nil"/>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实施单位 （盖章）</w:t>
            </w:r>
          </w:p>
        </w:tc>
        <w:tc>
          <w:tcPr>
            <w:tcW w:w="33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广元市产品质量监督检验所</w:t>
            </w:r>
          </w:p>
        </w:tc>
      </w:tr>
      <w:tr>
        <w:tblPrEx>
          <w:tblCellMar>
            <w:top w:w="0" w:type="dxa"/>
            <w:left w:w="108" w:type="dxa"/>
            <w:bottom w:w="0" w:type="dxa"/>
            <w:right w:w="108" w:type="dxa"/>
          </w:tblCellMar>
        </w:tblPrEx>
        <w:trPr>
          <w:trHeight w:val="285"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8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4316"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Courier New" w:hAnsi="Courier New" w:cs="宋体"/>
                <w:color w:val="000000"/>
                <w:kern w:val="0"/>
                <w:sz w:val="18"/>
                <w:szCs w:val="18"/>
              </w:rPr>
            </w:pPr>
            <w:r>
              <w:rPr>
                <w:rFonts w:ascii="Courier New" w:hAnsi="Courier New" w:cs="宋体"/>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提高预算编制质量，严格执行预算，保障单位日常运转</w:t>
            </w:r>
          </w:p>
        </w:tc>
        <w:tc>
          <w:tcPr>
            <w:tcW w:w="4316"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已按相关政策执行完毕。</w:t>
            </w:r>
          </w:p>
        </w:tc>
      </w:tr>
      <w:tr>
        <w:tblPrEx>
          <w:tblCellMar>
            <w:top w:w="0" w:type="dxa"/>
            <w:left w:w="108" w:type="dxa"/>
            <w:bottom w:w="0" w:type="dxa"/>
            <w:right w:w="108" w:type="dxa"/>
          </w:tblCellMar>
        </w:tblPrEx>
        <w:trPr>
          <w:trHeight w:val="69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0342"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提高预算编制质量，严格执行预算，保障单位日常运转</w:t>
            </w:r>
          </w:p>
        </w:tc>
      </w:tr>
      <w:tr>
        <w:tblPrEx>
          <w:tblCellMar>
            <w:top w:w="0" w:type="dxa"/>
            <w:left w:w="108" w:type="dxa"/>
            <w:bottom w:w="0" w:type="dxa"/>
            <w:right w:w="108" w:type="dxa"/>
          </w:tblCellMar>
        </w:tblPrEx>
        <w:trPr>
          <w:trHeight w:val="360"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45"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0.93</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2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i/>
                <w:iCs/>
                <w:color w:val="000000"/>
                <w:kern w:val="0"/>
                <w:sz w:val="18"/>
                <w:szCs w:val="18"/>
              </w:rPr>
            </w:pPr>
            <w:r>
              <w:rPr>
                <w:rFonts w:ascii="Courier New" w:hAnsi="Courier New" w:cs="宋体"/>
                <w:i/>
                <w:iCs/>
                <w:color w:val="000000"/>
                <w:kern w:val="0"/>
                <w:sz w:val="18"/>
                <w:szCs w:val="18"/>
              </w:rPr>
              <w:t>1.预算执行率=预算执行数/调整后预算数，预算执行率未达到90%的需说明原因（100字以内）</w:t>
            </w:r>
            <w:r>
              <w:rPr>
                <w:rFonts w:hint="eastAsia" w:ascii="Courier New" w:hAnsi="Courier New" w:cs="宋体"/>
                <w:i/>
                <w:iCs/>
                <w:color w:val="000000"/>
                <w:kern w:val="0"/>
                <w:sz w:val="18"/>
                <w:szCs w:val="18"/>
                <w:lang w:eastAsia="zh-CN"/>
              </w:rPr>
              <w:t>；</w:t>
            </w:r>
            <w:r>
              <w:rPr>
                <w:rFonts w:ascii="Courier New" w:hAnsi="Courier New" w:cs="宋体"/>
                <w:i/>
                <w:iCs/>
                <w:color w:val="000000"/>
                <w:kern w:val="0"/>
                <w:sz w:val="18"/>
                <w:szCs w:val="18"/>
              </w:rPr>
              <w:t>2.年中发生预算调整的（追加或调减）</w:t>
            </w:r>
            <w:r>
              <w:rPr>
                <w:rFonts w:hint="eastAsia" w:ascii="Courier New" w:hAnsi="Courier New" w:cs="宋体"/>
                <w:i/>
                <w:iCs/>
                <w:color w:val="000000"/>
                <w:kern w:val="0"/>
                <w:sz w:val="18"/>
                <w:szCs w:val="18"/>
                <w:lang w:eastAsia="zh-CN"/>
              </w:rPr>
              <w:t>，</w:t>
            </w:r>
            <w:r>
              <w:rPr>
                <w:rFonts w:ascii="Courier New" w:hAnsi="Courier New" w:cs="宋体"/>
                <w:i/>
                <w:iCs/>
                <w:color w:val="000000"/>
                <w:kern w:val="0"/>
                <w:sz w:val="18"/>
                <w:szCs w:val="18"/>
              </w:rPr>
              <w:t>应单独说明理由；3.其他资金包括：社会投入资金、银行贷款.</w:t>
            </w:r>
          </w:p>
        </w:tc>
      </w:tr>
      <w:tr>
        <w:tblPrEx>
          <w:tblCellMar>
            <w:top w:w="0" w:type="dxa"/>
            <w:left w:w="108" w:type="dxa"/>
            <w:bottom w:w="0" w:type="dxa"/>
            <w:right w:w="108" w:type="dxa"/>
          </w:tblCellMar>
        </w:tblPrEx>
        <w:trPr>
          <w:trHeight w:val="390"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0.93</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408"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360"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453"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678"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预算编制准确率（计算方法为：∣（执行数-预算数）/预算数∣）</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90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“三公经费”控制率[计算方法为：（三公经费实际支出数/预算安排数]×100%）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运转保障率</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944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自评总分100分。</w:t>
            </w:r>
          </w:p>
        </w:tc>
      </w:tr>
      <w:tr>
        <w:tblPrEx>
          <w:tblCellMar>
            <w:top w:w="0" w:type="dxa"/>
            <w:left w:w="108" w:type="dxa"/>
            <w:bottom w:w="0" w:type="dxa"/>
            <w:right w:w="108" w:type="dxa"/>
          </w:tblCellMar>
        </w:tblPrEx>
        <w:trPr>
          <w:trHeight w:val="57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650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项目负责人：王禹陈</w:t>
            </w:r>
          </w:p>
        </w:tc>
        <w:tc>
          <w:tcPr>
            <w:tcW w:w="6279" w:type="dxa"/>
            <w:gridSpan w:val="6"/>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财务负责人：赵诗</w:t>
            </w:r>
          </w:p>
        </w:tc>
      </w:tr>
      <w:tr>
        <w:tblPrEx>
          <w:tblCellMar>
            <w:top w:w="0" w:type="dxa"/>
            <w:left w:w="108" w:type="dxa"/>
            <w:bottom w:w="0" w:type="dxa"/>
            <w:right w:w="108" w:type="dxa"/>
          </w:tblCellMar>
        </w:tblPrEx>
        <w:trPr>
          <w:trHeight w:val="285" w:hRule="atLeast"/>
        </w:trPr>
        <w:tc>
          <w:tcPr>
            <w:tcW w:w="61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81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58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2018"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5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504"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5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978"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8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227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r>
      <w:tr>
        <w:tblPrEx>
          <w:tblCellMar>
            <w:top w:w="0" w:type="dxa"/>
            <w:left w:w="108" w:type="dxa"/>
            <w:bottom w:w="0" w:type="dxa"/>
            <w:right w:w="108" w:type="dxa"/>
          </w:tblCellMar>
        </w:tblPrEx>
        <w:trPr>
          <w:trHeight w:val="903" w:hRule="atLeast"/>
        </w:trPr>
        <w:tc>
          <w:tcPr>
            <w:tcW w:w="1278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部门预算项目支出绩效自评表（2023年度）</w:t>
            </w:r>
          </w:p>
        </w:tc>
      </w:tr>
      <w:tr>
        <w:tblPrEx>
          <w:tblCellMar>
            <w:top w:w="0" w:type="dxa"/>
            <w:left w:w="108" w:type="dxa"/>
            <w:bottom w:w="0" w:type="dxa"/>
            <w:right w:w="108" w:type="dxa"/>
          </w:tblCellMar>
        </w:tblPrEx>
        <w:trPr>
          <w:trHeight w:val="285" w:hRule="atLeast"/>
        </w:trPr>
        <w:tc>
          <w:tcPr>
            <w:tcW w:w="2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0342"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51080021T000000050604-质检运行经费</w:t>
            </w:r>
          </w:p>
        </w:tc>
      </w:tr>
      <w:tr>
        <w:tblPrEx>
          <w:tblCellMar>
            <w:top w:w="0" w:type="dxa"/>
            <w:left w:w="108" w:type="dxa"/>
            <w:bottom w:w="0" w:type="dxa"/>
            <w:right w:w="108" w:type="dxa"/>
          </w:tblCellMar>
        </w:tblPrEx>
        <w:trPr>
          <w:trHeight w:val="513" w:hRule="atLeast"/>
        </w:trPr>
        <w:tc>
          <w:tcPr>
            <w:tcW w:w="2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广元市市场监督管理局部门</w:t>
            </w:r>
          </w:p>
        </w:tc>
        <w:tc>
          <w:tcPr>
            <w:tcW w:w="978" w:type="dxa"/>
            <w:tcBorders>
              <w:top w:val="nil"/>
              <w:left w:val="nil"/>
              <w:bottom w:val="nil"/>
              <w:right w:val="nil"/>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实施单位 （盖章）</w:t>
            </w:r>
          </w:p>
        </w:tc>
        <w:tc>
          <w:tcPr>
            <w:tcW w:w="33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广元市产品质量监督检验所</w:t>
            </w:r>
          </w:p>
        </w:tc>
      </w:tr>
      <w:tr>
        <w:tblPrEx>
          <w:tblCellMar>
            <w:top w:w="0" w:type="dxa"/>
            <w:left w:w="108" w:type="dxa"/>
            <w:bottom w:w="0" w:type="dxa"/>
            <w:right w:w="108" w:type="dxa"/>
          </w:tblCellMar>
        </w:tblPrEx>
        <w:trPr>
          <w:trHeight w:val="285"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8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4316"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Courier New" w:hAnsi="Courier New" w:cs="宋体"/>
                <w:color w:val="000000"/>
                <w:kern w:val="0"/>
                <w:sz w:val="18"/>
                <w:szCs w:val="18"/>
              </w:rPr>
            </w:pPr>
            <w:r>
              <w:rPr>
                <w:rFonts w:ascii="Courier New" w:hAnsi="Courier New" w:cs="宋体"/>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接受各类委托检验和技术服务500批次，保障日常检验工作正常开展，保障聘用人员基本工资福利、支部党建、食堂运行、物业管理等日常工作正常开展。</w:t>
            </w:r>
          </w:p>
        </w:tc>
        <w:tc>
          <w:tcPr>
            <w:tcW w:w="4316"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2023年接受委托检验和技术服务1310批次，保障了日常检验工作正常开展和质检大楼公共区域安保、维护、保洁等工作。</w:t>
            </w:r>
          </w:p>
        </w:tc>
      </w:tr>
      <w:tr>
        <w:tblPrEx>
          <w:tblCellMar>
            <w:top w:w="0" w:type="dxa"/>
            <w:left w:w="108" w:type="dxa"/>
            <w:bottom w:w="0" w:type="dxa"/>
            <w:right w:w="108" w:type="dxa"/>
          </w:tblCellMar>
        </w:tblPrEx>
        <w:trPr>
          <w:trHeight w:val="69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0342"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xml:space="preserve"> 广元市质检所是广元市市场监督管理局直属事业单位，主要承担省市监督抽查、风险监测工作，承接委托检验、技术服务工作，为核定收支定额补助事业单位。目前，财政保障了在编人员基本费用，聘用的专业技术人员基本保障，企业的委托检验、技术服务，脱贫攻坚等基本靠经验性收入补充，为保证各项工作正常开展，所必要的运行经费。</w:t>
            </w:r>
          </w:p>
        </w:tc>
      </w:tr>
      <w:tr>
        <w:tblPrEx>
          <w:tblCellMar>
            <w:top w:w="0" w:type="dxa"/>
            <w:left w:w="108" w:type="dxa"/>
            <w:bottom w:w="0" w:type="dxa"/>
            <w:right w:w="108" w:type="dxa"/>
          </w:tblCellMar>
        </w:tblPrEx>
        <w:trPr>
          <w:trHeight w:val="360"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45"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66.00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66.00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66.00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2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i/>
                <w:iCs/>
                <w:color w:val="000000"/>
                <w:kern w:val="0"/>
                <w:sz w:val="18"/>
                <w:szCs w:val="18"/>
              </w:rPr>
            </w:pPr>
            <w:r>
              <w:rPr>
                <w:rFonts w:ascii="Courier New" w:hAnsi="Courier New" w:cs="宋体"/>
                <w:i/>
                <w:iCs/>
                <w:color w:val="000000"/>
                <w:kern w:val="0"/>
                <w:sz w:val="18"/>
                <w:szCs w:val="18"/>
              </w:rPr>
              <w:t>1.预算执行率=预算执行数/调整后预算数，预算执行率未达到90%的需说明原因（100字以内）</w:t>
            </w:r>
            <w:r>
              <w:rPr>
                <w:rFonts w:hint="eastAsia" w:ascii="Courier New" w:hAnsi="Courier New" w:cs="宋体"/>
                <w:i/>
                <w:iCs/>
                <w:color w:val="000000"/>
                <w:kern w:val="0"/>
                <w:sz w:val="18"/>
                <w:szCs w:val="18"/>
                <w:lang w:eastAsia="zh-CN"/>
              </w:rPr>
              <w:t>；</w:t>
            </w:r>
            <w:r>
              <w:rPr>
                <w:rFonts w:ascii="Courier New" w:hAnsi="Courier New" w:cs="宋体"/>
                <w:i/>
                <w:iCs/>
                <w:color w:val="000000"/>
                <w:kern w:val="0"/>
                <w:sz w:val="18"/>
                <w:szCs w:val="18"/>
              </w:rPr>
              <w:t>2.年中发生预算调整的（追加或调减）</w:t>
            </w:r>
            <w:r>
              <w:rPr>
                <w:rFonts w:hint="eastAsia" w:ascii="Courier New" w:hAnsi="Courier New" w:cs="宋体"/>
                <w:i/>
                <w:iCs/>
                <w:color w:val="000000"/>
                <w:kern w:val="0"/>
                <w:sz w:val="18"/>
                <w:szCs w:val="18"/>
                <w:lang w:eastAsia="zh-CN"/>
              </w:rPr>
              <w:t>，</w:t>
            </w:r>
            <w:r>
              <w:rPr>
                <w:rFonts w:ascii="Courier New" w:hAnsi="Courier New" w:cs="宋体"/>
                <w:i/>
                <w:iCs/>
                <w:color w:val="000000"/>
                <w:kern w:val="0"/>
                <w:sz w:val="18"/>
                <w:szCs w:val="18"/>
              </w:rPr>
              <w:t>应单独说明理由；3.其他资金包括：社会投入资金、银行贷款.</w:t>
            </w:r>
          </w:p>
        </w:tc>
      </w:tr>
      <w:tr>
        <w:tblPrEx>
          <w:tblCellMar>
            <w:top w:w="0" w:type="dxa"/>
            <w:left w:w="108" w:type="dxa"/>
            <w:bottom w:w="0" w:type="dxa"/>
            <w:right w:w="108" w:type="dxa"/>
          </w:tblCellMar>
        </w:tblPrEx>
        <w:trPr>
          <w:trHeight w:val="390"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66.00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66.00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66.00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408"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360"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453"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58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保障聘用人员工作福利</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人</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58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接受委托检验和技术服务</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500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批次</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委托检验完成率</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95</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95</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在实施方案时间节点内完成</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为地方企业减免检测检测费用，促进地方经济发展</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级</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为第三方提供有效的检验检测和技术</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级</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可持续影响指标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加强能力建设，有效服务广元经济社会发展</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级</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服务对象满意度指标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服务对象满意度</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95</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95</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成本指标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经济成本指标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每次委托检验成本费用</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0.1</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万元</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0.1</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944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right"/>
              <w:rPr>
                <w:rFonts w:ascii="宋体" w:hAnsi="宋体" w:cs="宋体"/>
                <w:color w:val="000000"/>
                <w:kern w:val="0"/>
                <w:sz w:val="18"/>
                <w:szCs w:val="18"/>
              </w:rPr>
            </w:pPr>
            <w:r>
              <w:rPr>
                <w:rFonts w:hint="eastAsia" w:ascii="宋体" w:hAnsi="宋体" w:cs="宋体"/>
                <w:color w:val="000000"/>
                <w:kern w:val="0"/>
                <w:sz w:val="18"/>
                <w:szCs w:val="18"/>
              </w:rPr>
              <w:t>97</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xml:space="preserve">  保障了日常检验工作的正常开展和聘用人员的福利待遇，确保了干部职工稳定，进一步提升检验检测服务能力，为社会提供了科学公正的第三方检验平台，有效提升产品质量水平，帮助企业解决技术难题，助力企业复工复产，促进产业持续健康发展。</w:t>
            </w:r>
          </w:p>
        </w:tc>
      </w:tr>
      <w:tr>
        <w:tblPrEx>
          <w:tblCellMar>
            <w:top w:w="0" w:type="dxa"/>
            <w:left w:w="108" w:type="dxa"/>
            <w:bottom w:w="0" w:type="dxa"/>
            <w:right w:w="108" w:type="dxa"/>
          </w:tblCellMar>
        </w:tblPrEx>
        <w:trPr>
          <w:trHeight w:val="57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xml:space="preserve">  预算执行过程中存在任务完成时间滞后等问题，</w:t>
            </w:r>
            <w:r>
              <w:rPr>
                <w:rFonts w:hint="eastAsia" w:ascii="微软雅黑" w:hAnsi="微软雅黑" w:eastAsia="微软雅黑" w:cs="宋体"/>
                <w:i/>
                <w:iCs/>
                <w:color w:val="000000"/>
                <w:kern w:val="0"/>
                <w:sz w:val="16"/>
                <w:szCs w:val="16"/>
                <w:lang w:eastAsia="zh-CN"/>
              </w:rPr>
              <w:t>主要原因是</w:t>
            </w:r>
            <w:r>
              <w:rPr>
                <w:rFonts w:hint="eastAsia" w:ascii="微软雅黑" w:hAnsi="微软雅黑" w:eastAsia="微软雅黑" w:cs="宋体"/>
                <w:i/>
                <w:iCs/>
                <w:color w:val="000000"/>
                <w:kern w:val="0"/>
                <w:sz w:val="16"/>
                <w:szCs w:val="16"/>
              </w:rPr>
              <w:t>质检运行经费拨付是根据完成预算收入进度拨付。</w:t>
            </w:r>
          </w:p>
        </w:tc>
      </w:tr>
      <w:tr>
        <w:tblPrEx>
          <w:tblCellMar>
            <w:top w:w="0" w:type="dxa"/>
            <w:left w:w="108" w:type="dxa"/>
            <w:bottom w:w="0" w:type="dxa"/>
            <w:right w:w="108" w:type="dxa"/>
          </w:tblCellMar>
        </w:tblPrEx>
        <w:trPr>
          <w:trHeight w:val="63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xml:space="preserve"> 随着产品质量检验工作力度的不断加大，专业技术能力要求更高，因此建议增加质监运行经费项目资金，促进质检事业发展。</w:t>
            </w:r>
          </w:p>
        </w:tc>
      </w:tr>
      <w:tr>
        <w:tblPrEx>
          <w:tblCellMar>
            <w:top w:w="0" w:type="dxa"/>
            <w:left w:w="108" w:type="dxa"/>
            <w:bottom w:w="0" w:type="dxa"/>
            <w:right w:w="108" w:type="dxa"/>
          </w:tblCellMar>
        </w:tblPrEx>
        <w:trPr>
          <w:trHeight w:val="285" w:hRule="atLeast"/>
        </w:trPr>
        <w:tc>
          <w:tcPr>
            <w:tcW w:w="650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项目负责人：王禹陈</w:t>
            </w:r>
          </w:p>
        </w:tc>
        <w:tc>
          <w:tcPr>
            <w:tcW w:w="6279" w:type="dxa"/>
            <w:gridSpan w:val="6"/>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财务负责人：赵诗</w:t>
            </w:r>
          </w:p>
        </w:tc>
      </w:tr>
      <w:tr>
        <w:tblPrEx>
          <w:tblCellMar>
            <w:top w:w="0" w:type="dxa"/>
            <w:left w:w="108" w:type="dxa"/>
            <w:bottom w:w="0" w:type="dxa"/>
            <w:right w:w="108" w:type="dxa"/>
          </w:tblCellMar>
        </w:tblPrEx>
        <w:trPr>
          <w:trHeight w:val="285" w:hRule="atLeast"/>
        </w:trPr>
        <w:tc>
          <w:tcPr>
            <w:tcW w:w="61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81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58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2018"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5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504"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5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978"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8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227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r>
      <w:tr>
        <w:tblPrEx>
          <w:tblCellMar>
            <w:top w:w="0" w:type="dxa"/>
            <w:left w:w="108" w:type="dxa"/>
            <w:bottom w:w="0" w:type="dxa"/>
            <w:right w:w="108" w:type="dxa"/>
          </w:tblCellMar>
        </w:tblPrEx>
        <w:trPr>
          <w:trHeight w:val="903" w:hRule="atLeast"/>
        </w:trPr>
        <w:tc>
          <w:tcPr>
            <w:tcW w:w="1278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部门预算项目支出绩效自评表（2023年度）</w:t>
            </w:r>
          </w:p>
        </w:tc>
      </w:tr>
      <w:tr>
        <w:tblPrEx>
          <w:tblCellMar>
            <w:top w:w="0" w:type="dxa"/>
            <w:left w:w="108" w:type="dxa"/>
            <w:bottom w:w="0" w:type="dxa"/>
            <w:right w:w="108" w:type="dxa"/>
          </w:tblCellMar>
        </w:tblPrEx>
        <w:trPr>
          <w:trHeight w:val="285" w:hRule="atLeast"/>
        </w:trPr>
        <w:tc>
          <w:tcPr>
            <w:tcW w:w="2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0342"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51080021T000000050935-产品质量监督抽查经费</w:t>
            </w:r>
          </w:p>
        </w:tc>
      </w:tr>
      <w:tr>
        <w:tblPrEx>
          <w:tblCellMar>
            <w:top w:w="0" w:type="dxa"/>
            <w:left w:w="108" w:type="dxa"/>
            <w:bottom w:w="0" w:type="dxa"/>
            <w:right w:w="108" w:type="dxa"/>
          </w:tblCellMar>
        </w:tblPrEx>
        <w:trPr>
          <w:trHeight w:val="513" w:hRule="atLeast"/>
        </w:trPr>
        <w:tc>
          <w:tcPr>
            <w:tcW w:w="2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广元市市场监督管理局部门</w:t>
            </w:r>
          </w:p>
        </w:tc>
        <w:tc>
          <w:tcPr>
            <w:tcW w:w="978" w:type="dxa"/>
            <w:tcBorders>
              <w:top w:val="nil"/>
              <w:left w:val="nil"/>
              <w:bottom w:val="nil"/>
              <w:right w:val="nil"/>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实施单位 （盖章）</w:t>
            </w:r>
          </w:p>
        </w:tc>
        <w:tc>
          <w:tcPr>
            <w:tcW w:w="33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广元市产品质量监督检验所</w:t>
            </w:r>
          </w:p>
        </w:tc>
      </w:tr>
      <w:tr>
        <w:tblPrEx>
          <w:tblCellMar>
            <w:top w:w="0" w:type="dxa"/>
            <w:left w:w="108" w:type="dxa"/>
            <w:bottom w:w="0" w:type="dxa"/>
            <w:right w:w="108" w:type="dxa"/>
          </w:tblCellMar>
        </w:tblPrEx>
        <w:trPr>
          <w:trHeight w:val="285"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8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4316"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Courier New" w:hAnsi="Courier New" w:cs="宋体"/>
                <w:color w:val="000000"/>
                <w:kern w:val="0"/>
                <w:sz w:val="18"/>
                <w:szCs w:val="18"/>
              </w:rPr>
            </w:pPr>
            <w:r>
              <w:rPr>
                <w:rFonts w:ascii="Courier New" w:hAnsi="Courier New" w:cs="宋体"/>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完成全市重点工业等产品质量监督抽查100批次。</w:t>
            </w:r>
          </w:p>
        </w:tc>
        <w:tc>
          <w:tcPr>
            <w:tcW w:w="4316"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2023年完成工业生产资料、农业生产资料、日用消费品等产品质量监督抽查350批次，维护全市产品质量安全。</w:t>
            </w:r>
          </w:p>
        </w:tc>
      </w:tr>
      <w:tr>
        <w:tblPrEx>
          <w:tblCellMar>
            <w:top w:w="0" w:type="dxa"/>
            <w:left w:w="108" w:type="dxa"/>
            <w:bottom w:w="0" w:type="dxa"/>
            <w:right w:w="108" w:type="dxa"/>
          </w:tblCellMar>
        </w:tblPrEx>
        <w:trPr>
          <w:trHeight w:val="69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0342"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为确保我市产品质量，每年政府质量主管部门--市场监管部门均要组织对广元辖区产品质量实施监督抽查，实施单位为质检部门。通过抽查，为政府宏观质量管理提供有效数据，为质量监管部门提供准确质量信息，为质量安全监管提供安全保障，为广元造产品提供技术支撑，全面提升广元造产品质量竞争力和市场占有率。</w:t>
            </w:r>
          </w:p>
        </w:tc>
      </w:tr>
      <w:tr>
        <w:tblPrEx>
          <w:tblCellMar>
            <w:top w:w="0" w:type="dxa"/>
            <w:left w:w="108" w:type="dxa"/>
            <w:bottom w:w="0" w:type="dxa"/>
            <w:right w:w="108" w:type="dxa"/>
          </w:tblCellMar>
        </w:tblPrEx>
        <w:trPr>
          <w:trHeight w:val="360"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45"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2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i/>
                <w:iCs/>
                <w:color w:val="000000"/>
                <w:kern w:val="0"/>
                <w:sz w:val="18"/>
                <w:szCs w:val="18"/>
              </w:rPr>
            </w:pPr>
            <w:r>
              <w:rPr>
                <w:rFonts w:ascii="Courier New" w:hAnsi="Courier New" w:cs="宋体"/>
                <w:i/>
                <w:iCs/>
                <w:color w:val="000000"/>
                <w:kern w:val="0"/>
                <w:sz w:val="18"/>
                <w:szCs w:val="18"/>
              </w:rPr>
              <w:t>1.预算执行率=预算执行数/调整后预算数，预算执行率未达到90%的需说明原因（100字以内）</w:t>
            </w:r>
            <w:r>
              <w:rPr>
                <w:rFonts w:hint="eastAsia" w:ascii="Courier New" w:hAnsi="Courier New" w:cs="宋体"/>
                <w:i/>
                <w:iCs/>
                <w:color w:val="000000"/>
                <w:kern w:val="0"/>
                <w:sz w:val="18"/>
                <w:szCs w:val="18"/>
                <w:lang w:eastAsia="zh-CN"/>
              </w:rPr>
              <w:t>；</w:t>
            </w:r>
            <w:r>
              <w:rPr>
                <w:rFonts w:ascii="Courier New" w:hAnsi="Courier New" w:cs="宋体"/>
                <w:i/>
                <w:iCs/>
                <w:color w:val="000000"/>
                <w:kern w:val="0"/>
                <w:sz w:val="18"/>
                <w:szCs w:val="18"/>
              </w:rPr>
              <w:t>2.年中发生预算调整的（追加或调减）</w:t>
            </w:r>
            <w:r>
              <w:rPr>
                <w:rFonts w:hint="eastAsia" w:ascii="Courier New" w:hAnsi="Courier New" w:cs="宋体"/>
                <w:i/>
                <w:iCs/>
                <w:color w:val="000000"/>
                <w:kern w:val="0"/>
                <w:sz w:val="18"/>
                <w:szCs w:val="18"/>
                <w:lang w:eastAsia="zh-CN"/>
              </w:rPr>
              <w:t>，</w:t>
            </w:r>
            <w:r>
              <w:rPr>
                <w:rFonts w:ascii="Courier New" w:hAnsi="Courier New" w:cs="宋体"/>
                <w:i/>
                <w:iCs/>
                <w:color w:val="000000"/>
                <w:kern w:val="0"/>
                <w:sz w:val="18"/>
                <w:szCs w:val="18"/>
              </w:rPr>
              <w:t>应单独说明理由；3.其他资金包括：社会投入资金、银行贷款.</w:t>
            </w:r>
          </w:p>
        </w:tc>
      </w:tr>
      <w:tr>
        <w:tblPrEx>
          <w:tblCellMar>
            <w:top w:w="0" w:type="dxa"/>
            <w:left w:w="108" w:type="dxa"/>
            <w:bottom w:w="0" w:type="dxa"/>
            <w:right w:w="108" w:type="dxa"/>
          </w:tblCellMar>
        </w:tblPrEx>
        <w:trPr>
          <w:trHeight w:val="390"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408"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360"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453"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完成市级监督抽查产品</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批次</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委托检验完成率</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95</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95</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在实施方案时间节点内完成</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678"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增强检验检测能力、维护市场秩序，保障人民群众安全</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级</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准确为政府质量监管部门提供质量检验信息和数据</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级</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678"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可持续影响指标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保障全市产品质量安全，有效服务广元经济社会发展</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级</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服务对象满意度指标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服务对象满意度</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95</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95</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成本指标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经济成本指标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每批次抽检成本</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0.2</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万元</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0.2</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944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98</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2023年我所严格按照预算执行，完满完成预算目标任务，通过本年度的产品质量监督抽查，有效的提升了市场主体的质量意识，有效预防区域性产品质量问题的发生。</w:t>
            </w:r>
          </w:p>
        </w:tc>
      </w:tr>
      <w:tr>
        <w:tblPrEx>
          <w:tblCellMar>
            <w:top w:w="0" w:type="dxa"/>
            <w:left w:w="108" w:type="dxa"/>
            <w:bottom w:w="0" w:type="dxa"/>
            <w:right w:w="108" w:type="dxa"/>
          </w:tblCellMar>
        </w:tblPrEx>
        <w:trPr>
          <w:trHeight w:val="57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随着社会经济的快速发展，产品数量猛增，新兴产品更替较快，对全市产品质量监管任务进一步加大，由于项目资金有限，抽查经费不能满足监管需求</w:t>
            </w:r>
            <w:r>
              <w:rPr>
                <w:rFonts w:hint="eastAsia" w:ascii="微软雅黑" w:hAnsi="微软雅黑" w:eastAsia="微软雅黑" w:cs="宋体"/>
                <w:i/>
                <w:iCs/>
                <w:color w:val="000000"/>
                <w:kern w:val="0"/>
                <w:sz w:val="16"/>
                <w:szCs w:val="16"/>
                <w:lang w:eastAsia="zh-CN"/>
              </w:rPr>
              <w:t>，</w:t>
            </w:r>
            <w:r>
              <w:rPr>
                <w:rFonts w:hint="eastAsia" w:ascii="微软雅黑" w:hAnsi="微软雅黑" w:eastAsia="微软雅黑" w:cs="宋体"/>
                <w:i/>
                <w:iCs/>
                <w:color w:val="000000"/>
                <w:kern w:val="0"/>
                <w:sz w:val="16"/>
                <w:szCs w:val="16"/>
              </w:rPr>
              <w:t>同时，鉴于我所专业技术人才缺乏，不能满足日益增长的产品质量监督抽查需要。</w:t>
            </w:r>
          </w:p>
        </w:tc>
      </w:tr>
      <w:tr>
        <w:tblPrEx>
          <w:tblCellMar>
            <w:top w:w="0" w:type="dxa"/>
            <w:left w:w="108" w:type="dxa"/>
            <w:bottom w:w="0" w:type="dxa"/>
            <w:right w:w="108" w:type="dxa"/>
          </w:tblCellMar>
        </w:tblPrEx>
        <w:trPr>
          <w:trHeight w:val="63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加大对项目的支持指导力度，提升新形势下检验检测工作能力与水平，扩大服务范围，进一步提升检验检测能力，加大对项目机构能力提升的财政保障，不断提升检验检测能力。</w:t>
            </w:r>
          </w:p>
        </w:tc>
      </w:tr>
      <w:tr>
        <w:tblPrEx>
          <w:tblCellMar>
            <w:top w:w="0" w:type="dxa"/>
            <w:left w:w="108" w:type="dxa"/>
            <w:bottom w:w="0" w:type="dxa"/>
            <w:right w:w="108" w:type="dxa"/>
          </w:tblCellMar>
        </w:tblPrEx>
        <w:trPr>
          <w:trHeight w:val="285" w:hRule="atLeast"/>
        </w:trPr>
        <w:tc>
          <w:tcPr>
            <w:tcW w:w="650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项目负责人：王禹陈</w:t>
            </w:r>
          </w:p>
        </w:tc>
        <w:tc>
          <w:tcPr>
            <w:tcW w:w="6279" w:type="dxa"/>
            <w:gridSpan w:val="6"/>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财务负责人：赵诗</w:t>
            </w:r>
          </w:p>
        </w:tc>
      </w:tr>
      <w:tr>
        <w:tblPrEx>
          <w:tblCellMar>
            <w:top w:w="0" w:type="dxa"/>
            <w:left w:w="108" w:type="dxa"/>
            <w:bottom w:w="0" w:type="dxa"/>
            <w:right w:w="108" w:type="dxa"/>
          </w:tblCellMar>
        </w:tblPrEx>
        <w:trPr>
          <w:trHeight w:val="285" w:hRule="atLeast"/>
        </w:trPr>
        <w:tc>
          <w:tcPr>
            <w:tcW w:w="61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81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58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2018"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5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504"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5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978"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8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227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r>
      <w:tr>
        <w:tblPrEx>
          <w:tblCellMar>
            <w:top w:w="0" w:type="dxa"/>
            <w:left w:w="108" w:type="dxa"/>
            <w:bottom w:w="0" w:type="dxa"/>
            <w:right w:w="108" w:type="dxa"/>
          </w:tblCellMar>
        </w:tblPrEx>
        <w:trPr>
          <w:trHeight w:val="903" w:hRule="atLeast"/>
        </w:trPr>
        <w:tc>
          <w:tcPr>
            <w:tcW w:w="1278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部门预算项目支出绩效自评表（2023年度）</w:t>
            </w:r>
          </w:p>
        </w:tc>
      </w:tr>
      <w:tr>
        <w:tblPrEx>
          <w:tblCellMar>
            <w:top w:w="0" w:type="dxa"/>
            <w:left w:w="108" w:type="dxa"/>
            <w:bottom w:w="0" w:type="dxa"/>
            <w:right w:w="108" w:type="dxa"/>
          </w:tblCellMar>
        </w:tblPrEx>
        <w:trPr>
          <w:trHeight w:val="285" w:hRule="atLeast"/>
        </w:trPr>
        <w:tc>
          <w:tcPr>
            <w:tcW w:w="2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0342"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51080021T000000051204-设备购置经费</w:t>
            </w:r>
          </w:p>
        </w:tc>
      </w:tr>
      <w:tr>
        <w:tblPrEx>
          <w:tblCellMar>
            <w:top w:w="0" w:type="dxa"/>
            <w:left w:w="108" w:type="dxa"/>
            <w:bottom w:w="0" w:type="dxa"/>
            <w:right w:w="108" w:type="dxa"/>
          </w:tblCellMar>
        </w:tblPrEx>
        <w:trPr>
          <w:trHeight w:val="513" w:hRule="atLeast"/>
        </w:trPr>
        <w:tc>
          <w:tcPr>
            <w:tcW w:w="2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广元市市场监督管理局部门</w:t>
            </w:r>
          </w:p>
        </w:tc>
        <w:tc>
          <w:tcPr>
            <w:tcW w:w="978" w:type="dxa"/>
            <w:tcBorders>
              <w:top w:val="nil"/>
              <w:left w:val="nil"/>
              <w:bottom w:val="nil"/>
              <w:right w:val="nil"/>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实施单位 （盖章）</w:t>
            </w:r>
          </w:p>
        </w:tc>
        <w:tc>
          <w:tcPr>
            <w:tcW w:w="33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广元市产品质量监督检验所</w:t>
            </w:r>
          </w:p>
        </w:tc>
      </w:tr>
      <w:tr>
        <w:tblPrEx>
          <w:tblCellMar>
            <w:top w:w="0" w:type="dxa"/>
            <w:left w:w="108" w:type="dxa"/>
            <w:bottom w:w="0" w:type="dxa"/>
            <w:right w:w="108" w:type="dxa"/>
          </w:tblCellMar>
        </w:tblPrEx>
        <w:trPr>
          <w:trHeight w:val="285"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8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4316"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Courier New" w:hAnsi="Courier New" w:cs="宋体"/>
                <w:color w:val="000000"/>
                <w:kern w:val="0"/>
                <w:sz w:val="18"/>
                <w:szCs w:val="18"/>
              </w:rPr>
            </w:pPr>
            <w:r>
              <w:rPr>
                <w:rFonts w:ascii="Courier New" w:hAnsi="Courier New" w:cs="宋体"/>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完成产品检验检测急需设备采购工作，提升质检能力建设，保证质检工作正常开展。</w:t>
            </w:r>
          </w:p>
        </w:tc>
        <w:tc>
          <w:tcPr>
            <w:tcW w:w="4316"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 xml:space="preserve">  2023年完成2台专业检验检测设备采购工作，提升检验检测能力，保障了质检工作正常开展。</w:t>
            </w:r>
          </w:p>
        </w:tc>
      </w:tr>
      <w:tr>
        <w:tblPrEx>
          <w:tblCellMar>
            <w:top w:w="0" w:type="dxa"/>
            <w:left w:w="108" w:type="dxa"/>
            <w:bottom w:w="0" w:type="dxa"/>
            <w:right w:w="108" w:type="dxa"/>
          </w:tblCellMar>
        </w:tblPrEx>
        <w:trPr>
          <w:trHeight w:val="69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0342"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提升质检能力建设，提升服务质量和服务水平，满足监督抽查工作需要，保证质检工作正常开展。</w:t>
            </w:r>
          </w:p>
        </w:tc>
      </w:tr>
      <w:tr>
        <w:tblPrEx>
          <w:tblCellMar>
            <w:top w:w="0" w:type="dxa"/>
            <w:left w:w="108" w:type="dxa"/>
            <w:bottom w:w="0" w:type="dxa"/>
            <w:right w:w="108" w:type="dxa"/>
          </w:tblCellMar>
        </w:tblPrEx>
        <w:trPr>
          <w:trHeight w:val="360"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45"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9.86</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98.60%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9.86</w:t>
            </w:r>
          </w:p>
        </w:tc>
        <w:tc>
          <w:tcPr>
            <w:tcW w:w="22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i/>
                <w:iCs/>
                <w:color w:val="000000"/>
                <w:kern w:val="0"/>
                <w:sz w:val="18"/>
                <w:szCs w:val="18"/>
              </w:rPr>
            </w:pPr>
            <w:r>
              <w:rPr>
                <w:rFonts w:ascii="Courier New" w:hAnsi="Courier New" w:cs="宋体"/>
                <w:i/>
                <w:iCs/>
                <w:color w:val="000000"/>
                <w:kern w:val="0"/>
                <w:sz w:val="18"/>
                <w:szCs w:val="18"/>
              </w:rPr>
              <w:t>1.预算执行率=预算执行数/调整后预算数，预算执行率未达到90%的需说明原因（100字以内）</w:t>
            </w:r>
            <w:r>
              <w:rPr>
                <w:rFonts w:hint="eastAsia" w:ascii="Courier New" w:hAnsi="Courier New" w:cs="宋体"/>
                <w:i/>
                <w:iCs/>
                <w:color w:val="000000"/>
                <w:kern w:val="0"/>
                <w:sz w:val="18"/>
                <w:szCs w:val="18"/>
                <w:lang w:eastAsia="zh-CN"/>
              </w:rPr>
              <w:t>；</w:t>
            </w:r>
            <w:r>
              <w:rPr>
                <w:rFonts w:ascii="Courier New" w:hAnsi="Courier New" w:cs="宋体"/>
                <w:i/>
                <w:iCs/>
                <w:color w:val="000000"/>
                <w:kern w:val="0"/>
                <w:sz w:val="18"/>
                <w:szCs w:val="18"/>
              </w:rPr>
              <w:t>2.年中发生预算调整的（追加或调减）</w:t>
            </w:r>
            <w:r>
              <w:rPr>
                <w:rFonts w:hint="eastAsia" w:ascii="Courier New" w:hAnsi="Courier New" w:cs="宋体"/>
                <w:i/>
                <w:iCs/>
                <w:color w:val="000000"/>
                <w:kern w:val="0"/>
                <w:sz w:val="18"/>
                <w:szCs w:val="18"/>
                <w:lang w:eastAsia="zh-CN"/>
              </w:rPr>
              <w:t>，</w:t>
            </w:r>
            <w:r>
              <w:rPr>
                <w:rFonts w:ascii="Courier New" w:hAnsi="Courier New" w:cs="宋体"/>
                <w:i/>
                <w:iCs/>
                <w:color w:val="000000"/>
                <w:kern w:val="0"/>
                <w:sz w:val="18"/>
                <w:szCs w:val="18"/>
              </w:rPr>
              <w:t>应单独说明理由；3.其他资金包括：社会投入资金、银行贷款.</w:t>
            </w:r>
          </w:p>
        </w:tc>
      </w:tr>
      <w:tr>
        <w:tblPrEx>
          <w:tblCellMar>
            <w:top w:w="0" w:type="dxa"/>
            <w:left w:w="108" w:type="dxa"/>
            <w:bottom w:w="0" w:type="dxa"/>
            <w:right w:w="108" w:type="dxa"/>
          </w:tblCellMar>
        </w:tblPrEx>
        <w:trPr>
          <w:trHeight w:val="390"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9.86</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98.60%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408"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360"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453"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45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完成产品检验检测急需设备采购</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台</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设备验收合格率</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在实施方案时间节点内完成</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增加检验检测范围，促进地方经济发展</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级</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为第三方提供有效的检验检测和技术</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级</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678"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可持续影响指标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增加微生物、纸巾纸检验检测能力，有效服务广元经济社会发展</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级</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服务对象满意度</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95</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95</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成本指标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经济成本指标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设备采购费用</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万元</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944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right"/>
              <w:rPr>
                <w:rFonts w:ascii="宋体" w:hAnsi="宋体" w:cs="宋体"/>
                <w:color w:val="000000"/>
                <w:kern w:val="0"/>
                <w:sz w:val="18"/>
                <w:szCs w:val="18"/>
              </w:rPr>
            </w:pPr>
            <w:r>
              <w:rPr>
                <w:rFonts w:hint="eastAsia" w:ascii="宋体" w:hAnsi="宋体" w:cs="宋体"/>
                <w:color w:val="000000"/>
                <w:kern w:val="0"/>
                <w:sz w:val="18"/>
                <w:szCs w:val="18"/>
              </w:rPr>
              <w:t>97.9</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2023年圆满完成2台专业检验检测设备采购工作，严格按照预算编制执行，提升质检能力建设，提升服务质量和服务水平，满足监督抽查工作需要，保证质检工作正常开展，。</w:t>
            </w:r>
          </w:p>
        </w:tc>
      </w:tr>
      <w:tr>
        <w:tblPrEx>
          <w:tblCellMar>
            <w:top w:w="0" w:type="dxa"/>
            <w:left w:w="108" w:type="dxa"/>
            <w:bottom w:w="0" w:type="dxa"/>
            <w:right w:w="108" w:type="dxa"/>
          </w:tblCellMar>
        </w:tblPrEx>
        <w:trPr>
          <w:trHeight w:val="57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2023年我所按时按质编报部门预算，年度预算执行基本收支平衡，财务管理规范，但预算编制的合理性有待提高。</w:t>
            </w:r>
          </w:p>
        </w:tc>
      </w:tr>
      <w:tr>
        <w:tblPrEx>
          <w:tblCellMar>
            <w:top w:w="0" w:type="dxa"/>
            <w:left w:w="108" w:type="dxa"/>
            <w:bottom w:w="0" w:type="dxa"/>
            <w:right w:w="108" w:type="dxa"/>
          </w:tblCellMar>
        </w:tblPrEx>
        <w:trPr>
          <w:trHeight w:val="63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细化预算编制工作，严格按照预算编制的相关制度和要求做好预算的编制，结合我所实际情况，增加能力建设预算，提升我所检验检测能力。</w:t>
            </w:r>
          </w:p>
        </w:tc>
      </w:tr>
      <w:tr>
        <w:tblPrEx>
          <w:tblCellMar>
            <w:top w:w="0" w:type="dxa"/>
            <w:left w:w="108" w:type="dxa"/>
            <w:bottom w:w="0" w:type="dxa"/>
            <w:right w:w="108" w:type="dxa"/>
          </w:tblCellMar>
        </w:tblPrEx>
        <w:trPr>
          <w:trHeight w:val="285" w:hRule="atLeast"/>
        </w:trPr>
        <w:tc>
          <w:tcPr>
            <w:tcW w:w="650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项目负责人：王禹陈</w:t>
            </w:r>
          </w:p>
        </w:tc>
        <w:tc>
          <w:tcPr>
            <w:tcW w:w="6279" w:type="dxa"/>
            <w:gridSpan w:val="6"/>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财务负责人：赵诗</w:t>
            </w:r>
          </w:p>
        </w:tc>
      </w:tr>
      <w:tr>
        <w:tblPrEx>
          <w:tblCellMar>
            <w:top w:w="0" w:type="dxa"/>
            <w:left w:w="108" w:type="dxa"/>
            <w:bottom w:w="0" w:type="dxa"/>
            <w:right w:w="108" w:type="dxa"/>
          </w:tblCellMar>
        </w:tblPrEx>
        <w:trPr>
          <w:trHeight w:val="285" w:hRule="atLeast"/>
        </w:trPr>
        <w:tc>
          <w:tcPr>
            <w:tcW w:w="61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81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58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2018"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5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504"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5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978"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8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227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r>
      <w:tr>
        <w:tblPrEx>
          <w:tblCellMar>
            <w:top w:w="0" w:type="dxa"/>
            <w:left w:w="108" w:type="dxa"/>
            <w:bottom w:w="0" w:type="dxa"/>
            <w:right w:w="108" w:type="dxa"/>
          </w:tblCellMar>
        </w:tblPrEx>
        <w:trPr>
          <w:trHeight w:val="903" w:hRule="atLeast"/>
        </w:trPr>
        <w:tc>
          <w:tcPr>
            <w:tcW w:w="1278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部门预算项目支出绩效自评表（2023年度）</w:t>
            </w:r>
          </w:p>
        </w:tc>
      </w:tr>
      <w:tr>
        <w:tblPrEx>
          <w:tblCellMar>
            <w:top w:w="0" w:type="dxa"/>
            <w:left w:w="108" w:type="dxa"/>
            <w:bottom w:w="0" w:type="dxa"/>
            <w:right w:w="108" w:type="dxa"/>
          </w:tblCellMar>
        </w:tblPrEx>
        <w:trPr>
          <w:trHeight w:val="285" w:hRule="atLeast"/>
        </w:trPr>
        <w:tc>
          <w:tcPr>
            <w:tcW w:w="2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0342"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51080021Y000000176770-其他公用经费（福利、工会、公车补贴、党建、退休活动）</w:t>
            </w:r>
          </w:p>
        </w:tc>
      </w:tr>
      <w:tr>
        <w:tblPrEx>
          <w:tblCellMar>
            <w:top w:w="0" w:type="dxa"/>
            <w:left w:w="108" w:type="dxa"/>
            <w:bottom w:w="0" w:type="dxa"/>
            <w:right w:w="108" w:type="dxa"/>
          </w:tblCellMar>
        </w:tblPrEx>
        <w:trPr>
          <w:trHeight w:val="513" w:hRule="atLeast"/>
        </w:trPr>
        <w:tc>
          <w:tcPr>
            <w:tcW w:w="2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广元市市场监督管理局部门</w:t>
            </w:r>
          </w:p>
        </w:tc>
        <w:tc>
          <w:tcPr>
            <w:tcW w:w="978" w:type="dxa"/>
            <w:tcBorders>
              <w:top w:val="nil"/>
              <w:left w:val="nil"/>
              <w:bottom w:val="nil"/>
              <w:right w:val="nil"/>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实施单位 （盖章）</w:t>
            </w:r>
          </w:p>
        </w:tc>
        <w:tc>
          <w:tcPr>
            <w:tcW w:w="33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广元市产品质量监督检验所</w:t>
            </w:r>
          </w:p>
        </w:tc>
      </w:tr>
      <w:tr>
        <w:tblPrEx>
          <w:tblCellMar>
            <w:top w:w="0" w:type="dxa"/>
            <w:left w:w="108" w:type="dxa"/>
            <w:bottom w:w="0" w:type="dxa"/>
            <w:right w:w="108" w:type="dxa"/>
          </w:tblCellMar>
        </w:tblPrEx>
        <w:trPr>
          <w:trHeight w:val="285"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8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4316"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Courier New" w:hAnsi="Courier New" w:cs="宋体"/>
                <w:color w:val="000000"/>
                <w:kern w:val="0"/>
                <w:sz w:val="18"/>
                <w:szCs w:val="18"/>
              </w:rPr>
            </w:pPr>
            <w:r>
              <w:rPr>
                <w:rFonts w:ascii="Courier New" w:hAnsi="Courier New" w:cs="宋体"/>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提高预算编制质量，严格执行预算，保障单位日常运转</w:t>
            </w:r>
          </w:p>
        </w:tc>
        <w:tc>
          <w:tcPr>
            <w:tcW w:w="4316"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已按相关政策执行完毕。</w:t>
            </w:r>
          </w:p>
        </w:tc>
      </w:tr>
      <w:tr>
        <w:tblPrEx>
          <w:tblCellMar>
            <w:top w:w="0" w:type="dxa"/>
            <w:left w:w="108" w:type="dxa"/>
            <w:bottom w:w="0" w:type="dxa"/>
            <w:right w:w="108" w:type="dxa"/>
          </w:tblCellMar>
        </w:tblPrEx>
        <w:trPr>
          <w:trHeight w:val="69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0342"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提高预算编制质量，严格执行预算，保障单位日常运转</w:t>
            </w:r>
          </w:p>
        </w:tc>
      </w:tr>
      <w:tr>
        <w:tblPrEx>
          <w:tblCellMar>
            <w:top w:w="0" w:type="dxa"/>
            <w:left w:w="108" w:type="dxa"/>
            <w:bottom w:w="0" w:type="dxa"/>
            <w:right w:w="108" w:type="dxa"/>
          </w:tblCellMar>
        </w:tblPrEx>
        <w:trPr>
          <w:trHeight w:val="360"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45"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9.83</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9.83</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9.83</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2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i/>
                <w:iCs/>
                <w:color w:val="000000"/>
                <w:kern w:val="0"/>
                <w:sz w:val="18"/>
                <w:szCs w:val="18"/>
              </w:rPr>
            </w:pPr>
            <w:r>
              <w:rPr>
                <w:rFonts w:ascii="Courier New" w:hAnsi="Courier New" w:cs="宋体"/>
                <w:i/>
                <w:iCs/>
                <w:color w:val="000000"/>
                <w:kern w:val="0"/>
                <w:sz w:val="18"/>
                <w:szCs w:val="18"/>
              </w:rPr>
              <w:t>1.预算执行率=预算执行数/调整后预算数，预算执行率未达到90%的需说明原因（100字以内）</w:t>
            </w:r>
            <w:r>
              <w:rPr>
                <w:rFonts w:hint="eastAsia" w:ascii="Courier New" w:hAnsi="Courier New" w:cs="宋体"/>
                <w:i/>
                <w:iCs/>
                <w:color w:val="000000"/>
                <w:kern w:val="0"/>
                <w:sz w:val="18"/>
                <w:szCs w:val="18"/>
                <w:lang w:eastAsia="zh-CN"/>
              </w:rPr>
              <w:t>；</w:t>
            </w:r>
            <w:r>
              <w:rPr>
                <w:rFonts w:ascii="Courier New" w:hAnsi="Courier New" w:cs="宋体"/>
                <w:i/>
                <w:iCs/>
                <w:color w:val="000000"/>
                <w:kern w:val="0"/>
                <w:sz w:val="18"/>
                <w:szCs w:val="18"/>
              </w:rPr>
              <w:t>2.年中发生预算调整的（追加或调减）</w:t>
            </w:r>
            <w:r>
              <w:rPr>
                <w:rFonts w:hint="eastAsia" w:ascii="Courier New" w:hAnsi="Courier New" w:cs="宋体"/>
                <w:i/>
                <w:iCs/>
                <w:color w:val="000000"/>
                <w:kern w:val="0"/>
                <w:sz w:val="18"/>
                <w:szCs w:val="18"/>
                <w:lang w:eastAsia="zh-CN"/>
              </w:rPr>
              <w:t>，</w:t>
            </w:r>
            <w:r>
              <w:rPr>
                <w:rFonts w:ascii="Courier New" w:hAnsi="Courier New" w:cs="宋体"/>
                <w:i/>
                <w:iCs/>
                <w:color w:val="000000"/>
                <w:kern w:val="0"/>
                <w:sz w:val="18"/>
                <w:szCs w:val="18"/>
              </w:rPr>
              <w:t>应单独说明理由；3.其他资金包括：社会投入资金、银行贷款.</w:t>
            </w:r>
          </w:p>
        </w:tc>
      </w:tr>
      <w:tr>
        <w:tblPrEx>
          <w:tblCellMar>
            <w:top w:w="0" w:type="dxa"/>
            <w:left w:w="108" w:type="dxa"/>
            <w:bottom w:w="0" w:type="dxa"/>
            <w:right w:w="108" w:type="dxa"/>
          </w:tblCellMar>
        </w:tblPrEx>
        <w:trPr>
          <w:trHeight w:val="390"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9.83</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9.83</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9.83</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408"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360"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453"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678"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预算编制准确率（计算方法为：∣（执行数-预算数）/预算数∣）</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90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“三公经费”控制率[计算方法为：（三公经费实际支出数/预算安排数]×100%）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运转保障率</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944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自评总分100分。</w:t>
            </w:r>
          </w:p>
        </w:tc>
      </w:tr>
      <w:tr>
        <w:tblPrEx>
          <w:tblCellMar>
            <w:top w:w="0" w:type="dxa"/>
            <w:left w:w="108" w:type="dxa"/>
            <w:bottom w:w="0" w:type="dxa"/>
            <w:right w:w="108" w:type="dxa"/>
          </w:tblCellMar>
        </w:tblPrEx>
        <w:trPr>
          <w:trHeight w:val="57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650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项目负责人：王禹陈</w:t>
            </w:r>
          </w:p>
        </w:tc>
        <w:tc>
          <w:tcPr>
            <w:tcW w:w="6279" w:type="dxa"/>
            <w:gridSpan w:val="6"/>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财务负责人：赵诗</w:t>
            </w:r>
          </w:p>
        </w:tc>
      </w:tr>
      <w:tr>
        <w:tblPrEx>
          <w:tblCellMar>
            <w:top w:w="0" w:type="dxa"/>
            <w:left w:w="108" w:type="dxa"/>
            <w:bottom w:w="0" w:type="dxa"/>
            <w:right w:w="108" w:type="dxa"/>
          </w:tblCellMar>
        </w:tblPrEx>
        <w:trPr>
          <w:trHeight w:val="285" w:hRule="atLeast"/>
        </w:trPr>
        <w:tc>
          <w:tcPr>
            <w:tcW w:w="61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81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58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2018"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5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504"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5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978"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8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227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r>
      <w:tr>
        <w:tblPrEx>
          <w:tblCellMar>
            <w:top w:w="0" w:type="dxa"/>
            <w:left w:w="108" w:type="dxa"/>
            <w:bottom w:w="0" w:type="dxa"/>
            <w:right w:w="108" w:type="dxa"/>
          </w:tblCellMar>
        </w:tblPrEx>
        <w:trPr>
          <w:trHeight w:val="903" w:hRule="atLeast"/>
        </w:trPr>
        <w:tc>
          <w:tcPr>
            <w:tcW w:w="1278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部门预算项目支出绩效自评表（2023年度）</w:t>
            </w:r>
          </w:p>
        </w:tc>
      </w:tr>
      <w:tr>
        <w:tblPrEx>
          <w:tblCellMar>
            <w:top w:w="0" w:type="dxa"/>
            <w:left w:w="108" w:type="dxa"/>
            <w:bottom w:w="0" w:type="dxa"/>
            <w:right w:w="108" w:type="dxa"/>
          </w:tblCellMar>
        </w:tblPrEx>
        <w:trPr>
          <w:trHeight w:val="285" w:hRule="atLeast"/>
        </w:trPr>
        <w:tc>
          <w:tcPr>
            <w:tcW w:w="2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0342"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51080022R000000267546-工资性支出（事业）</w:t>
            </w:r>
          </w:p>
        </w:tc>
      </w:tr>
      <w:tr>
        <w:tblPrEx>
          <w:tblCellMar>
            <w:top w:w="0" w:type="dxa"/>
            <w:left w:w="108" w:type="dxa"/>
            <w:bottom w:w="0" w:type="dxa"/>
            <w:right w:w="108" w:type="dxa"/>
          </w:tblCellMar>
        </w:tblPrEx>
        <w:trPr>
          <w:trHeight w:val="513" w:hRule="atLeast"/>
        </w:trPr>
        <w:tc>
          <w:tcPr>
            <w:tcW w:w="2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广元市市场监督管理局部门</w:t>
            </w:r>
          </w:p>
        </w:tc>
        <w:tc>
          <w:tcPr>
            <w:tcW w:w="978" w:type="dxa"/>
            <w:tcBorders>
              <w:top w:val="nil"/>
              <w:left w:val="nil"/>
              <w:bottom w:val="nil"/>
              <w:right w:val="nil"/>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实施单位 （盖章）</w:t>
            </w:r>
          </w:p>
        </w:tc>
        <w:tc>
          <w:tcPr>
            <w:tcW w:w="33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广元市产品质量监督检验所</w:t>
            </w:r>
          </w:p>
        </w:tc>
      </w:tr>
      <w:tr>
        <w:tblPrEx>
          <w:tblCellMar>
            <w:top w:w="0" w:type="dxa"/>
            <w:left w:w="108" w:type="dxa"/>
            <w:bottom w:w="0" w:type="dxa"/>
            <w:right w:w="108" w:type="dxa"/>
          </w:tblCellMar>
        </w:tblPrEx>
        <w:trPr>
          <w:trHeight w:val="285"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8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4316"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Courier New" w:hAnsi="Courier New" w:cs="宋体"/>
                <w:color w:val="000000"/>
                <w:kern w:val="0"/>
                <w:sz w:val="18"/>
                <w:szCs w:val="18"/>
              </w:rPr>
            </w:pPr>
            <w:r>
              <w:rPr>
                <w:rFonts w:ascii="Courier New" w:hAnsi="Courier New" w:cs="宋体"/>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严格执行相关政策，保障工资及时、足额发放或社保及时、足额缴纳，预算编制科学合理，减少结余资金</w:t>
            </w:r>
          </w:p>
        </w:tc>
        <w:tc>
          <w:tcPr>
            <w:tcW w:w="4316"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已按相关政策执行完毕。</w:t>
            </w:r>
          </w:p>
        </w:tc>
      </w:tr>
      <w:tr>
        <w:tblPrEx>
          <w:tblCellMar>
            <w:top w:w="0" w:type="dxa"/>
            <w:left w:w="108" w:type="dxa"/>
            <w:bottom w:w="0" w:type="dxa"/>
            <w:right w:w="108" w:type="dxa"/>
          </w:tblCellMar>
        </w:tblPrEx>
        <w:trPr>
          <w:trHeight w:val="69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0342"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严格执行相关政策，保障工资及时、足额发放或社保及时、足额缴纳，预算编制科学合理，减少结余资金</w:t>
            </w:r>
          </w:p>
        </w:tc>
      </w:tr>
      <w:tr>
        <w:tblPrEx>
          <w:tblCellMar>
            <w:top w:w="0" w:type="dxa"/>
            <w:left w:w="108" w:type="dxa"/>
            <w:bottom w:w="0" w:type="dxa"/>
            <w:right w:w="108" w:type="dxa"/>
          </w:tblCellMar>
        </w:tblPrEx>
        <w:trPr>
          <w:trHeight w:val="360"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45"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194.41</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194.41</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187.17</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96.28%</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2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i/>
                <w:iCs/>
                <w:color w:val="000000"/>
                <w:kern w:val="0"/>
                <w:sz w:val="18"/>
                <w:szCs w:val="18"/>
              </w:rPr>
            </w:pPr>
            <w:r>
              <w:rPr>
                <w:rFonts w:ascii="Courier New" w:hAnsi="Courier New" w:cs="宋体"/>
                <w:i/>
                <w:iCs/>
                <w:color w:val="000000"/>
                <w:kern w:val="0"/>
                <w:sz w:val="18"/>
                <w:szCs w:val="18"/>
              </w:rPr>
              <w:t>1.预算执行率=预算执行数/调整后预算数，预算执行率未达到90%的需说明原因（100字以内）</w:t>
            </w:r>
            <w:r>
              <w:rPr>
                <w:rFonts w:hint="eastAsia" w:ascii="Courier New" w:hAnsi="Courier New" w:cs="宋体"/>
                <w:i/>
                <w:iCs/>
                <w:color w:val="000000"/>
                <w:kern w:val="0"/>
                <w:sz w:val="18"/>
                <w:szCs w:val="18"/>
                <w:lang w:eastAsia="zh-CN"/>
              </w:rPr>
              <w:t>；</w:t>
            </w:r>
            <w:r>
              <w:rPr>
                <w:rFonts w:ascii="Courier New" w:hAnsi="Courier New" w:cs="宋体"/>
                <w:i/>
                <w:iCs/>
                <w:color w:val="000000"/>
                <w:kern w:val="0"/>
                <w:sz w:val="18"/>
                <w:szCs w:val="18"/>
              </w:rPr>
              <w:t>2.年中发生预算调整的（追加或调减）</w:t>
            </w:r>
            <w:r>
              <w:rPr>
                <w:rFonts w:hint="eastAsia" w:ascii="Courier New" w:hAnsi="Courier New" w:cs="宋体"/>
                <w:i/>
                <w:iCs/>
                <w:color w:val="000000"/>
                <w:kern w:val="0"/>
                <w:sz w:val="18"/>
                <w:szCs w:val="18"/>
                <w:lang w:eastAsia="zh-CN"/>
              </w:rPr>
              <w:t>，</w:t>
            </w:r>
            <w:r>
              <w:rPr>
                <w:rFonts w:ascii="Courier New" w:hAnsi="Courier New" w:cs="宋体"/>
                <w:i/>
                <w:iCs/>
                <w:color w:val="000000"/>
                <w:kern w:val="0"/>
                <w:sz w:val="18"/>
                <w:szCs w:val="18"/>
              </w:rPr>
              <w:t>应单独说明理由；3.其他资金包括：社会投入资金、银行贷款.</w:t>
            </w:r>
          </w:p>
        </w:tc>
      </w:tr>
      <w:tr>
        <w:tblPrEx>
          <w:tblCellMar>
            <w:top w:w="0" w:type="dxa"/>
            <w:left w:w="108" w:type="dxa"/>
            <w:bottom w:w="0" w:type="dxa"/>
            <w:right w:w="108" w:type="dxa"/>
          </w:tblCellMar>
        </w:tblPrEx>
        <w:trPr>
          <w:trHeight w:val="390"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194.41</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194.41</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187.17</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96.28%</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408"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360"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453"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发放（缴纳）覆盖率</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60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足额保障率（参保率）</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944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自评总分100分。</w:t>
            </w:r>
          </w:p>
        </w:tc>
      </w:tr>
      <w:tr>
        <w:tblPrEx>
          <w:tblCellMar>
            <w:top w:w="0" w:type="dxa"/>
            <w:left w:w="108" w:type="dxa"/>
            <w:bottom w:w="0" w:type="dxa"/>
            <w:right w:w="108" w:type="dxa"/>
          </w:tblCellMar>
        </w:tblPrEx>
        <w:trPr>
          <w:trHeight w:val="57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650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项目负责人：王禹陈</w:t>
            </w:r>
          </w:p>
        </w:tc>
        <w:tc>
          <w:tcPr>
            <w:tcW w:w="6279" w:type="dxa"/>
            <w:gridSpan w:val="6"/>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财务负责人：赵诗</w:t>
            </w:r>
          </w:p>
        </w:tc>
      </w:tr>
      <w:tr>
        <w:tblPrEx>
          <w:tblCellMar>
            <w:top w:w="0" w:type="dxa"/>
            <w:left w:w="108" w:type="dxa"/>
            <w:bottom w:w="0" w:type="dxa"/>
            <w:right w:w="108" w:type="dxa"/>
          </w:tblCellMar>
        </w:tblPrEx>
        <w:trPr>
          <w:trHeight w:val="285" w:hRule="atLeast"/>
        </w:trPr>
        <w:tc>
          <w:tcPr>
            <w:tcW w:w="61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81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58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2018"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5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504"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5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978"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8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227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r>
      <w:tr>
        <w:tblPrEx>
          <w:tblCellMar>
            <w:top w:w="0" w:type="dxa"/>
            <w:left w:w="108" w:type="dxa"/>
            <w:bottom w:w="0" w:type="dxa"/>
            <w:right w:w="108" w:type="dxa"/>
          </w:tblCellMar>
        </w:tblPrEx>
        <w:trPr>
          <w:trHeight w:val="903" w:hRule="atLeast"/>
        </w:trPr>
        <w:tc>
          <w:tcPr>
            <w:tcW w:w="1278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部门预算项目支出绩效自评表（2023年度）</w:t>
            </w:r>
          </w:p>
        </w:tc>
      </w:tr>
      <w:tr>
        <w:tblPrEx>
          <w:tblCellMar>
            <w:top w:w="0" w:type="dxa"/>
            <w:left w:w="108" w:type="dxa"/>
            <w:bottom w:w="0" w:type="dxa"/>
            <w:right w:w="108" w:type="dxa"/>
          </w:tblCellMar>
        </w:tblPrEx>
        <w:trPr>
          <w:trHeight w:val="285" w:hRule="atLeast"/>
        </w:trPr>
        <w:tc>
          <w:tcPr>
            <w:tcW w:w="2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0342"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51080022T000004928095-乡村振兴工作经费</w:t>
            </w:r>
          </w:p>
        </w:tc>
      </w:tr>
      <w:tr>
        <w:tblPrEx>
          <w:tblCellMar>
            <w:top w:w="0" w:type="dxa"/>
            <w:left w:w="108" w:type="dxa"/>
            <w:bottom w:w="0" w:type="dxa"/>
            <w:right w:w="108" w:type="dxa"/>
          </w:tblCellMar>
        </w:tblPrEx>
        <w:trPr>
          <w:trHeight w:val="513" w:hRule="atLeast"/>
        </w:trPr>
        <w:tc>
          <w:tcPr>
            <w:tcW w:w="2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广元市市场监督管理局部门</w:t>
            </w:r>
          </w:p>
        </w:tc>
        <w:tc>
          <w:tcPr>
            <w:tcW w:w="978" w:type="dxa"/>
            <w:tcBorders>
              <w:top w:val="nil"/>
              <w:left w:val="nil"/>
              <w:bottom w:val="nil"/>
              <w:right w:val="nil"/>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实施单位 （盖章）</w:t>
            </w:r>
          </w:p>
        </w:tc>
        <w:tc>
          <w:tcPr>
            <w:tcW w:w="33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广元市产品质量监督检验所</w:t>
            </w:r>
          </w:p>
        </w:tc>
      </w:tr>
      <w:tr>
        <w:tblPrEx>
          <w:tblCellMar>
            <w:top w:w="0" w:type="dxa"/>
            <w:left w:w="108" w:type="dxa"/>
            <w:bottom w:w="0" w:type="dxa"/>
            <w:right w:w="108" w:type="dxa"/>
          </w:tblCellMar>
        </w:tblPrEx>
        <w:trPr>
          <w:trHeight w:val="285"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8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4316"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Courier New" w:hAnsi="Courier New" w:cs="宋体"/>
                <w:color w:val="000000"/>
                <w:kern w:val="0"/>
                <w:sz w:val="18"/>
                <w:szCs w:val="18"/>
              </w:rPr>
            </w:pPr>
            <w:r>
              <w:rPr>
                <w:rFonts w:ascii="Courier New" w:hAnsi="Courier New" w:cs="宋体"/>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完成帮扶工作任务，保障驻村工作队工作正常开展</w:t>
            </w:r>
          </w:p>
        </w:tc>
        <w:tc>
          <w:tcPr>
            <w:tcW w:w="4316"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安排2名工作人员驻村帮扶，继续巩固脱贫成果，严禁已脱贫人员返贫，</w:t>
            </w:r>
          </w:p>
        </w:tc>
      </w:tr>
      <w:tr>
        <w:tblPrEx>
          <w:tblCellMar>
            <w:top w:w="0" w:type="dxa"/>
            <w:left w:w="108" w:type="dxa"/>
            <w:bottom w:w="0" w:type="dxa"/>
            <w:right w:w="108" w:type="dxa"/>
          </w:tblCellMar>
        </w:tblPrEx>
        <w:trPr>
          <w:trHeight w:val="69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0342"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按照市市场监管局和市直机关工委安排，由主要领导分管，保障脱贫攻坚工作顺利开展。</w:t>
            </w:r>
          </w:p>
        </w:tc>
      </w:tr>
      <w:tr>
        <w:tblPrEx>
          <w:tblCellMar>
            <w:top w:w="0" w:type="dxa"/>
            <w:left w:w="108" w:type="dxa"/>
            <w:bottom w:w="0" w:type="dxa"/>
            <w:right w:w="108" w:type="dxa"/>
          </w:tblCellMar>
        </w:tblPrEx>
        <w:trPr>
          <w:trHeight w:val="360"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45"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3.64</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3.64</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3.64</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2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i/>
                <w:iCs/>
                <w:color w:val="000000"/>
                <w:kern w:val="0"/>
                <w:sz w:val="18"/>
                <w:szCs w:val="18"/>
              </w:rPr>
            </w:pPr>
            <w:r>
              <w:rPr>
                <w:rFonts w:ascii="Courier New" w:hAnsi="Courier New" w:cs="宋体"/>
                <w:i/>
                <w:iCs/>
                <w:color w:val="000000"/>
                <w:kern w:val="0"/>
                <w:sz w:val="18"/>
                <w:szCs w:val="18"/>
              </w:rPr>
              <w:t>1.预算执行率=预算执行数/调整后预算数，预算执行率未达到90%的需说明原因（100字以内）</w:t>
            </w:r>
            <w:r>
              <w:rPr>
                <w:rFonts w:hint="eastAsia" w:ascii="Courier New" w:hAnsi="Courier New" w:cs="宋体"/>
                <w:i/>
                <w:iCs/>
                <w:color w:val="000000"/>
                <w:kern w:val="0"/>
                <w:sz w:val="18"/>
                <w:szCs w:val="18"/>
                <w:lang w:eastAsia="zh-CN"/>
              </w:rPr>
              <w:t>；</w:t>
            </w:r>
            <w:r>
              <w:rPr>
                <w:rFonts w:ascii="Courier New" w:hAnsi="Courier New" w:cs="宋体"/>
                <w:i/>
                <w:iCs/>
                <w:color w:val="000000"/>
                <w:kern w:val="0"/>
                <w:sz w:val="18"/>
                <w:szCs w:val="18"/>
              </w:rPr>
              <w:t>2.年中发生预算调整的（追加或调减）</w:t>
            </w:r>
            <w:r>
              <w:rPr>
                <w:rFonts w:hint="eastAsia" w:ascii="Courier New" w:hAnsi="Courier New" w:cs="宋体"/>
                <w:i/>
                <w:iCs/>
                <w:color w:val="000000"/>
                <w:kern w:val="0"/>
                <w:sz w:val="18"/>
                <w:szCs w:val="18"/>
                <w:lang w:eastAsia="zh-CN"/>
              </w:rPr>
              <w:t>，</w:t>
            </w:r>
            <w:r>
              <w:rPr>
                <w:rFonts w:ascii="Courier New" w:hAnsi="Courier New" w:cs="宋体"/>
                <w:i/>
                <w:iCs/>
                <w:color w:val="000000"/>
                <w:kern w:val="0"/>
                <w:sz w:val="18"/>
                <w:szCs w:val="18"/>
              </w:rPr>
              <w:t>应单独说明理由；3.其他资金包括：社会投入资金、银行贷款.</w:t>
            </w:r>
          </w:p>
        </w:tc>
      </w:tr>
      <w:tr>
        <w:tblPrEx>
          <w:tblCellMar>
            <w:top w:w="0" w:type="dxa"/>
            <w:left w:w="108" w:type="dxa"/>
            <w:bottom w:w="0" w:type="dxa"/>
            <w:right w:w="108" w:type="dxa"/>
          </w:tblCellMar>
        </w:tblPrEx>
        <w:trPr>
          <w:trHeight w:val="390"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3.64</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3.64</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3.64</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408"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360"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453"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58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帮扶安排驻村户数</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447</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户</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447</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58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驻村工作队每月驻村时间</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天</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58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帮扶工作队员人数</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人</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全面完成2023年帮扶工作任务</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级</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在实施方案时间节点内完成</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村集体经济收入增加率</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40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40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全村返贫率</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服务对象满意度指标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服务对象满意度</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成本指标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经济成本指标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乡村振兴帮扶驻村人员经费</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3.64</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万元</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3.64</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944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right"/>
              <w:rPr>
                <w:rFonts w:ascii="宋体" w:hAnsi="宋体" w:cs="宋体"/>
                <w:color w:val="000000"/>
                <w:kern w:val="0"/>
                <w:sz w:val="18"/>
                <w:szCs w:val="18"/>
              </w:rPr>
            </w:pPr>
            <w:r>
              <w:rPr>
                <w:rFonts w:hint="eastAsia" w:ascii="宋体" w:hAnsi="宋体" w:cs="宋体"/>
                <w:color w:val="000000"/>
                <w:kern w:val="0"/>
                <w:sz w:val="18"/>
                <w:szCs w:val="18"/>
              </w:rPr>
              <w:t>99</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按照全市乡村振兴工作要求，高质量完成帮扶工作任务，实现乡村振兴有效衔接，人均收入实现逐年增加致富，有效防止返贫发生。</w:t>
            </w:r>
          </w:p>
        </w:tc>
      </w:tr>
      <w:tr>
        <w:tblPrEx>
          <w:tblCellMar>
            <w:top w:w="0" w:type="dxa"/>
            <w:left w:w="108" w:type="dxa"/>
            <w:bottom w:w="0" w:type="dxa"/>
            <w:right w:w="108" w:type="dxa"/>
          </w:tblCellMar>
        </w:tblPrEx>
        <w:trPr>
          <w:trHeight w:val="57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帮扶工作人员交通费未保障，职工出行困难</w:t>
            </w:r>
          </w:p>
        </w:tc>
      </w:tr>
      <w:tr>
        <w:tblPrEx>
          <w:tblCellMar>
            <w:top w:w="0" w:type="dxa"/>
            <w:left w:w="108" w:type="dxa"/>
            <w:bottom w:w="0" w:type="dxa"/>
            <w:right w:w="108" w:type="dxa"/>
          </w:tblCellMar>
        </w:tblPrEx>
        <w:trPr>
          <w:trHeight w:val="63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建议增加驻村干部职工交通费</w:t>
            </w:r>
          </w:p>
        </w:tc>
      </w:tr>
      <w:tr>
        <w:tblPrEx>
          <w:tblCellMar>
            <w:top w:w="0" w:type="dxa"/>
            <w:left w:w="108" w:type="dxa"/>
            <w:bottom w:w="0" w:type="dxa"/>
            <w:right w:w="108" w:type="dxa"/>
          </w:tblCellMar>
        </w:tblPrEx>
        <w:trPr>
          <w:trHeight w:val="285" w:hRule="atLeast"/>
        </w:trPr>
        <w:tc>
          <w:tcPr>
            <w:tcW w:w="650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项目负责人：王禹陈</w:t>
            </w:r>
          </w:p>
        </w:tc>
        <w:tc>
          <w:tcPr>
            <w:tcW w:w="6279" w:type="dxa"/>
            <w:gridSpan w:val="6"/>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财务负责人：赵诗</w:t>
            </w:r>
          </w:p>
        </w:tc>
      </w:tr>
      <w:tr>
        <w:tblPrEx>
          <w:tblCellMar>
            <w:top w:w="0" w:type="dxa"/>
            <w:left w:w="108" w:type="dxa"/>
            <w:bottom w:w="0" w:type="dxa"/>
            <w:right w:w="108" w:type="dxa"/>
          </w:tblCellMar>
        </w:tblPrEx>
        <w:trPr>
          <w:trHeight w:val="285" w:hRule="atLeast"/>
        </w:trPr>
        <w:tc>
          <w:tcPr>
            <w:tcW w:w="61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81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58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2018"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5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504"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5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978"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8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227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r>
      <w:tr>
        <w:tblPrEx>
          <w:tblCellMar>
            <w:top w:w="0" w:type="dxa"/>
            <w:left w:w="108" w:type="dxa"/>
            <w:bottom w:w="0" w:type="dxa"/>
            <w:right w:w="108" w:type="dxa"/>
          </w:tblCellMar>
        </w:tblPrEx>
        <w:trPr>
          <w:trHeight w:val="903" w:hRule="atLeast"/>
        </w:trPr>
        <w:tc>
          <w:tcPr>
            <w:tcW w:w="1278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部门预算项目支出绩效自评表（2023年度）</w:t>
            </w:r>
          </w:p>
        </w:tc>
      </w:tr>
      <w:tr>
        <w:tblPrEx>
          <w:tblCellMar>
            <w:top w:w="0" w:type="dxa"/>
            <w:left w:w="108" w:type="dxa"/>
            <w:bottom w:w="0" w:type="dxa"/>
            <w:right w:w="108" w:type="dxa"/>
          </w:tblCellMar>
        </w:tblPrEx>
        <w:trPr>
          <w:trHeight w:val="285" w:hRule="atLeast"/>
        </w:trPr>
        <w:tc>
          <w:tcPr>
            <w:tcW w:w="2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0342"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51080022Y000000267568-定额公用经费（事业）</w:t>
            </w:r>
          </w:p>
        </w:tc>
      </w:tr>
      <w:tr>
        <w:tblPrEx>
          <w:tblCellMar>
            <w:top w:w="0" w:type="dxa"/>
            <w:left w:w="108" w:type="dxa"/>
            <w:bottom w:w="0" w:type="dxa"/>
            <w:right w:w="108" w:type="dxa"/>
          </w:tblCellMar>
        </w:tblPrEx>
        <w:trPr>
          <w:trHeight w:val="513" w:hRule="atLeast"/>
        </w:trPr>
        <w:tc>
          <w:tcPr>
            <w:tcW w:w="2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广元市市场监督管理局部门</w:t>
            </w:r>
          </w:p>
        </w:tc>
        <w:tc>
          <w:tcPr>
            <w:tcW w:w="978" w:type="dxa"/>
            <w:tcBorders>
              <w:top w:val="nil"/>
              <w:left w:val="nil"/>
              <w:bottom w:val="nil"/>
              <w:right w:val="nil"/>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实施单位 （盖章）</w:t>
            </w:r>
          </w:p>
        </w:tc>
        <w:tc>
          <w:tcPr>
            <w:tcW w:w="33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广元市产品质量监督检验所</w:t>
            </w:r>
          </w:p>
        </w:tc>
      </w:tr>
      <w:tr>
        <w:tblPrEx>
          <w:tblCellMar>
            <w:top w:w="0" w:type="dxa"/>
            <w:left w:w="108" w:type="dxa"/>
            <w:bottom w:w="0" w:type="dxa"/>
            <w:right w:w="108" w:type="dxa"/>
          </w:tblCellMar>
        </w:tblPrEx>
        <w:trPr>
          <w:trHeight w:val="285"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8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4316"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Courier New" w:hAnsi="Courier New" w:cs="宋体"/>
                <w:color w:val="000000"/>
                <w:kern w:val="0"/>
                <w:sz w:val="18"/>
                <w:szCs w:val="18"/>
              </w:rPr>
            </w:pPr>
            <w:r>
              <w:rPr>
                <w:rFonts w:ascii="Courier New" w:hAnsi="Courier New" w:cs="宋体"/>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提高预算编制质量，严格执行预算，保障单位日常运转</w:t>
            </w:r>
          </w:p>
        </w:tc>
        <w:tc>
          <w:tcPr>
            <w:tcW w:w="4316"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已按相关政策执行完毕。</w:t>
            </w:r>
          </w:p>
        </w:tc>
      </w:tr>
      <w:tr>
        <w:tblPrEx>
          <w:tblCellMar>
            <w:top w:w="0" w:type="dxa"/>
            <w:left w:w="108" w:type="dxa"/>
            <w:bottom w:w="0" w:type="dxa"/>
            <w:right w:w="108" w:type="dxa"/>
          </w:tblCellMar>
        </w:tblPrEx>
        <w:trPr>
          <w:trHeight w:val="69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0342"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提高预算编制质量，严格执行预算，保障单位日常运转</w:t>
            </w:r>
          </w:p>
        </w:tc>
      </w:tr>
      <w:tr>
        <w:tblPrEx>
          <w:tblCellMar>
            <w:top w:w="0" w:type="dxa"/>
            <w:left w:w="108" w:type="dxa"/>
            <w:bottom w:w="0" w:type="dxa"/>
            <w:right w:w="108" w:type="dxa"/>
          </w:tblCellMar>
        </w:tblPrEx>
        <w:trPr>
          <w:trHeight w:val="360"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45"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36.00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36.00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36.00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2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i/>
                <w:iCs/>
                <w:color w:val="000000"/>
                <w:kern w:val="0"/>
                <w:sz w:val="18"/>
                <w:szCs w:val="18"/>
              </w:rPr>
            </w:pPr>
            <w:r>
              <w:rPr>
                <w:rFonts w:ascii="Courier New" w:hAnsi="Courier New" w:cs="宋体"/>
                <w:i/>
                <w:iCs/>
                <w:color w:val="000000"/>
                <w:kern w:val="0"/>
                <w:sz w:val="18"/>
                <w:szCs w:val="18"/>
              </w:rPr>
              <w:t>1.预算执行率=预算执行数/调整后预算数，预算执行率未达到90%的需说明原因（100字以内）</w:t>
            </w:r>
            <w:r>
              <w:rPr>
                <w:rFonts w:hint="eastAsia" w:ascii="Courier New" w:hAnsi="Courier New" w:cs="宋体"/>
                <w:i/>
                <w:iCs/>
                <w:color w:val="000000"/>
                <w:kern w:val="0"/>
                <w:sz w:val="18"/>
                <w:szCs w:val="18"/>
                <w:lang w:eastAsia="zh-CN"/>
              </w:rPr>
              <w:t>；</w:t>
            </w:r>
            <w:r>
              <w:rPr>
                <w:rFonts w:ascii="Courier New" w:hAnsi="Courier New" w:cs="宋体"/>
                <w:i/>
                <w:iCs/>
                <w:color w:val="000000"/>
                <w:kern w:val="0"/>
                <w:sz w:val="18"/>
                <w:szCs w:val="18"/>
              </w:rPr>
              <w:t>2.年中发生预算调整的（追加或调减）</w:t>
            </w:r>
            <w:r>
              <w:rPr>
                <w:rFonts w:hint="eastAsia" w:ascii="Courier New" w:hAnsi="Courier New" w:cs="宋体"/>
                <w:i/>
                <w:iCs/>
                <w:color w:val="000000"/>
                <w:kern w:val="0"/>
                <w:sz w:val="18"/>
                <w:szCs w:val="18"/>
                <w:lang w:eastAsia="zh-CN"/>
              </w:rPr>
              <w:t>，</w:t>
            </w:r>
            <w:r>
              <w:rPr>
                <w:rFonts w:ascii="Courier New" w:hAnsi="Courier New" w:cs="宋体"/>
                <w:i/>
                <w:iCs/>
                <w:color w:val="000000"/>
                <w:kern w:val="0"/>
                <w:sz w:val="18"/>
                <w:szCs w:val="18"/>
              </w:rPr>
              <w:t>应单独说明理由；3.其他资金包括：社会投入资金、银行贷款.</w:t>
            </w:r>
          </w:p>
        </w:tc>
      </w:tr>
      <w:tr>
        <w:tblPrEx>
          <w:tblCellMar>
            <w:top w:w="0" w:type="dxa"/>
            <w:left w:w="108" w:type="dxa"/>
            <w:bottom w:w="0" w:type="dxa"/>
            <w:right w:w="108" w:type="dxa"/>
          </w:tblCellMar>
        </w:tblPrEx>
        <w:trPr>
          <w:trHeight w:val="390"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36.00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36.00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36.00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408"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360"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453"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678"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预算编制准确率（计算方法为：∣（执行数-预算数）/预算数∣）</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90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“三公经费”控制率[计算方法为：（三公经费实际支出数/预算安排数]×100%）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运转保障率</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944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自评总分100分。</w:t>
            </w:r>
          </w:p>
        </w:tc>
      </w:tr>
      <w:tr>
        <w:tblPrEx>
          <w:tblCellMar>
            <w:top w:w="0" w:type="dxa"/>
            <w:left w:w="108" w:type="dxa"/>
            <w:bottom w:w="0" w:type="dxa"/>
            <w:right w:w="108" w:type="dxa"/>
          </w:tblCellMar>
        </w:tblPrEx>
        <w:trPr>
          <w:trHeight w:val="57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650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项目负责人：王禹陈</w:t>
            </w:r>
          </w:p>
        </w:tc>
        <w:tc>
          <w:tcPr>
            <w:tcW w:w="6279" w:type="dxa"/>
            <w:gridSpan w:val="6"/>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财务负责人：赵诗</w:t>
            </w:r>
          </w:p>
        </w:tc>
      </w:tr>
      <w:tr>
        <w:tblPrEx>
          <w:tblCellMar>
            <w:top w:w="0" w:type="dxa"/>
            <w:left w:w="108" w:type="dxa"/>
            <w:bottom w:w="0" w:type="dxa"/>
            <w:right w:w="108" w:type="dxa"/>
          </w:tblCellMar>
        </w:tblPrEx>
        <w:trPr>
          <w:trHeight w:val="285" w:hRule="atLeast"/>
        </w:trPr>
        <w:tc>
          <w:tcPr>
            <w:tcW w:w="61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81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58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2018"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5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504"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5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978"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8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227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r>
      <w:tr>
        <w:tblPrEx>
          <w:tblCellMar>
            <w:top w:w="0" w:type="dxa"/>
            <w:left w:w="108" w:type="dxa"/>
            <w:bottom w:w="0" w:type="dxa"/>
            <w:right w:w="108" w:type="dxa"/>
          </w:tblCellMar>
        </w:tblPrEx>
        <w:trPr>
          <w:trHeight w:val="903" w:hRule="atLeast"/>
        </w:trPr>
        <w:tc>
          <w:tcPr>
            <w:tcW w:w="1278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部门预算项目支出绩效自评表（2023年度）</w:t>
            </w:r>
          </w:p>
        </w:tc>
      </w:tr>
      <w:tr>
        <w:tblPrEx>
          <w:tblCellMar>
            <w:top w:w="0" w:type="dxa"/>
            <w:left w:w="108" w:type="dxa"/>
            <w:bottom w:w="0" w:type="dxa"/>
            <w:right w:w="108" w:type="dxa"/>
          </w:tblCellMar>
        </w:tblPrEx>
        <w:trPr>
          <w:trHeight w:val="285" w:hRule="atLeast"/>
        </w:trPr>
        <w:tc>
          <w:tcPr>
            <w:tcW w:w="2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0342"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51080023R000009698970-单位年度考核奖</w:t>
            </w:r>
          </w:p>
        </w:tc>
      </w:tr>
      <w:tr>
        <w:tblPrEx>
          <w:tblCellMar>
            <w:top w:w="0" w:type="dxa"/>
            <w:left w:w="108" w:type="dxa"/>
            <w:bottom w:w="0" w:type="dxa"/>
            <w:right w:w="108" w:type="dxa"/>
          </w:tblCellMar>
        </w:tblPrEx>
        <w:trPr>
          <w:trHeight w:val="513" w:hRule="atLeast"/>
        </w:trPr>
        <w:tc>
          <w:tcPr>
            <w:tcW w:w="2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广元市市场监督管理局部门</w:t>
            </w:r>
          </w:p>
        </w:tc>
        <w:tc>
          <w:tcPr>
            <w:tcW w:w="978" w:type="dxa"/>
            <w:tcBorders>
              <w:top w:val="nil"/>
              <w:left w:val="nil"/>
              <w:bottom w:val="nil"/>
              <w:right w:val="nil"/>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实施单位 （盖章）</w:t>
            </w:r>
          </w:p>
        </w:tc>
        <w:tc>
          <w:tcPr>
            <w:tcW w:w="33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广元市产品质量监督检验所</w:t>
            </w:r>
          </w:p>
        </w:tc>
      </w:tr>
      <w:tr>
        <w:tblPrEx>
          <w:tblCellMar>
            <w:top w:w="0" w:type="dxa"/>
            <w:left w:w="108" w:type="dxa"/>
            <w:bottom w:w="0" w:type="dxa"/>
            <w:right w:w="108" w:type="dxa"/>
          </w:tblCellMar>
        </w:tblPrEx>
        <w:trPr>
          <w:trHeight w:val="285"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8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4316"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Courier New" w:hAnsi="Courier New" w:cs="宋体"/>
                <w:color w:val="000000"/>
                <w:kern w:val="0"/>
                <w:sz w:val="18"/>
                <w:szCs w:val="18"/>
              </w:rPr>
            </w:pPr>
            <w:r>
              <w:rPr>
                <w:rFonts w:ascii="Courier New" w:hAnsi="Courier New" w:cs="宋体"/>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严格执行相关政策，保障工资及时、足额发放或社保及时、足额缴纳，预算编制科学合理，减少结余资金</w:t>
            </w:r>
          </w:p>
        </w:tc>
        <w:tc>
          <w:tcPr>
            <w:tcW w:w="4316"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已按相关政策执行完毕。</w:t>
            </w:r>
          </w:p>
        </w:tc>
      </w:tr>
      <w:tr>
        <w:tblPrEx>
          <w:tblCellMar>
            <w:top w:w="0" w:type="dxa"/>
            <w:left w:w="108" w:type="dxa"/>
            <w:bottom w:w="0" w:type="dxa"/>
            <w:right w:w="108" w:type="dxa"/>
          </w:tblCellMar>
        </w:tblPrEx>
        <w:trPr>
          <w:trHeight w:val="69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0342"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严格执行相关政策，保障工资及时、足额发放或社保及时、足额缴纳，预算编制科学合理，减少结余资金</w:t>
            </w:r>
          </w:p>
        </w:tc>
      </w:tr>
      <w:tr>
        <w:tblPrEx>
          <w:tblCellMar>
            <w:top w:w="0" w:type="dxa"/>
            <w:left w:w="108" w:type="dxa"/>
            <w:bottom w:w="0" w:type="dxa"/>
            <w:right w:w="108" w:type="dxa"/>
          </w:tblCellMar>
        </w:tblPrEx>
        <w:trPr>
          <w:trHeight w:val="360"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45"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17.34</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17.34</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2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i/>
                <w:iCs/>
                <w:color w:val="000000"/>
                <w:kern w:val="0"/>
                <w:sz w:val="18"/>
                <w:szCs w:val="18"/>
              </w:rPr>
            </w:pPr>
            <w:r>
              <w:rPr>
                <w:rFonts w:ascii="Courier New" w:hAnsi="Courier New" w:cs="宋体"/>
                <w:i/>
                <w:iCs/>
                <w:color w:val="000000"/>
                <w:kern w:val="0"/>
                <w:sz w:val="18"/>
                <w:szCs w:val="18"/>
              </w:rPr>
              <w:t>1.预算执行率=预算执行数/调整后预算数，预算执行率未达到90%的需说明原因（100字以内）</w:t>
            </w:r>
            <w:r>
              <w:rPr>
                <w:rFonts w:hint="eastAsia" w:ascii="Courier New" w:hAnsi="Courier New" w:cs="宋体"/>
                <w:i/>
                <w:iCs/>
                <w:color w:val="000000"/>
                <w:kern w:val="0"/>
                <w:sz w:val="18"/>
                <w:szCs w:val="18"/>
                <w:lang w:eastAsia="zh-CN"/>
              </w:rPr>
              <w:t>；</w:t>
            </w:r>
            <w:r>
              <w:rPr>
                <w:rFonts w:ascii="Courier New" w:hAnsi="Courier New" w:cs="宋体"/>
                <w:i/>
                <w:iCs/>
                <w:color w:val="000000"/>
                <w:kern w:val="0"/>
                <w:sz w:val="18"/>
                <w:szCs w:val="18"/>
              </w:rPr>
              <w:t>2.年中发生预算调整的（追加或调减）</w:t>
            </w:r>
            <w:r>
              <w:rPr>
                <w:rFonts w:hint="eastAsia" w:ascii="Courier New" w:hAnsi="Courier New" w:cs="宋体"/>
                <w:i/>
                <w:iCs/>
                <w:color w:val="000000"/>
                <w:kern w:val="0"/>
                <w:sz w:val="18"/>
                <w:szCs w:val="18"/>
                <w:lang w:eastAsia="zh-CN"/>
              </w:rPr>
              <w:t>，</w:t>
            </w:r>
            <w:r>
              <w:rPr>
                <w:rFonts w:ascii="Courier New" w:hAnsi="Courier New" w:cs="宋体"/>
                <w:i/>
                <w:iCs/>
                <w:color w:val="000000"/>
                <w:kern w:val="0"/>
                <w:sz w:val="18"/>
                <w:szCs w:val="18"/>
              </w:rPr>
              <w:t>应单独说明理由；3.其他资金包括：社会投入资金、银行贷款.</w:t>
            </w:r>
          </w:p>
        </w:tc>
      </w:tr>
      <w:tr>
        <w:tblPrEx>
          <w:tblCellMar>
            <w:top w:w="0" w:type="dxa"/>
            <w:left w:w="108" w:type="dxa"/>
            <w:bottom w:w="0" w:type="dxa"/>
            <w:right w:w="108" w:type="dxa"/>
          </w:tblCellMar>
        </w:tblPrEx>
        <w:trPr>
          <w:trHeight w:val="390"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17.34</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17.34</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408"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360"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453"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发放（缴纳）覆盖率</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100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60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60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足额保障率（参保率）</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100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944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自评总分100分。</w:t>
            </w:r>
          </w:p>
        </w:tc>
      </w:tr>
      <w:tr>
        <w:tblPrEx>
          <w:tblCellMar>
            <w:top w:w="0" w:type="dxa"/>
            <w:left w:w="108" w:type="dxa"/>
            <w:bottom w:w="0" w:type="dxa"/>
            <w:right w:w="108" w:type="dxa"/>
          </w:tblCellMar>
        </w:tblPrEx>
        <w:trPr>
          <w:trHeight w:val="57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650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项目负责人：王禹陈</w:t>
            </w:r>
          </w:p>
        </w:tc>
        <w:tc>
          <w:tcPr>
            <w:tcW w:w="6279" w:type="dxa"/>
            <w:gridSpan w:val="6"/>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财务负责人：赵诗</w:t>
            </w:r>
          </w:p>
        </w:tc>
      </w:tr>
      <w:tr>
        <w:tblPrEx>
          <w:tblCellMar>
            <w:top w:w="0" w:type="dxa"/>
            <w:left w:w="108" w:type="dxa"/>
            <w:bottom w:w="0" w:type="dxa"/>
            <w:right w:w="108" w:type="dxa"/>
          </w:tblCellMar>
        </w:tblPrEx>
        <w:trPr>
          <w:trHeight w:val="285" w:hRule="atLeast"/>
        </w:trPr>
        <w:tc>
          <w:tcPr>
            <w:tcW w:w="61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81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58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2018"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5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504"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5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978"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8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227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r>
      <w:tr>
        <w:tblPrEx>
          <w:tblCellMar>
            <w:top w:w="0" w:type="dxa"/>
            <w:left w:w="108" w:type="dxa"/>
            <w:bottom w:w="0" w:type="dxa"/>
            <w:right w:w="108" w:type="dxa"/>
          </w:tblCellMar>
        </w:tblPrEx>
        <w:trPr>
          <w:trHeight w:val="903" w:hRule="atLeast"/>
        </w:trPr>
        <w:tc>
          <w:tcPr>
            <w:tcW w:w="1278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部门预算项目支出绩效自评表（2023年度）</w:t>
            </w:r>
          </w:p>
        </w:tc>
      </w:tr>
      <w:tr>
        <w:tblPrEx>
          <w:tblCellMar>
            <w:top w:w="0" w:type="dxa"/>
            <w:left w:w="108" w:type="dxa"/>
            <w:bottom w:w="0" w:type="dxa"/>
            <w:right w:w="108" w:type="dxa"/>
          </w:tblCellMar>
        </w:tblPrEx>
        <w:trPr>
          <w:trHeight w:val="285" w:hRule="atLeast"/>
        </w:trPr>
        <w:tc>
          <w:tcPr>
            <w:tcW w:w="2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0342"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51080023T000008949296-年度考核奖</w:t>
            </w:r>
          </w:p>
        </w:tc>
      </w:tr>
      <w:tr>
        <w:tblPrEx>
          <w:tblCellMar>
            <w:top w:w="0" w:type="dxa"/>
            <w:left w:w="108" w:type="dxa"/>
            <w:bottom w:w="0" w:type="dxa"/>
            <w:right w:w="108" w:type="dxa"/>
          </w:tblCellMar>
        </w:tblPrEx>
        <w:trPr>
          <w:trHeight w:val="513" w:hRule="atLeast"/>
        </w:trPr>
        <w:tc>
          <w:tcPr>
            <w:tcW w:w="2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广元市市场监督管理局部门</w:t>
            </w:r>
          </w:p>
        </w:tc>
        <w:tc>
          <w:tcPr>
            <w:tcW w:w="978" w:type="dxa"/>
            <w:tcBorders>
              <w:top w:val="nil"/>
              <w:left w:val="nil"/>
              <w:bottom w:val="nil"/>
              <w:right w:val="nil"/>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实施单位 （盖章）</w:t>
            </w:r>
          </w:p>
        </w:tc>
        <w:tc>
          <w:tcPr>
            <w:tcW w:w="33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广元市产品质量监督检验所</w:t>
            </w:r>
          </w:p>
        </w:tc>
      </w:tr>
      <w:tr>
        <w:tblPrEx>
          <w:tblCellMar>
            <w:top w:w="0" w:type="dxa"/>
            <w:left w:w="108" w:type="dxa"/>
            <w:bottom w:w="0" w:type="dxa"/>
            <w:right w:w="108" w:type="dxa"/>
          </w:tblCellMar>
        </w:tblPrEx>
        <w:trPr>
          <w:trHeight w:val="285"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8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4316"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Courier New" w:hAnsi="Courier New" w:cs="宋体"/>
                <w:color w:val="000000"/>
                <w:kern w:val="0"/>
                <w:sz w:val="18"/>
                <w:szCs w:val="18"/>
              </w:rPr>
            </w:pPr>
            <w:r>
              <w:rPr>
                <w:rFonts w:ascii="Courier New" w:hAnsi="Courier New" w:cs="宋体"/>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严格执行相关政策，保障工资及时、足额发放或社保及时、足额缴纳，预算编制科学合理，减少结余资金</w:t>
            </w:r>
          </w:p>
        </w:tc>
        <w:tc>
          <w:tcPr>
            <w:tcW w:w="4316"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已按相关政策执行完毕。</w:t>
            </w:r>
          </w:p>
        </w:tc>
      </w:tr>
      <w:tr>
        <w:tblPrEx>
          <w:tblCellMar>
            <w:top w:w="0" w:type="dxa"/>
            <w:left w:w="108" w:type="dxa"/>
            <w:bottom w:w="0" w:type="dxa"/>
            <w:right w:w="108" w:type="dxa"/>
          </w:tblCellMar>
        </w:tblPrEx>
        <w:trPr>
          <w:trHeight w:val="69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0342"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严格执行相关政策，保障工资及时、足额发放或社保及时、足额缴纳，预算编制科学合理，减少结余资金</w:t>
            </w:r>
          </w:p>
        </w:tc>
      </w:tr>
      <w:tr>
        <w:tblPrEx>
          <w:tblCellMar>
            <w:top w:w="0" w:type="dxa"/>
            <w:left w:w="108" w:type="dxa"/>
            <w:bottom w:w="0" w:type="dxa"/>
            <w:right w:w="108" w:type="dxa"/>
          </w:tblCellMar>
        </w:tblPrEx>
        <w:trPr>
          <w:trHeight w:val="360"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45"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16.80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16.36</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16.36</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2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i/>
                <w:iCs/>
                <w:color w:val="000000"/>
                <w:kern w:val="0"/>
                <w:sz w:val="18"/>
                <w:szCs w:val="18"/>
              </w:rPr>
            </w:pPr>
            <w:r>
              <w:rPr>
                <w:rFonts w:ascii="Courier New" w:hAnsi="Courier New" w:cs="宋体"/>
                <w:i/>
                <w:iCs/>
                <w:color w:val="000000"/>
                <w:kern w:val="0"/>
                <w:sz w:val="18"/>
                <w:szCs w:val="18"/>
              </w:rPr>
              <w:t>1.预算执行率=预算执行数/调整后预算数，预算执行率未达到90%的需说明原因（100字以内）</w:t>
            </w:r>
            <w:r>
              <w:rPr>
                <w:rFonts w:hint="eastAsia" w:ascii="Courier New" w:hAnsi="Courier New" w:cs="宋体"/>
                <w:i/>
                <w:iCs/>
                <w:color w:val="000000"/>
                <w:kern w:val="0"/>
                <w:sz w:val="18"/>
                <w:szCs w:val="18"/>
                <w:lang w:eastAsia="zh-CN"/>
              </w:rPr>
              <w:t>；</w:t>
            </w:r>
            <w:r>
              <w:rPr>
                <w:rFonts w:ascii="Courier New" w:hAnsi="Courier New" w:cs="宋体"/>
                <w:i/>
                <w:iCs/>
                <w:color w:val="000000"/>
                <w:kern w:val="0"/>
                <w:sz w:val="18"/>
                <w:szCs w:val="18"/>
              </w:rPr>
              <w:t>2.年中发生预算调整的（追加或调减）</w:t>
            </w:r>
            <w:r>
              <w:rPr>
                <w:rFonts w:hint="eastAsia" w:ascii="Courier New" w:hAnsi="Courier New" w:cs="宋体"/>
                <w:i/>
                <w:iCs/>
                <w:color w:val="000000"/>
                <w:kern w:val="0"/>
                <w:sz w:val="18"/>
                <w:szCs w:val="18"/>
                <w:lang w:eastAsia="zh-CN"/>
              </w:rPr>
              <w:t>，</w:t>
            </w:r>
            <w:r>
              <w:rPr>
                <w:rFonts w:ascii="Courier New" w:hAnsi="Courier New" w:cs="宋体"/>
                <w:i/>
                <w:iCs/>
                <w:color w:val="000000"/>
                <w:kern w:val="0"/>
                <w:sz w:val="18"/>
                <w:szCs w:val="18"/>
              </w:rPr>
              <w:t>应单独说明理由；3.其他资金包括：社会投入资金、银行贷款.</w:t>
            </w:r>
          </w:p>
        </w:tc>
      </w:tr>
      <w:tr>
        <w:tblPrEx>
          <w:tblCellMar>
            <w:top w:w="0" w:type="dxa"/>
            <w:left w:w="108" w:type="dxa"/>
            <w:bottom w:w="0" w:type="dxa"/>
            <w:right w:w="108" w:type="dxa"/>
          </w:tblCellMar>
        </w:tblPrEx>
        <w:trPr>
          <w:trHeight w:val="390"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16.80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16.36</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16.36</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408"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360"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453"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发放（缴纳）覆盖率</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60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60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足额保障率（参保率）</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944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自评总分100分。</w:t>
            </w:r>
          </w:p>
        </w:tc>
      </w:tr>
      <w:tr>
        <w:tblPrEx>
          <w:tblCellMar>
            <w:top w:w="0" w:type="dxa"/>
            <w:left w:w="108" w:type="dxa"/>
            <w:bottom w:w="0" w:type="dxa"/>
            <w:right w:w="108" w:type="dxa"/>
          </w:tblCellMar>
        </w:tblPrEx>
        <w:trPr>
          <w:trHeight w:val="57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650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项目负责人：王禹陈</w:t>
            </w:r>
          </w:p>
        </w:tc>
        <w:tc>
          <w:tcPr>
            <w:tcW w:w="6279" w:type="dxa"/>
            <w:gridSpan w:val="6"/>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财务负责人：赵诗</w:t>
            </w:r>
          </w:p>
        </w:tc>
      </w:tr>
      <w:tr>
        <w:tblPrEx>
          <w:tblCellMar>
            <w:top w:w="0" w:type="dxa"/>
            <w:left w:w="108" w:type="dxa"/>
            <w:bottom w:w="0" w:type="dxa"/>
            <w:right w:w="108" w:type="dxa"/>
          </w:tblCellMar>
        </w:tblPrEx>
        <w:trPr>
          <w:trHeight w:val="285" w:hRule="atLeast"/>
        </w:trPr>
        <w:tc>
          <w:tcPr>
            <w:tcW w:w="61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81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58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2018"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5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504"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5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978"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8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227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r>
      <w:tr>
        <w:tblPrEx>
          <w:tblCellMar>
            <w:top w:w="0" w:type="dxa"/>
            <w:left w:w="108" w:type="dxa"/>
            <w:bottom w:w="0" w:type="dxa"/>
            <w:right w:w="108" w:type="dxa"/>
          </w:tblCellMar>
        </w:tblPrEx>
        <w:trPr>
          <w:trHeight w:val="903" w:hRule="atLeast"/>
        </w:trPr>
        <w:tc>
          <w:tcPr>
            <w:tcW w:w="1278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部门预算项目支出绩效自评表（2023年度）</w:t>
            </w:r>
          </w:p>
        </w:tc>
      </w:tr>
      <w:tr>
        <w:tblPrEx>
          <w:tblCellMar>
            <w:top w:w="0" w:type="dxa"/>
            <w:left w:w="108" w:type="dxa"/>
            <w:bottom w:w="0" w:type="dxa"/>
            <w:right w:w="108" w:type="dxa"/>
          </w:tblCellMar>
        </w:tblPrEx>
        <w:trPr>
          <w:trHeight w:val="285" w:hRule="atLeast"/>
        </w:trPr>
        <w:tc>
          <w:tcPr>
            <w:tcW w:w="2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0342"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51080023T000009156111-2023年市场监管专项资金</w:t>
            </w:r>
          </w:p>
        </w:tc>
      </w:tr>
      <w:tr>
        <w:tblPrEx>
          <w:tblCellMar>
            <w:top w:w="0" w:type="dxa"/>
            <w:left w:w="108" w:type="dxa"/>
            <w:bottom w:w="0" w:type="dxa"/>
            <w:right w:w="108" w:type="dxa"/>
          </w:tblCellMar>
        </w:tblPrEx>
        <w:trPr>
          <w:trHeight w:val="513" w:hRule="atLeast"/>
        </w:trPr>
        <w:tc>
          <w:tcPr>
            <w:tcW w:w="2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广元市市场监督管理局部门</w:t>
            </w:r>
          </w:p>
        </w:tc>
        <w:tc>
          <w:tcPr>
            <w:tcW w:w="978" w:type="dxa"/>
            <w:tcBorders>
              <w:top w:val="nil"/>
              <w:left w:val="nil"/>
              <w:bottom w:val="nil"/>
              <w:right w:val="nil"/>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实施单位 （盖章）</w:t>
            </w:r>
          </w:p>
        </w:tc>
        <w:tc>
          <w:tcPr>
            <w:tcW w:w="33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广元市产品质量监督检验所</w:t>
            </w:r>
          </w:p>
        </w:tc>
      </w:tr>
      <w:tr>
        <w:tblPrEx>
          <w:tblCellMar>
            <w:top w:w="0" w:type="dxa"/>
            <w:left w:w="108" w:type="dxa"/>
            <w:bottom w:w="0" w:type="dxa"/>
            <w:right w:w="108" w:type="dxa"/>
          </w:tblCellMar>
        </w:tblPrEx>
        <w:trPr>
          <w:trHeight w:val="285"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8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4316"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Courier New" w:hAnsi="Courier New" w:cs="宋体"/>
                <w:color w:val="000000"/>
                <w:kern w:val="0"/>
                <w:sz w:val="18"/>
                <w:szCs w:val="18"/>
              </w:rPr>
            </w:pPr>
            <w:r>
              <w:rPr>
                <w:rFonts w:ascii="Courier New" w:hAnsi="Courier New" w:cs="宋体"/>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完成省级监督抽查及风险监测400批次，提升全省产品质量水平。</w:t>
            </w:r>
          </w:p>
        </w:tc>
        <w:tc>
          <w:tcPr>
            <w:tcW w:w="4316"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完成省级产品质量监督抽检406批次，完成率达到100%，切实保障产品质量安全。</w:t>
            </w:r>
          </w:p>
        </w:tc>
      </w:tr>
      <w:tr>
        <w:tblPrEx>
          <w:tblCellMar>
            <w:top w:w="0" w:type="dxa"/>
            <w:left w:w="108" w:type="dxa"/>
            <w:bottom w:w="0" w:type="dxa"/>
            <w:right w:w="108" w:type="dxa"/>
          </w:tblCellMar>
        </w:tblPrEx>
        <w:trPr>
          <w:trHeight w:val="69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0342"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根据省局工作部署，组织开展重点工业产品质量省级监督抽查，本年度工业产品省级监督抽查工作由所长负总责，分管副所长具体负责，进一步分解任务，细化指标，责任落实到人。根据产品质量省级监督抽查实施方案和产品质量省级监督抽查实施细则，按照我所《质量手册》和《程序文件》组织实施，抽检过程施行抽检分离制度。由食品化工检验中心、轻工检验中心、建材检验中心具体完成，抽查结果直接反馈四川省市场监督管理局质量监督处。</w:t>
            </w:r>
          </w:p>
        </w:tc>
      </w:tr>
      <w:tr>
        <w:tblPrEx>
          <w:tblCellMar>
            <w:top w:w="0" w:type="dxa"/>
            <w:left w:w="108" w:type="dxa"/>
            <w:bottom w:w="0" w:type="dxa"/>
            <w:right w:w="108" w:type="dxa"/>
          </w:tblCellMar>
        </w:tblPrEx>
        <w:trPr>
          <w:trHeight w:val="360"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45"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123.00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123.00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2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i/>
                <w:iCs/>
                <w:color w:val="000000"/>
                <w:kern w:val="0"/>
                <w:sz w:val="18"/>
                <w:szCs w:val="18"/>
              </w:rPr>
            </w:pPr>
            <w:r>
              <w:rPr>
                <w:rFonts w:ascii="Courier New" w:hAnsi="Courier New" w:cs="宋体"/>
                <w:i/>
                <w:iCs/>
                <w:color w:val="000000"/>
                <w:kern w:val="0"/>
                <w:sz w:val="18"/>
                <w:szCs w:val="18"/>
              </w:rPr>
              <w:t>1.预算执行率=预算执行数/调整后预算数，预算执行率未达到90%的需说明原因（100字以内）</w:t>
            </w:r>
            <w:r>
              <w:rPr>
                <w:rFonts w:hint="eastAsia" w:ascii="Courier New" w:hAnsi="Courier New" w:cs="宋体"/>
                <w:i/>
                <w:iCs/>
                <w:color w:val="000000"/>
                <w:kern w:val="0"/>
                <w:sz w:val="18"/>
                <w:szCs w:val="18"/>
                <w:lang w:eastAsia="zh-CN"/>
              </w:rPr>
              <w:t>；</w:t>
            </w:r>
            <w:r>
              <w:rPr>
                <w:rFonts w:ascii="Courier New" w:hAnsi="Courier New" w:cs="宋体"/>
                <w:i/>
                <w:iCs/>
                <w:color w:val="000000"/>
                <w:kern w:val="0"/>
                <w:sz w:val="18"/>
                <w:szCs w:val="18"/>
              </w:rPr>
              <w:t>2.年中发生预算调整的（追加或调减）</w:t>
            </w:r>
            <w:r>
              <w:rPr>
                <w:rFonts w:hint="eastAsia" w:ascii="Courier New" w:hAnsi="Courier New" w:cs="宋体"/>
                <w:i/>
                <w:iCs/>
                <w:color w:val="000000"/>
                <w:kern w:val="0"/>
                <w:sz w:val="18"/>
                <w:szCs w:val="18"/>
                <w:lang w:eastAsia="zh-CN"/>
              </w:rPr>
              <w:t>，</w:t>
            </w:r>
            <w:r>
              <w:rPr>
                <w:rFonts w:ascii="Courier New" w:hAnsi="Courier New" w:cs="宋体"/>
                <w:i/>
                <w:iCs/>
                <w:color w:val="000000"/>
                <w:kern w:val="0"/>
                <w:sz w:val="18"/>
                <w:szCs w:val="18"/>
              </w:rPr>
              <w:t>应单独说明理由；3.其他资金包括：社会投入资金、银行贷款.</w:t>
            </w:r>
          </w:p>
        </w:tc>
      </w:tr>
      <w:tr>
        <w:tblPrEx>
          <w:tblCellMar>
            <w:top w:w="0" w:type="dxa"/>
            <w:left w:w="108" w:type="dxa"/>
            <w:bottom w:w="0" w:type="dxa"/>
            <w:right w:w="108" w:type="dxa"/>
          </w:tblCellMar>
        </w:tblPrEx>
        <w:trPr>
          <w:trHeight w:val="390"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123.00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123.00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408"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360"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453"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45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完成省级监督抽查及风险监测</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400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批</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400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完成抽检率</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任务完成时间</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12</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月</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12</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企业质量主体意识明显提升</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级</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可持续影响指标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提升全市质量水平</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级</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8</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服务对象满意度指标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服务对象满意度</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95</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95</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成本指标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经济成本指标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省级监督抽查成本</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123</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万元</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123</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944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97</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通过本年度的省级监督抽查，加强产品质量安全监督管理，有效预防区域性产品质量问题的发生，促进了我省经济繁荣与健康发展。</w:t>
            </w:r>
          </w:p>
        </w:tc>
      </w:tr>
      <w:tr>
        <w:tblPrEx>
          <w:tblCellMar>
            <w:top w:w="0" w:type="dxa"/>
            <w:left w:w="108" w:type="dxa"/>
            <w:bottom w:w="0" w:type="dxa"/>
            <w:right w:w="108" w:type="dxa"/>
          </w:tblCellMar>
        </w:tblPrEx>
        <w:trPr>
          <w:trHeight w:val="57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目前，各地级市州都有自己的报告系统，但大多数是垂管时期建立，现远远不能满足监督抽查需求，同时由于各地市州财政紧张不能升级现有报告系统，错误时常发生。</w:t>
            </w:r>
          </w:p>
        </w:tc>
      </w:tr>
      <w:tr>
        <w:tblPrEx>
          <w:tblCellMar>
            <w:top w:w="0" w:type="dxa"/>
            <w:left w:w="108" w:type="dxa"/>
            <w:bottom w:w="0" w:type="dxa"/>
            <w:right w:w="108" w:type="dxa"/>
          </w:tblCellMar>
        </w:tblPrEx>
        <w:trPr>
          <w:trHeight w:val="63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加大对项目的支持指导力度，加强业务培训，提升新形势下检验检测工作能力与水平，扩大服务范围，进一步提升检验检测能力。加大对项目机构能力提升的财政保障，不断提升检验检测能力。</w:t>
            </w:r>
          </w:p>
        </w:tc>
      </w:tr>
      <w:tr>
        <w:tblPrEx>
          <w:tblCellMar>
            <w:top w:w="0" w:type="dxa"/>
            <w:left w:w="108" w:type="dxa"/>
            <w:bottom w:w="0" w:type="dxa"/>
            <w:right w:w="108" w:type="dxa"/>
          </w:tblCellMar>
        </w:tblPrEx>
        <w:trPr>
          <w:trHeight w:val="285" w:hRule="atLeast"/>
        </w:trPr>
        <w:tc>
          <w:tcPr>
            <w:tcW w:w="650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项目负责人：王禹陈</w:t>
            </w:r>
          </w:p>
        </w:tc>
        <w:tc>
          <w:tcPr>
            <w:tcW w:w="6279" w:type="dxa"/>
            <w:gridSpan w:val="6"/>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财务负责人：赵诗</w:t>
            </w:r>
          </w:p>
        </w:tc>
      </w:tr>
      <w:tr>
        <w:tblPrEx>
          <w:tblCellMar>
            <w:top w:w="0" w:type="dxa"/>
            <w:left w:w="108" w:type="dxa"/>
            <w:bottom w:w="0" w:type="dxa"/>
            <w:right w:w="108" w:type="dxa"/>
          </w:tblCellMar>
        </w:tblPrEx>
        <w:trPr>
          <w:trHeight w:val="285" w:hRule="atLeast"/>
        </w:trPr>
        <w:tc>
          <w:tcPr>
            <w:tcW w:w="61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81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58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2018"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5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1504"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59"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978"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48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c>
          <w:tcPr>
            <w:tcW w:w="2276"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p>
        </w:tc>
      </w:tr>
      <w:tr>
        <w:tblPrEx>
          <w:tblCellMar>
            <w:top w:w="0" w:type="dxa"/>
            <w:left w:w="108" w:type="dxa"/>
            <w:bottom w:w="0" w:type="dxa"/>
            <w:right w:w="108" w:type="dxa"/>
          </w:tblCellMar>
        </w:tblPrEx>
        <w:trPr>
          <w:trHeight w:val="903" w:hRule="atLeast"/>
        </w:trPr>
        <w:tc>
          <w:tcPr>
            <w:tcW w:w="1278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部门预算项目支出绩效自评表（2023年度）</w:t>
            </w:r>
          </w:p>
        </w:tc>
      </w:tr>
      <w:tr>
        <w:tblPrEx>
          <w:tblCellMar>
            <w:top w:w="0" w:type="dxa"/>
            <w:left w:w="108" w:type="dxa"/>
            <w:bottom w:w="0" w:type="dxa"/>
            <w:right w:w="108" w:type="dxa"/>
          </w:tblCellMar>
        </w:tblPrEx>
        <w:trPr>
          <w:trHeight w:val="285" w:hRule="atLeast"/>
        </w:trPr>
        <w:tc>
          <w:tcPr>
            <w:tcW w:w="2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0342"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51080024T000010968879-广元市产品质量监督检验所实验室信息管理系统国产化改造项目</w:t>
            </w:r>
          </w:p>
        </w:tc>
      </w:tr>
      <w:tr>
        <w:tblPrEx>
          <w:tblCellMar>
            <w:top w:w="0" w:type="dxa"/>
            <w:left w:w="108" w:type="dxa"/>
            <w:bottom w:w="0" w:type="dxa"/>
            <w:right w:w="108" w:type="dxa"/>
          </w:tblCellMar>
        </w:tblPrEx>
        <w:trPr>
          <w:trHeight w:val="513" w:hRule="atLeast"/>
        </w:trPr>
        <w:tc>
          <w:tcPr>
            <w:tcW w:w="2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广元市市场监督管理局部门</w:t>
            </w:r>
          </w:p>
        </w:tc>
        <w:tc>
          <w:tcPr>
            <w:tcW w:w="978" w:type="dxa"/>
            <w:tcBorders>
              <w:top w:val="nil"/>
              <w:left w:val="nil"/>
              <w:bottom w:val="nil"/>
              <w:right w:val="nil"/>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实施单位 （盖章）</w:t>
            </w:r>
          </w:p>
        </w:tc>
        <w:tc>
          <w:tcPr>
            <w:tcW w:w="33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广元市产品质量监督检验所</w:t>
            </w:r>
          </w:p>
        </w:tc>
      </w:tr>
      <w:tr>
        <w:tblPrEx>
          <w:tblCellMar>
            <w:top w:w="0" w:type="dxa"/>
            <w:left w:w="108" w:type="dxa"/>
            <w:bottom w:w="0" w:type="dxa"/>
            <w:right w:w="108" w:type="dxa"/>
          </w:tblCellMar>
        </w:tblPrEx>
        <w:trPr>
          <w:trHeight w:val="285"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8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4316"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Courier New" w:hAnsi="Courier New" w:cs="宋体"/>
                <w:color w:val="000000"/>
                <w:kern w:val="0"/>
                <w:sz w:val="18"/>
                <w:szCs w:val="18"/>
              </w:rPr>
            </w:pPr>
            <w:r>
              <w:rPr>
                <w:rFonts w:ascii="Courier New" w:hAnsi="Courier New" w:cs="宋体"/>
                <w:color w:val="000000"/>
                <w:kern w:val="0"/>
                <w:sz w:val="18"/>
                <w:szCs w:val="18"/>
              </w:rPr>
              <w:t>年度目标完成情况</w:t>
            </w:r>
          </w:p>
        </w:tc>
      </w:tr>
      <w:tr>
        <w:tblPrEx>
          <w:tblCellMar>
            <w:top w:w="0" w:type="dxa"/>
            <w:left w:w="108" w:type="dxa"/>
            <w:bottom w:w="0" w:type="dxa"/>
            <w:right w:w="108" w:type="dxa"/>
          </w:tblCellMar>
        </w:tblPrEx>
        <w:trPr>
          <w:trHeight w:val="90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6026"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xml:space="preserve">在2024年12月之前，完成实验室信息管理系统国产化改造，系统验收合格率100%，系统满足实验室数据处理需求，实现智能化管理，确保数据安全且适配国产化系统。 </w:t>
            </w:r>
          </w:p>
        </w:tc>
        <w:tc>
          <w:tcPr>
            <w:tcW w:w="4316"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此项目为财政2023年12月下达资金，2024年实施。</w:t>
            </w:r>
          </w:p>
        </w:tc>
      </w:tr>
      <w:tr>
        <w:tblPrEx>
          <w:tblCellMar>
            <w:top w:w="0" w:type="dxa"/>
            <w:left w:w="108" w:type="dxa"/>
            <w:bottom w:w="0" w:type="dxa"/>
            <w:right w:w="108" w:type="dxa"/>
          </w:tblCellMar>
        </w:tblPrEx>
        <w:trPr>
          <w:trHeight w:val="69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0342"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此项目为财政2023年12月下达资金，2024年实施。</w:t>
            </w:r>
          </w:p>
        </w:tc>
      </w:tr>
      <w:tr>
        <w:tblPrEx>
          <w:tblCellMar>
            <w:top w:w="0" w:type="dxa"/>
            <w:left w:w="108" w:type="dxa"/>
            <w:bottom w:w="0" w:type="dxa"/>
            <w:right w:w="108" w:type="dxa"/>
          </w:tblCellMar>
        </w:tblPrEx>
        <w:trPr>
          <w:trHeight w:val="360"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45"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78.58</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2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i/>
                <w:iCs/>
                <w:color w:val="000000"/>
                <w:kern w:val="0"/>
                <w:sz w:val="18"/>
                <w:szCs w:val="18"/>
              </w:rPr>
            </w:pPr>
            <w:r>
              <w:rPr>
                <w:rFonts w:ascii="Courier New" w:hAnsi="Courier New" w:cs="宋体"/>
                <w:i/>
                <w:iCs/>
                <w:color w:val="000000"/>
                <w:kern w:val="0"/>
                <w:sz w:val="18"/>
                <w:szCs w:val="18"/>
              </w:rPr>
              <w:t>此项目为财政2023年12月下达资金，2024年实施。</w:t>
            </w:r>
          </w:p>
        </w:tc>
      </w:tr>
      <w:tr>
        <w:tblPrEx>
          <w:tblCellMar>
            <w:top w:w="0" w:type="dxa"/>
            <w:left w:w="108" w:type="dxa"/>
            <w:bottom w:w="0" w:type="dxa"/>
            <w:right w:w="108" w:type="dxa"/>
          </w:tblCellMar>
        </w:tblPrEx>
        <w:trPr>
          <w:trHeight w:val="390"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78.58</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408"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360"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422"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宋体"/>
                <w:i/>
                <w:iCs/>
                <w:color w:val="000000"/>
                <w:kern w:val="0"/>
                <w:sz w:val="18"/>
                <w:szCs w:val="18"/>
              </w:rPr>
            </w:pPr>
          </w:p>
        </w:tc>
      </w:tr>
      <w:tr>
        <w:tblPrEx>
          <w:tblCellMar>
            <w:top w:w="0" w:type="dxa"/>
            <w:left w:w="108" w:type="dxa"/>
            <w:bottom w:w="0" w:type="dxa"/>
            <w:right w:w="108" w:type="dxa"/>
          </w:tblCellMar>
        </w:tblPrEx>
        <w:trPr>
          <w:trHeight w:val="453" w:hRule="atLeast"/>
        </w:trPr>
        <w:tc>
          <w:tcPr>
            <w:tcW w:w="6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2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45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完成实验室信息管理系统国产化改造</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批次</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22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此项目为财政2023年12月下达资金，2024年实施。</w:t>
            </w:r>
          </w:p>
        </w:tc>
      </w:tr>
      <w:tr>
        <w:tblPrEx>
          <w:tblCellMar>
            <w:top w:w="0" w:type="dxa"/>
            <w:left w:w="108" w:type="dxa"/>
            <w:bottom w:w="0" w:type="dxa"/>
            <w:right w:w="108" w:type="dxa"/>
          </w:tblCellMar>
        </w:tblPrEx>
        <w:trPr>
          <w:trHeight w:val="45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实验室信息管理系统国产化改造合格率</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微软雅黑" w:hAnsi="微软雅黑" w:eastAsia="微软雅黑" w:cs="宋体"/>
                <w:i/>
                <w:iCs/>
                <w:color w:val="000000"/>
                <w:kern w:val="0"/>
                <w:sz w:val="16"/>
                <w:szCs w:val="16"/>
              </w:rPr>
            </w:pPr>
          </w:p>
        </w:tc>
      </w:tr>
      <w:tr>
        <w:tblPrEx>
          <w:tblCellMar>
            <w:top w:w="0" w:type="dxa"/>
            <w:left w:w="108" w:type="dxa"/>
            <w:bottom w:w="0" w:type="dxa"/>
            <w:right w:w="108" w:type="dxa"/>
          </w:tblCellMar>
        </w:tblPrEx>
        <w:trPr>
          <w:trHeight w:val="45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在实施方案时间节点内完成</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微软雅黑" w:hAnsi="微软雅黑" w:eastAsia="微软雅黑" w:cs="宋体"/>
                <w:i/>
                <w:iCs/>
                <w:color w:val="000000"/>
                <w:kern w:val="0"/>
                <w:sz w:val="16"/>
                <w:szCs w:val="16"/>
              </w:rPr>
            </w:pPr>
          </w:p>
        </w:tc>
      </w:tr>
      <w:tr>
        <w:tblPrEx>
          <w:tblCellMar>
            <w:top w:w="0" w:type="dxa"/>
            <w:left w:w="108" w:type="dxa"/>
            <w:bottom w:w="0" w:type="dxa"/>
            <w:right w:w="108" w:type="dxa"/>
          </w:tblCellMar>
        </w:tblPrEx>
        <w:trPr>
          <w:trHeight w:val="45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提升检验检测效率，降低检验检测时间和成本</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级</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微软雅黑" w:hAnsi="微软雅黑" w:eastAsia="微软雅黑" w:cs="宋体"/>
                <w:i/>
                <w:iCs/>
                <w:color w:val="000000"/>
                <w:kern w:val="0"/>
                <w:sz w:val="16"/>
                <w:szCs w:val="16"/>
              </w:rPr>
            </w:pPr>
          </w:p>
        </w:tc>
      </w:tr>
      <w:tr>
        <w:tblPrEx>
          <w:tblCellMar>
            <w:top w:w="0" w:type="dxa"/>
            <w:left w:w="108" w:type="dxa"/>
            <w:bottom w:w="0" w:type="dxa"/>
            <w:right w:w="108" w:type="dxa"/>
          </w:tblCellMar>
        </w:tblPrEx>
        <w:trPr>
          <w:trHeight w:val="45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准确为政府质量监管部门提供质量检验信息和数据</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级</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微软雅黑" w:hAnsi="微软雅黑" w:eastAsia="微软雅黑" w:cs="宋体"/>
                <w:i/>
                <w:iCs/>
                <w:color w:val="000000"/>
                <w:kern w:val="0"/>
                <w:sz w:val="16"/>
                <w:szCs w:val="16"/>
              </w:rPr>
            </w:pPr>
          </w:p>
        </w:tc>
      </w:tr>
      <w:tr>
        <w:tblPrEx>
          <w:tblCellMar>
            <w:top w:w="0" w:type="dxa"/>
            <w:left w:w="108" w:type="dxa"/>
            <w:bottom w:w="0" w:type="dxa"/>
            <w:right w:w="108" w:type="dxa"/>
          </w:tblCellMar>
        </w:tblPrEx>
        <w:trPr>
          <w:trHeight w:val="135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可持续发展指标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保障实验室信息管理系统适配国产化系统，满足实验室数据处理需求，实现智能化管理，确保数据安全，产品质量安全，有效提升实验室管理水平</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级</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微软雅黑" w:hAnsi="微软雅黑" w:eastAsia="微软雅黑" w:cs="宋体"/>
                <w:i/>
                <w:iCs/>
                <w:color w:val="000000"/>
                <w:kern w:val="0"/>
                <w:sz w:val="16"/>
                <w:szCs w:val="16"/>
              </w:rPr>
            </w:pPr>
          </w:p>
        </w:tc>
      </w:tr>
      <w:tr>
        <w:tblPrEx>
          <w:tblCellMar>
            <w:top w:w="0" w:type="dxa"/>
            <w:left w:w="108" w:type="dxa"/>
            <w:bottom w:w="0" w:type="dxa"/>
            <w:right w:w="108" w:type="dxa"/>
          </w:tblCellMar>
        </w:tblPrEx>
        <w:trPr>
          <w:trHeight w:val="453"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服务对象满意度指标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客户使用满意度</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微软雅黑" w:hAnsi="微软雅黑" w:eastAsia="微软雅黑" w:cs="宋体"/>
                <w:i/>
                <w:iCs/>
                <w:color w:val="000000"/>
                <w:kern w:val="0"/>
                <w:sz w:val="16"/>
                <w:szCs w:val="16"/>
              </w:rPr>
            </w:pPr>
          </w:p>
        </w:tc>
      </w:tr>
      <w:tr>
        <w:tblPrEx>
          <w:tblCellMar>
            <w:top w:w="0" w:type="dxa"/>
            <w:left w:w="108" w:type="dxa"/>
            <w:bottom w:w="0" w:type="dxa"/>
            <w:right w:w="108" w:type="dxa"/>
          </w:tblCellMar>
        </w:tblPrEx>
        <w:trPr>
          <w:trHeight w:val="339" w:hRule="atLeast"/>
        </w:trPr>
        <w:tc>
          <w:tcPr>
            <w:tcW w:w="619"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1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成本指标</w:t>
            </w:r>
          </w:p>
        </w:tc>
        <w:tc>
          <w:tcPr>
            <w:tcW w:w="15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经济成本指标</w:t>
            </w:r>
          </w:p>
        </w:tc>
        <w:tc>
          <w:tcPr>
            <w:tcW w:w="201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系统国产化改造费用</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04"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459"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万元</w:t>
            </w:r>
          </w:p>
        </w:tc>
        <w:tc>
          <w:tcPr>
            <w:tcW w:w="978"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微软雅黑" w:hAnsi="微软雅黑" w:eastAsia="微软雅黑" w:cs="宋体"/>
                <w:i/>
                <w:iCs/>
                <w:color w:val="000000"/>
                <w:kern w:val="0"/>
                <w:sz w:val="16"/>
                <w:szCs w:val="16"/>
              </w:rPr>
            </w:pPr>
          </w:p>
        </w:tc>
      </w:tr>
      <w:tr>
        <w:tblPrEx>
          <w:tblCellMar>
            <w:top w:w="0" w:type="dxa"/>
            <w:left w:w="108" w:type="dxa"/>
            <w:bottom w:w="0" w:type="dxa"/>
            <w:right w:w="108" w:type="dxa"/>
          </w:tblCellMar>
        </w:tblPrEx>
        <w:trPr>
          <w:trHeight w:val="285" w:hRule="atLeast"/>
        </w:trPr>
        <w:tc>
          <w:tcPr>
            <w:tcW w:w="944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48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76"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2276"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微软雅黑" w:hAnsi="微软雅黑" w:eastAsia="微软雅黑" w:cs="宋体"/>
                <w:i/>
                <w:iCs/>
                <w:color w:val="000000"/>
                <w:kern w:val="0"/>
                <w:sz w:val="16"/>
                <w:szCs w:val="16"/>
              </w:rPr>
            </w:pPr>
          </w:p>
        </w:tc>
      </w:tr>
      <w:tr>
        <w:tblPrEx>
          <w:tblCellMar>
            <w:top w:w="0" w:type="dxa"/>
            <w:left w:w="108" w:type="dxa"/>
            <w:bottom w:w="0" w:type="dxa"/>
            <w:right w:w="108" w:type="dxa"/>
          </w:tblCellMar>
        </w:tblPrEx>
        <w:trPr>
          <w:trHeight w:val="60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此项目为财政2023年12月下达资金，2024年实施。</w:t>
            </w:r>
          </w:p>
        </w:tc>
      </w:tr>
      <w:tr>
        <w:tblPrEx>
          <w:tblCellMar>
            <w:top w:w="0" w:type="dxa"/>
            <w:left w:w="108" w:type="dxa"/>
            <w:bottom w:w="0" w:type="dxa"/>
            <w:right w:w="108" w:type="dxa"/>
          </w:tblCellMar>
        </w:tblPrEx>
        <w:trPr>
          <w:trHeight w:val="57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3" w:hRule="atLeast"/>
        </w:trPr>
        <w:tc>
          <w:tcPr>
            <w:tcW w:w="619"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2161"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650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项目负责人：朱睆</w:t>
            </w:r>
          </w:p>
        </w:tc>
        <w:tc>
          <w:tcPr>
            <w:tcW w:w="6279" w:type="dxa"/>
            <w:gridSpan w:val="6"/>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宋体"/>
                <w:color w:val="000000"/>
                <w:kern w:val="0"/>
                <w:sz w:val="18"/>
                <w:szCs w:val="18"/>
              </w:rPr>
            </w:pPr>
            <w:r>
              <w:rPr>
                <w:rFonts w:ascii="Courier New" w:hAnsi="Courier New" w:cs="宋体"/>
                <w:color w:val="000000"/>
                <w:kern w:val="0"/>
                <w:sz w:val="18"/>
                <w:szCs w:val="18"/>
              </w:rPr>
              <w:t>财务负责人：赵诗</w:t>
            </w:r>
          </w:p>
        </w:tc>
      </w:tr>
    </w:tbl>
    <w:p>
      <w:pPr>
        <w:pStyle w:val="8"/>
        <w:spacing w:line="560" w:lineRule="exact"/>
        <w:ind w:leftChars="0" w:firstLine="640"/>
        <w:rPr>
          <w:rFonts w:eastAsia="仿宋_GB2312" w:cs="仿宋"/>
          <w:sz w:val="32"/>
          <w:lang w:val="zh-CN"/>
        </w:rPr>
      </w:pPr>
    </w:p>
    <w:p>
      <w:pPr>
        <w:pStyle w:val="2"/>
        <w:rPr>
          <w:rFonts w:ascii="仿宋_GB2312" w:eastAsia="仿宋_GB2312" w:cs="仿宋"/>
          <w:kern w:val="0"/>
          <w:sz w:val="32"/>
          <w:szCs w:val="32"/>
        </w:rPr>
      </w:pPr>
    </w:p>
    <w:p>
      <w:pPr>
        <w:widowControl/>
        <w:suppressAutoHyphens w:val="0"/>
        <w:jc w:val="left"/>
        <w:sectPr>
          <w:pgSz w:w="16838" w:h="11906" w:orient="landscape"/>
          <w:pgMar w:top="1800" w:right="1440" w:bottom="1800" w:left="1440" w:header="720" w:footer="720" w:gutter="0"/>
          <w:cols w:space="720" w:num="1"/>
          <w:docGrid w:type="lines" w:linePitch="312" w:charSpace="0"/>
        </w:sectPr>
      </w:pPr>
    </w:p>
    <w:p>
      <w:pPr>
        <w:spacing w:line="600" w:lineRule="exact"/>
        <w:jc w:val="center"/>
        <w:outlineLvl w:val="0"/>
        <w:rPr>
          <w:rFonts w:ascii="仿宋" w:hAnsi="仿宋" w:eastAsia="仿宋"/>
        </w:rPr>
      </w:pPr>
      <w:bookmarkStart w:id="37" w:name="_Toc177552628"/>
      <w:r>
        <w:rPr>
          <w:rFonts w:hint="eastAsia" w:ascii="黑体" w:hAnsi="黑体" w:eastAsia="黑体"/>
          <w:sz w:val="44"/>
          <w:szCs w:val="44"/>
        </w:rPr>
        <w:t>第</w:t>
      </w:r>
      <w:r>
        <w:rPr>
          <w:rStyle w:val="21"/>
          <w:rFonts w:hint="eastAsia" w:ascii="黑体" w:hAnsi="黑体" w:eastAsia="黑体"/>
          <w:b w:val="0"/>
        </w:rPr>
        <w:t>五部分 附表</w:t>
      </w:r>
      <w:bookmarkEnd w:id="37"/>
    </w:p>
    <w:p>
      <w:pPr>
        <w:pStyle w:val="4"/>
        <w:rPr>
          <w:rFonts w:ascii="仿宋" w:hAnsi="仿宋" w:eastAsia="仿宋"/>
        </w:rPr>
      </w:pPr>
      <w:bookmarkStart w:id="38" w:name="_Toc177552629"/>
      <w:r>
        <w:rPr>
          <w:rFonts w:hint="eastAsia" w:ascii="仿宋" w:hAnsi="仿宋" w:eastAsia="仿宋"/>
          <w:b w:val="0"/>
        </w:rPr>
        <w:t>一、收</w:t>
      </w:r>
      <w:r>
        <w:rPr>
          <w:rStyle w:val="22"/>
          <w:rFonts w:hint="eastAsia" w:ascii="仿宋" w:hAnsi="仿宋" w:eastAsia="仿宋"/>
          <w:b w:val="0"/>
          <w:bCs w:val="0"/>
        </w:rPr>
        <w:t>入支出决算总表</w:t>
      </w:r>
      <w:bookmarkEnd w:id="38"/>
    </w:p>
    <w:p>
      <w:pPr>
        <w:pStyle w:val="4"/>
        <w:rPr>
          <w:rFonts w:ascii="仿宋" w:hAnsi="仿宋" w:eastAsia="仿宋"/>
        </w:rPr>
      </w:pPr>
      <w:bookmarkStart w:id="39" w:name="_Toc177552630"/>
      <w:r>
        <w:rPr>
          <w:rFonts w:hint="eastAsia" w:ascii="仿宋" w:hAnsi="仿宋" w:eastAsia="仿宋"/>
          <w:b w:val="0"/>
        </w:rPr>
        <w:t>二、收</w:t>
      </w:r>
      <w:r>
        <w:rPr>
          <w:rStyle w:val="22"/>
          <w:rFonts w:hint="eastAsia" w:ascii="仿宋" w:hAnsi="仿宋" w:eastAsia="仿宋"/>
          <w:b w:val="0"/>
          <w:bCs w:val="0"/>
        </w:rPr>
        <w:t>入决算表</w:t>
      </w:r>
      <w:bookmarkEnd w:id="39"/>
    </w:p>
    <w:p>
      <w:pPr>
        <w:pStyle w:val="4"/>
        <w:rPr>
          <w:rFonts w:ascii="仿宋" w:hAnsi="仿宋" w:eastAsia="仿宋"/>
        </w:rPr>
      </w:pPr>
      <w:bookmarkStart w:id="40" w:name="_Toc177552631"/>
      <w:r>
        <w:rPr>
          <w:rStyle w:val="22"/>
          <w:rFonts w:hint="eastAsia" w:ascii="仿宋" w:hAnsi="仿宋" w:eastAsia="仿宋"/>
          <w:b w:val="0"/>
          <w:bCs w:val="0"/>
        </w:rPr>
        <w:t>三、</w:t>
      </w:r>
      <w:r>
        <w:rPr>
          <w:rFonts w:hint="eastAsia" w:ascii="仿宋" w:hAnsi="仿宋" w:eastAsia="仿宋"/>
          <w:b w:val="0"/>
        </w:rPr>
        <w:t>支</w:t>
      </w:r>
      <w:r>
        <w:rPr>
          <w:rStyle w:val="22"/>
          <w:rFonts w:hint="eastAsia" w:ascii="仿宋" w:hAnsi="仿宋" w:eastAsia="仿宋"/>
          <w:b w:val="0"/>
          <w:bCs w:val="0"/>
        </w:rPr>
        <w:t>出决算表</w:t>
      </w:r>
      <w:bookmarkEnd w:id="40"/>
    </w:p>
    <w:p>
      <w:pPr>
        <w:pStyle w:val="4"/>
        <w:rPr>
          <w:rFonts w:ascii="仿宋" w:hAnsi="仿宋" w:eastAsia="仿宋"/>
          <w:b w:val="0"/>
        </w:rPr>
      </w:pPr>
      <w:bookmarkStart w:id="41" w:name="_Toc177552632"/>
      <w:r>
        <w:rPr>
          <w:rStyle w:val="22"/>
          <w:rFonts w:hint="eastAsia" w:ascii="仿宋" w:hAnsi="仿宋" w:eastAsia="仿宋"/>
          <w:b w:val="0"/>
          <w:bCs w:val="0"/>
        </w:rPr>
        <w:t>四、</w:t>
      </w:r>
      <w:r>
        <w:rPr>
          <w:rFonts w:hint="eastAsia" w:ascii="仿宋" w:hAnsi="仿宋" w:eastAsia="仿宋"/>
          <w:b w:val="0"/>
        </w:rPr>
        <w:t>财</w:t>
      </w:r>
      <w:r>
        <w:rPr>
          <w:rStyle w:val="22"/>
          <w:rFonts w:hint="eastAsia" w:ascii="仿宋" w:hAnsi="仿宋" w:eastAsia="仿宋"/>
          <w:b w:val="0"/>
          <w:bCs w:val="0"/>
        </w:rPr>
        <w:t>政拨款收入支出决算总表</w:t>
      </w:r>
      <w:bookmarkEnd w:id="41"/>
    </w:p>
    <w:p>
      <w:pPr>
        <w:pStyle w:val="4"/>
        <w:rPr>
          <w:rStyle w:val="22"/>
          <w:rFonts w:ascii="仿宋" w:hAnsi="仿宋" w:eastAsia="仿宋"/>
          <w:b w:val="0"/>
          <w:bCs w:val="0"/>
        </w:rPr>
      </w:pPr>
      <w:bookmarkStart w:id="42" w:name="_Toc177552633"/>
      <w:r>
        <w:rPr>
          <w:rStyle w:val="22"/>
          <w:rFonts w:hint="eastAsia" w:ascii="仿宋" w:hAnsi="仿宋" w:eastAsia="仿宋"/>
          <w:b w:val="0"/>
          <w:bCs w:val="0"/>
        </w:rPr>
        <w:t>五、</w:t>
      </w:r>
      <w:r>
        <w:rPr>
          <w:rFonts w:hint="eastAsia" w:ascii="仿宋" w:hAnsi="仿宋" w:eastAsia="仿宋"/>
          <w:b w:val="0"/>
        </w:rPr>
        <w:t>财</w:t>
      </w:r>
      <w:r>
        <w:rPr>
          <w:rStyle w:val="22"/>
          <w:rFonts w:hint="eastAsia" w:ascii="仿宋" w:hAnsi="仿宋" w:eastAsia="仿宋"/>
          <w:b w:val="0"/>
          <w:bCs w:val="0"/>
        </w:rPr>
        <w:t>政拨款支出决算明细表</w:t>
      </w:r>
      <w:bookmarkEnd w:id="42"/>
    </w:p>
    <w:p>
      <w:pPr>
        <w:pStyle w:val="4"/>
        <w:rPr>
          <w:rFonts w:ascii="仿宋" w:hAnsi="仿宋" w:eastAsia="仿宋"/>
        </w:rPr>
      </w:pPr>
      <w:bookmarkStart w:id="43" w:name="_Toc177552634"/>
      <w:r>
        <w:rPr>
          <w:rStyle w:val="22"/>
          <w:rFonts w:hint="eastAsia" w:ascii="仿宋" w:hAnsi="仿宋" w:eastAsia="仿宋"/>
          <w:b w:val="0"/>
          <w:bCs w:val="0"/>
        </w:rPr>
        <w:t>六、</w:t>
      </w:r>
      <w:r>
        <w:rPr>
          <w:rFonts w:hint="eastAsia" w:ascii="仿宋" w:hAnsi="仿宋" w:eastAsia="仿宋"/>
          <w:b w:val="0"/>
        </w:rPr>
        <w:t>一</w:t>
      </w:r>
      <w:r>
        <w:rPr>
          <w:rStyle w:val="22"/>
          <w:rFonts w:hint="eastAsia" w:ascii="仿宋" w:hAnsi="仿宋" w:eastAsia="仿宋"/>
          <w:b w:val="0"/>
          <w:bCs w:val="0"/>
        </w:rPr>
        <w:t>般公共预算财政拨款支出决算表</w:t>
      </w:r>
      <w:bookmarkEnd w:id="43"/>
    </w:p>
    <w:p>
      <w:pPr>
        <w:pStyle w:val="4"/>
        <w:rPr>
          <w:rFonts w:ascii="仿宋" w:hAnsi="仿宋" w:eastAsia="仿宋"/>
        </w:rPr>
      </w:pPr>
      <w:bookmarkStart w:id="44" w:name="_Toc177552635"/>
      <w:r>
        <w:rPr>
          <w:rStyle w:val="22"/>
          <w:rFonts w:hint="eastAsia" w:ascii="仿宋" w:hAnsi="仿宋" w:eastAsia="仿宋"/>
          <w:b w:val="0"/>
          <w:bCs w:val="0"/>
        </w:rPr>
        <w:t>七、</w:t>
      </w:r>
      <w:r>
        <w:rPr>
          <w:rFonts w:hint="eastAsia" w:ascii="仿宋" w:hAnsi="仿宋" w:eastAsia="仿宋"/>
          <w:b w:val="0"/>
        </w:rPr>
        <w:t>一</w:t>
      </w:r>
      <w:r>
        <w:rPr>
          <w:rStyle w:val="22"/>
          <w:rFonts w:hint="eastAsia" w:ascii="仿宋" w:hAnsi="仿宋" w:eastAsia="仿宋"/>
          <w:b w:val="0"/>
          <w:bCs w:val="0"/>
        </w:rPr>
        <w:t>般公共预算财政拨款支出决算明细表</w:t>
      </w:r>
      <w:bookmarkEnd w:id="44"/>
    </w:p>
    <w:p>
      <w:pPr>
        <w:pStyle w:val="4"/>
        <w:rPr>
          <w:rFonts w:ascii="仿宋" w:hAnsi="仿宋" w:eastAsia="仿宋"/>
        </w:rPr>
      </w:pPr>
      <w:bookmarkStart w:id="45" w:name="_Toc177552636"/>
      <w:r>
        <w:rPr>
          <w:rStyle w:val="22"/>
          <w:rFonts w:hint="eastAsia" w:ascii="仿宋" w:hAnsi="仿宋" w:eastAsia="仿宋"/>
          <w:b w:val="0"/>
          <w:bCs w:val="0"/>
        </w:rPr>
        <w:t>八、</w:t>
      </w:r>
      <w:r>
        <w:rPr>
          <w:rFonts w:hint="eastAsia" w:ascii="仿宋" w:hAnsi="仿宋" w:eastAsia="仿宋"/>
          <w:b w:val="0"/>
        </w:rPr>
        <w:t>一</w:t>
      </w:r>
      <w:r>
        <w:rPr>
          <w:rStyle w:val="22"/>
          <w:rFonts w:hint="eastAsia" w:ascii="仿宋" w:hAnsi="仿宋" w:eastAsia="仿宋"/>
          <w:b w:val="0"/>
          <w:bCs w:val="0"/>
        </w:rPr>
        <w:t>般公共预算财政拨款基本支出决算表</w:t>
      </w:r>
      <w:bookmarkEnd w:id="45"/>
    </w:p>
    <w:p>
      <w:pPr>
        <w:pStyle w:val="4"/>
        <w:rPr>
          <w:rFonts w:ascii="仿宋" w:hAnsi="仿宋" w:eastAsia="仿宋"/>
        </w:rPr>
      </w:pPr>
      <w:bookmarkStart w:id="46" w:name="_Toc177552637"/>
      <w:r>
        <w:rPr>
          <w:rStyle w:val="22"/>
          <w:rFonts w:hint="eastAsia" w:ascii="仿宋" w:hAnsi="仿宋" w:eastAsia="仿宋"/>
          <w:b w:val="0"/>
          <w:bCs w:val="0"/>
        </w:rPr>
        <w:t>九、</w:t>
      </w:r>
      <w:r>
        <w:rPr>
          <w:rFonts w:hint="eastAsia" w:ascii="仿宋" w:hAnsi="仿宋" w:eastAsia="仿宋"/>
          <w:b w:val="0"/>
        </w:rPr>
        <w:t>一</w:t>
      </w:r>
      <w:r>
        <w:rPr>
          <w:rStyle w:val="22"/>
          <w:rFonts w:hint="eastAsia" w:ascii="仿宋" w:hAnsi="仿宋" w:eastAsia="仿宋"/>
          <w:b w:val="0"/>
          <w:bCs w:val="0"/>
        </w:rPr>
        <w:t>般公共预算财政拨款项目支出决算表</w:t>
      </w:r>
      <w:bookmarkEnd w:id="46"/>
    </w:p>
    <w:p>
      <w:pPr>
        <w:pStyle w:val="4"/>
        <w:rPr>
          <w:rFonts w:ascii="仿宋" w:hAnsi="仿宋" w:eastAsia="仿宋"/>
        </w:rPr>
      </w:pPr>
      <w:bookmarkStart w:id="47" w:name="_Toc177552638"/>
      <w:r>
        <w:rPr>
          <w:rStyle w:val="22"/>
          <w:rFonts w:hint="eastAsia" w:ascii="仿宋" w:hAnsi="仿宋" w:eastAsia="仿宋"/>
          <w:b w:val="0"/>
          <w:bCs w:val="0"/>
        </w:rPr>
        <w:t>十、</w:t>
      </w:r>
      <w:r>
        <w:rPr>
          <w:rFonts w:hint="eastAsia" w:ascii="仿宋" w:hAnsi="仿宋" w:eastAsia="仿宋"/>
          <w:b w:val="0"/>
        </w:rPr>
        <w:t>政</w:t>
      </w:r>
      <w:r>
        <w:rPr>
          <w:rStyle w:val="22"/>
          <w:rFonts w:hint="eastAsia" w:ascii="仿宋" w:hAnsi="仿宋" w:eastAsia="仿宋"/>
          <w:b w:val="0"/>
          <w:bCs w:val="0"/>
        </w:rPr>
        <w:t>府性基金预算财政拨款收入支出决算表</w:t>
      </w:r>
      <w:bookmarkEnd w:id="47"/>
    </w:p>
    <w:p>
      <w:pPr>
        <w:pStyle w:val="4"/>
        <w:rPr>
          <w:rFonts w:ascii="仿宋" w:hAnsi="仿宋" w:eastAsia="仿宋"/>
        </w:rPr>
      </w:pPr>
      <w:bookmarkStart w:id="48" w:name="_Toc177552639"/>
      <w:r>
        <w:rPr>
          <w:rStyle w:val="22"/>
          <w:rFonts w:hint="eastAsia" w:ascii="仿宋" w:hAnsi="仿宋" w:eastAsia="仿宋"/>
          <w:b w:val="0"/>
          <w:bCs w:val="0"/>
        </w:rPr>
        <w:t>十一、</w:t>
      </w:r>
      <w:r>
        <w:rPr>
          <w:rFonts w:hint="eastAsia" w:ascii="仿宋" w:hAnsi="仿宋" w:eastAsia="仿宋"/>
          <w:b w:val="0"/>
        </w:rPr>
        <w:t>国</w:t>
      </w:r>
      <w:r>
        <w:rPr>
          <w:rStyle w:val="22"/>
          <w:rFonts w:hint="eastAsia" w:ascii="仿宋" w:hAnsi="仿宋" w:eastAsia="仿宋"/>
          <w:b w:val="0"/>
          <w:bCs w:val="0"/>
        </w:rPr>
        <w:t>有资本经营预算财政拨款收入支出决算表</w:t>
      </w:r>
      <w:bookmarkEnd w:id="48"/>
    </w:p>
    <w:p>
      <w:pPr>
        <w:pStyle w:val="4"/>
        <w:rPr>
          <w:rFonts w:ascii="仿宋" w:hAnsi="仿宋" w:eastAsia="仿宋"/>
        </w:rPr>
      </w:pPr>
      <w:bookmarkStart w:id="49" w:name="_Toc177552640"/>
      <w:r>
        <w:rPr>
          <w:rStyle w:val="22"/>
          <w:rFonts w:hint="eastAsia" w:ascii="仿宋" w:hAnsi="仿宋" w:eastAsia="仿宋"/>
          <w:b w:val="0"/>
          <w:bCs w:val="0"/>
        </w:rPr>
        <w:t>十二、国有资本经营预算财政拨款支出决算表</w:t>
      </w:r>
      <w:bookmarkEnd w:id="49"/>
    </w:p>
    <w:p>
      <w:pPr>
        <w:pStyle w:val="4"/>
        <w:rPr>
          <w:rFonts w:eastAsia="仿宋"/>
        </w:rPr>
      </w:pPr>
      <w:bookmarkStart w:id="50" w:name="_Toc177552641"/>
      <w:r>
        <w:rPr>
          <w:rStyle w:val="22"/>
          <w:rFonts w:hint="eastAsia" w:ascii="仿宋" w:hAnsi="仿宋" w:eastAsia="仿宋"/>
          <w:b w:val="0"/>
          <w:bCs w:val="0"/>
        </w:rPr>
        <w:t>十三、财政拨款“三公”经费支出决算表</w:t>
      </w:r>
      <w:bookmarkEnd w:id="50"/>
    </w:p>
    <w:p/>
    <w:sectPr>
      <w:pgSz w:w="11906" w:h="16838"/>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FB" w:usb2="0000002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Lucida Sans"/>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roman"/>
    <w:pitch w:val="default"/>
    <w:sig w:usb0="00000000" w:usb1="00000000"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Liberation Sans">
    <w:altName w:val="华文中宋"/>
    <w:panose1 w:val="00000000000000000000"/>
    <w:charset w:val="00"/>
    <w:family w:val="swiss"/>
    <w:pitch w:val="default"/>
    <w:sig w:usb0="00000000" w:usb1="00000000" w:usb2="00000000" w:usb3="00000000" w:csb0="00040001" w:csb1="00000000"/>
  </w:font>
  <w:font w:name="Noto Sans CJK SC Regular">
    <w:panose1 w:val="020B0500000000000000"/>
    <w:charset w:val="86"/>
    <w:family w:val="auto"/>
    <w:pitch w:val="default"/>
    <w:sig w:usb0="30000003" w:usb1="2BDF3C10" w:usb2="00000016" w:usb3="00000000" w:csb0="602E0107" w:csb1="00000000"/>
  </w:font>
  <w:font w:name="方正小标宋简体">
    <w:panose1 w:val="02000000000000000000"/>
    <w:charset w:val="86"/>
    <w:family w:val="script"/>
    <w:pitch w:val="default"/>
    <w:sig w:usb0="A00002BF" w:usb1="184F6CFA" w:usb2="00000012" w:usb3="00000000" w:csb0="00040001" w:csb1="00000000"/>
  </w:font>
  <w:font w:name="微软雅黑">
    <w:altName w:val="黑体"/>
    <w:panose1 w:val="020B0503020204020204"/>
    <w:charset w:val="86"/>
    <w:family w:val="swiss"/>
    <w:pitch w:val="default"/>
    <w:sig w:usb0="00000000" w:usb1="00000000" w:usb2="00000016" w:usb3="00000000" w:csb0="0004001F" w:csb1="00000000"/>
  </w:font>
  <w:font w:name="Lucida Sans">
    <w:panose1 w:val="020B0602030504020204"/>
    <w:charset w:val="00"/>
    <w:family w:val="auto"/>
    <w:pitch w:val="default"/>
    <w:sig w:usb0="00000000" w:usb1="00000000" w:usb2="00000000" w:usb3="00000000" w:csb0="00000000" w:csb1="00000000"/>
  </w:font>
  <w:font w:name="Comic Sans MS">
    <w:panose1 w:val="030F0702030302020204"/>
    <w:charset w:val="00"/>
    <w:family w:val="auto"/>
    <w:pitch w:val="default"/>
    <w:sig w:usb0="00000287" w:usb1="00000000" w:usb2="00000000" w:usb3="00000000" w:csb0="2000009F" w:csb1="00000000"/>
  </w:font>
  <w:font w:name="Noto Sans Syriac Eastern">
    <w:panose1 w:val="02040503050306020203"/>
    <w:charset w:val="86"/>
    <w:family w:val="auto"/>
    <w:pitch w:val="default"/>
    <w:sig w:usb0="00000000" w:usb1="00000000" w:usb2="00000080" w:usb3="00000000" w:csb0="203E0161" w:csb1="D7FF0000"/>
  </w:font>
  <w:font w:name="方正宋体S-超大字符集">
    <w:panose1 w:val="02000000000000000000"/>
    <w:charset w:val="86"/>
    <w:family w:val="auto"/>
    <w:pitch w:val="default"/>
    <w:sig w:usb0="00000001" w:usb1="0800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178103"/>
      <w:docPartObj>
        <w:docPartGallery w:val="autotext"/>
      </w:docPartObj>
    </w:sdtPr>
    <w:sdtContent>
      <w:p>
        <w:pPr>
          <w:pStyle w:val="11"/>
          <w:jc w:val="center"/>
        </w:pPr>
        <w:r>
          <w:fldChar w:fldCharType="begin"/>
        </w:r>
        <w:r>
          <w:instrText xml:space="preserve"> PAGE   \* MERGEFORMAT </w:instrText>
        </w:r>
        <w:r>
          <w:fldChar w:fldCharType="separate"/>
        </w:r>
        <w:r>
          <w:rPr>
            <w:lang w:val="zh-CN"/>
          </w:rPr>
          <w:t>15</w:t>
        </w:r>
        <w:r>
          <w:rPr>
            <w:lang w:val="zh-CN"/>
          </w:rPr>
          <w:fldChar w:fldCharType="end"/>
        </w:r>
      </w:p>
    </w:sdtContent>
  </w:sdt>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1">
    <w:nsid w:val="3818A09A"/>
    <w:multiLevelType w:val="singleLevel"/>
    <w:tmpl w:val="3818A09A"/>
    <w:lvl w:ilvl="0" w:tentative="0">
      <w:start w:val="1"/>
      <w:numFmt w:val="chineseCounting"/>
      <w:suff w:val="nothing"/>
      <w:lvlText w:val="%1、"/>
      <w:lvlJc w:val="left"/>
      <w:rPr>
        <w:rFonts w:hint="eastAsia"/>
      </w:rPr>
    </w:lvl>
  </w:abstractNum>
  <w:abstractNum w:abstractNumId="2">
    <w:nsid w:val="7B49F5ED"/>
    <w:multiLevelType w:val="singleLevel"/>
    <w:tmpl w:val="7B49F5ED"/>
    <w:lvl w:ilvl="0" w:tentative="0">
      <w:start w:val="1"/>
      <w:numFmt w:val="decimal"/>
      <w:suff w:val="nothing"/>
      <w:lvlText w:val="%1．"/>
      <w:lvlJc w:val="left"/>
      <w:pPr>
        <w:ind w:left="0" w:firstLine="400"/>
      </w:pPr>
      <w:rPr>
        <w:rFonts w:hint="default" w:ascii="Times New Roman" w:hAnsi="Times New Roman" w:cs="Times New Roman"/>
        <w:b w:val="0"/>
        <w:bCs w:val="0"/>
        <w:sz w:val="32"/>
        <w:szCs w:val="32"/>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true"/>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0"/>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c2ZGZiNzZiNDVlOGViOWVmM2JhOTY0NGJkNjUyYzgifQ=="/>
  </w:docVars>
  <w:rsids>
    <w:rsidRoot w:val="005D5F15"/>
    <w:rsid w:val="00007416"/>
    <w:rsid w:val="00056027"/>
    <w:rsid w:val="00062EC3"/>
    <w:rsid w:val="000D0218"/>
    <w:rsid w:val="001057A6"/>
    <w:rsid w:val="00110D47"/>
    <w:rsid w:val="00187C41"/>
    <w:rsid w:val="0019264B"/>
    <w:rsid w:val="001D2684"/>
    <w:rsid w:val="001D2A67"/>
    <w:rsid w:val="001D4E53"/>
    <w:rsid w:val="00215738"/>
    <w:rsid w:val="002646D5"/>
    <w:rsid w:val="002807FE"/>
    <w:rsid w:val="002D72B7"/>
    <w:rsid w:val="0030569A"/>
    <w:rsid w:val="003515A2"/>
    <w:rsid w:val="003701E4"/>
    <w:rsid w:val="00387625"/>
    <w:rsid w:val="003938FD"/>
    <w:rsid w:val="003C4A7F"/>
    <w:rsid w:val="003F077E"/>
    <w:rsid w:val="003F174E"/>
    <w:rsid w:val="003F2773"/>
    <w:rsid w:val="003F38F8"/>
    <w:rsid w:val="00451016"/>
    <w:rsid w:val="0045320E"/>
    <w:rsid w:val="004727B3"/>
    <w:rsid w:val="00496021"/>
    <w:rsid w:val="004A5B9E"/>
    <w:rsid w:val="004F1D19"/>
    <w:rsid w:val="00552354"/>
    <w:rsid w:val="00554E5B"/>
    <w:rsid w:val="005710DA"/>
    <w:rsid w:val="005A1116"/>
    <w:rsid w:val="005A423E"/>
    <w:rsid w:val="005A7B22"/>
    <w:rsid w:val="005B055A"/>
    <w:rsid w:val="005D0ECE"/>
    <w:rsid w:val="005D5F15"/>
    <w:rsid w:val="00602769"/>
    <w:rsid w:val="006160D6"/>
    <w:rsid w:val="00651485"/>
    <w:rsid w:val="00655F1B"/>
    <w:rsid w:val="0066278E"/>
    <w:rsid w:val="00696E86"/>
    <w:rsid w:val="006B47D2"/>
    <w:rsid w:val="007C48EE"/>
    <w:rsid w:val="008856E3"/>
    <w:rsid w:val="00893AF4"/>
    <w:rsid w:val="00893C6A"/>
    <w:rsid w:val="008A4AB3"/>
    <w:rsid w:val="0094506A"/>
    <w:rsid w:val="00962392"/>
    <w:rsid w:val="0099044D"/>
    <w:rsid w:val="009D355A"/>
    <w:rsid w:val="009E45FB"/>
    <w:rsid w:val="00A4151D"/>
    <w:rsid w:val="00AD2BC7"/>
    <w:rsid w:val="00B378EF"/>
    <w:rsid w:val="00B86B6C"/>
    <w:rsid w:val="00B911F2"/>
    <w:rsid w:val="00BA10A0"/>
    <w:rsid w:val="00C064CC"/>
    <w:rsid w:val="00C440AA"/>
    <w:rsid w:val="00C52639"/>
    <w:rsid w:val="00C64DE7"/>
    <w:rsid w:val="00C807C5"/>
    <w:rsid w:val="00CB4EE9"/>
    <w:rsid w:val="00CC11BE"/>
    <w:rsid w:val="00CE732D"/>
    <w:rsid w:val="00CF1064"/>
    <w:rsid w:val="00CF7531"/>
    <w:rsid w:val="00D4005A"/>
    <w:rsid w:val="00D44C7F"/>
    <w:rsid w:val="00D55BBE"/>
    <w:rsid w:val="00DE08CF"/>
    <w:rsid w:val="00DF3052"/>
    <w:rsid w:val="00E03C43"/>
    <w:rsid w:val="00E37293"/>
    <w:rsid w:val="00E92D81"/>
    <w:rsid w:val="00EB0E7E"/>
    <w:rsid w:val="00ED37F8"/>
    <w:rsid w:val="00F52D77"/>
    <w:rsid w:val="00F574F2"/>
    <w:rsid w:val="00F71E91"/>
    <w:rsid w:val="00F76A70"/>
    <w:rsid w:val="00F95E3F"/>
    <w:rsid w:val="07D360D6"/>
    <w:rsid w:val="27F59F5C"/>
    <w:rsid w:val="373F1D59"/>
    <w:rsid w:val="3DDFD299"/>
    <w:rsid w:val="3F7D9A4A"/>
    <w:rsid w:val="6FF76E73"/>
    <w:rsid w:val="72F90CB6"/>
    <w:rsid w:val="79B6A395"/>
    <w:rsid w:val="7BFFE41D"/>
    <w:rsid w:val="7CB17E02"/>
    <w:rsid w:val="7EB37C5E"/>
    <w:rsid w:val="B5B9744D"/>
    <w:rsid w:val="CBFE919C"/>
    <w:rsid w:val="DE6DA011"/>
    <w:rsid w:val="EDDBD81C"/>
    <w:rsid w:val="EFFD707F"/>
    <w:rsid w:val="F375EAB6"/>
    <w:rsid w:val="F6FF4A73"/>
    <w:rsid w:val="FF5FD7E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99"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uppressAutoHyphens/>
      <w:jc w:val="both"/>
    </w:pPr>
    <w:rPr>
      <w:rFonts w:ascii="Calibri" w:hAnsi="Calibri" w:eastAsia="宋体" w:cs="Times New Roman"/>
      <w:kern w:val="2"/>
      <w:sz w:val="21"/>
      <w:szCs w:val="24"/>
      <w:lang w:val="en-US" w:eastAsia="zh-CN" w:bidi="ar-SA"/>
    </w:rPr>
  </w:style>
  <w:style w:type="paragraph" w:styleId="3">
    <w:name w:val="heading 1"/>
    <w:basedOn w:val="1"/>
    <w:next w:val="1"/>
    <w:link w:val="21"/>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2"/>
    <w:qFormat/>
    <w:uiPriority w:val="9"/>
    <w:pPr>
      <w:keepNext/>
      <w:keepLines/>
      <w:spacing w:before="260" w:after="260" w:line="416" w:lineRule="auto"/>
      <w:outlineLvl w:val="1"/>
    </w:pPr>
    <w:rPr>
      <w:rFonts w:ascii="Cambria" w:hAnsi="Cambria"/>
      <w:b/>
      <w:bCs/>
      <w:sz w:val="32"/>
      <w:szCs w:val="32"/>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3"/>
    <w:qFormat/>
    <w:uiPriority w:val="99"/>
    <w:pPr>
      <w:spacing w:after="140" w:line="276" w:lineRule="auto"/>
    </w:pPr>
  </w:style>
  <w:style w:type="paragraph" w:styleId="5">
    <w:name w:val="caption"/>
    <w:basedOn w:val="1"/>
    <w:next w:val="1"/>
    <w:qFormat/>
    <w:uiPriority w:val="0"/>
    <w:pPr>
      <w:suppressLineNumbers/>
      <w:spacing w:before="120" w:after="120"/>
    </w:pPr>
    <w:rPr>
      <w:i/>
      <w:iCs/>
      <w:sz w:val="24"/>
    </w:rPr>
  </w:style>
  <w:style w:type="paragraph" w:styleId="6">
    <w:name w:val="index 6"/>
    <w:basedOn w:val="1"/>
    <w:next w:val="1"/>
    <w:qFormat/>
    <w:uiPriority w:val="0"/>
    <w:pPr>
      <w:ind w:left="2100"/>
      <w:jc w:val="center"/>
    </w:pPr>
  </w:style>
  <w:style w:type="paragraph" w:styleId="7">
    <w:name w:val="Body Text Indent"/>
    <w:basedOn w:val="1"/>
    <w:next w:val="8"/>
    <w:qFormat/>
    <w:uiPriority w:val="0"/>
    <w:pPr>
      <w:spacing w:after="120"/>
      <w:ind w:left="200" w:leftChars="200"/>
    </w:pPr>
    <w:rPr>
      <w:rFonts w:ascii="仿宋_GB2312"/>
      <w:szCs w:val="32"/>
    </w:rPr>
  </w:style>
  <w:style w:type="paragraph" w:styleId="8">
    <w:name w:val="Body Text First Indent 2"/>
    <w:basedOn w:val="7"/>
    <w:next w:val="6"/>
    <w:unhideWhenUsed/>
    <w:qFormat/>
    <w:uiPriority w:val="99"/>
    <w:pPr>
      <w:ind w:firstLine="420" w:firstLineChars="200"/>
    </w:pPr>
  </w:style>
  <w:style w:type="paragraph" w:styleId="9">
    <w:name w:val="toc 3"/>
    <w:basedOn w:val="1"/>
    <w:next w:val="1"/>
    <w:qFormat/>
    <w:uiPriority w:val="39"/>
    <w:pPr>
      <w:ind w:left="840" w:leftChars="400"/>
    </w:pPr>
  </w:style>
  <w:style w:type="paragraph" w:styleId="10">
    <w:name w:val="Balloon Text"/>
    <w:basedOn w:val="1"/>
    <w:link w:val="31"/>
    <w:qFormat/>
    <w:uiPriority w:val="0"/>
    <w:rPr>
      <w:sz w:val="18"/>
      <w:szCs w:val="18"/>
    </w:rPr>
  </w:style>
  <w:style w:type="paragraph" w:styleId="11">
    <w:name w:val="footer"/>
    <w:basedOn w:val="1"/>
    <w:link w:val="30"/>
    <w:qFormat/>
    <w:uiPriority w:val="99"/>
    <w:pPr>
      <w:tabs>
        <w:tab w:val="center" w:pos="4153"/>
        <w:tab w:val="right" w:pos="8306"/>
      </w:tabs>
      <w:snapToGrid w:val="0"/>
      <w:jc w:val="left"/>
    </w:pPr>
    <w:rPr>
      <w:sz w:val="18"/>
      <w:szCs w:val="18"/>
    </w:rPr>
  </w:style>
  <w:style w:type="paragraph" w:styleId="12">
    <w:name w:val="header"/>
    <w:basedOn w:val="1"/>
    <w:link w:val="29"/>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List"/>
    <w:basedOn w:val="2"/>
    <w:qFormat/>
    <w:uiPriority w:val="0"/>
  </w:style>
  <w:style w:type="paragraph" w:styleId="15">
    <w:name w:val="footnote text"/>
    <w:basedOn w:val="1"/>
    <w:next w:val="8"/>
    <w:semiHidden/>
    <w:qFormat/>
    <w:uiPriority w:val="0"/>
    <w:pPr>
      <w:snapToGrid w:val="0"/>
      <w:jc w:val="left"/>
    </w:pPr>
    <w:rPr>
      <w:sz w:val="18"/>
      <w:szCs w:val="18"/>
    </w:rPr>
  </w:style>
  <w:style w:type="paragraph" w:styleId="16">
    <w:name w:val="toc 2"/>
    <w:basedOn w:val="1"/>
    <w:next w:val="1"/>
    <w:unhideWhenUsed/>
    <w:qFormat/>
    <w:uiPriority w:val="39"/>
    <w:pPr>
      <w:tabs>
        <w:tab w:val="right" w:leader="dot" w:pos="8296"/>
      </w:tabs>
      <w:ind w:left="420" w:leftChars="200"/>
    </w:pPr>
  </w:style>
  <w:style w:type="character" w:styleId="19">
    <w:name w:val="Strong"/>
    <w:basedOn w:val="18"/>
    <w:qFormat/>
    <w:uiPriority w:val="99"/>
    <w:rPr>
      <w:b/>
    </w:rPr>
  </w:style>
  <w:style w:type="character" w:styleId="20">
    <w:name w:val="Hyperlink"/>
    <w:basedOn w:val="18"/>
    <w:unhideWhenUsed/>
    <w:qFormat/>
    <w:uiPriority w:val="99"/>
    <w:rPr>
      <w:color w:val="0000FF" w:themeColor="hyperlink"/>
      <w:u w:val="single"/>
    </w:rPr>
  </w:style>
  <w:style w:type="character" w:customStyle="1" w:styleId="21">
    <w:name w:val="标题 1 Char"/>
    <w:basedOn w:val="18"/>
    <w:link w:val="3"/>
    <w:qFormat/>
    <w:uiPriority w:val="9"/>
    <w:rPr>
      <w:b/>
      <w:bCs/>
      <w:kern w:val="44"/>
      <w:sz w:val="44"/>
      <w:szCs w:val="44"/>
    </w:rPr>
  </w:style>
  <w:style w:type="character" w:customStyle="1" w:styleId="22">
    <w:name w:val="标题 2 Char"/>
    <w:basedOn w:val="18"/>
    <w:link w:val="4"/>
    <w:qFormat/>
    <w:uiPriority w:val="9"/>
    <w:rPr>
      <w:rFonts w:ascii="Cambria" w:hAnsi="Cambria" w:eastAsia="宋体" w:cs="Times New Roman"/>
      <w:b/>
      <w:bCs/>
      <w:sz w:val="32"/>
      <w:szCs w:val="32"/>
    </w:rPr>
  </w:style>
  <w:style w:type="character" w:customStyle="1" w:styleId="23">
    <w:name w:val="正文文本 Char"/>
    <w:basedOn w:val="18"/>
    <w:link w:val="2"/>
    <w:qFormat/>
    <w:uiPriority w:val="99"/>
    <w:rPr>
      <w:rFonts w:ascii="Calibri" w:hAnsi="Calibri"/>
      <w:kern w:val="2"/>
      <w:sz w:val="21"/>
      <w:szCs w:val="24"/>
    </w:rPr>
  </w:style>
  <w:style w:type="character" w:customStyle="1" w:styleId="24">
    <w:name w:val="默认段落字体1"/>
    <w:qFormat/>
    <w:uiPriority w:val="0"/>
  </w:style>
  <w:style w:type="paragraph" w:customStyle="1" w:styleId="25">
    <w:name w:val="Heading"/>
    <w:basedOn w:val="1"/>
    <w:next w:val="2"/>
    <w:qFormat/>
    <w:uiPriority w:val="0"/>
    <w:pPr>
      <w:keepNext/>
      <w:spacing w:before="240" w:after="120"/>
    </w:pPr>
    <w:rPr>
      <w:rFonts w:ascii="Liberation Sans" w:hAnsi="Liberation Sans" w:eastAsia="Noto Sans CJK SC Regular" w:cs="Noto Sans CJK SC Regular"/>
      <w:sz w:val="28"/>
      <w:szCs w:val="28"/>
    </w:rPr>
  </w:style>
  <w:style w:type="paragraph" w:customStyle="1" w:styleId="26">
    <w:name w:val="Index"/>
    <w:basedOn w:val="1"/>
    <w:qFormat/>
    <w:uiPriority w:val="0"/>
    <w:pPr>
      <w:suppressLineNumbers/>
    </w:pPr>
  </w:style>
  <w:style w:type="paragraph" w:styleId="27">
    <w:name w:val="List Paragraph"/>
    <w:basedOn w:val="1"/>
    <w:qFormat/>
    <w:uiPriority w:val="34"/>
    <w:pPr>
      <w:ind w:firstLine="420" w:firstLineChars="200"/>
    </w:pPr>
  </w:style>
  <w:style w:type="paragraph" w:customStyle="1" w:styleId="28">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character" w:customStyle="1" w:styleId="29">
    <w:name w:val="页眉 Char"/>
    <w:basedOn w:val="18"/>
    <w:link w:val="12"/>
    <w:qFormat/>
    <w:uiPriority w:val="0"/>
    <w:rPr>
      <w:rFonts w:ascii="Calibri" w:hAnsi="Calibri"/>
      <w:kern w:val="2"/>
      <w:sz w:val="18"/>
      <w:szCs w:val="18"/>
    </w:rPr>
  </w:style>
  <w:style w:type="character" w:customStyle="1" w:styleId="30">
    <w:name w:val="页脚 Char"/>
    <w:basedOn w:val="18"/>
    <w:link w:val="11"/>
    <w:qFormat/>
    <w:uiPriority w:val="99"/>
    <w:rPr>
      <w:rFonts w:ascii="Calibri" w:hAnsi="Calibri"/>
      <w:kern w:val="2"/>
      <w:sz w:val="18"/>
      <w:szCs w:val="18"/>
    </w:rPr>
  </w:style>
  <w:style w:type="character" w:customStyle="1" w:styleId="31">
    <w:name w:val="批注框文本 Char"/>
    <w:basedOn w:val="18"/>
    <w:link w:val="10"/>
    <w:qFormat/>
    <w:uiPriority w:val="0"/>
    <w:rPr>
      <w:rFonts w:ascii="Calibri" w:hAnsi="Calibri"/>
      <w:kern w:val="2"/>
      <w:sz w:val="18"/>
      <w:szCs w:val="18"/>
    </w:rPr>
  </w:style>
  <w:style w:type="paragraph" w:customStyle="1" w:styleId="32">
    <w:name w:val="TOC 标题1"/>
    <w:basedOn w:val="3"/>
    <w:next w:val="1"/>
    <w:unhideWhenUsed/>
    <w:qFormat/>
    <w:uiPriority w:val="39"/>
    <w:pPr>
      <w:widowControl/>
      <w:suppressAutoHyphens w:val="0"/>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40</Pages>
  <Words>13878</Words>
  <Characters>16017</Characters>
  <Lines>148</Lines>
  <Paragraphs>41</Paragraphs>
  <TotalTime>10</TotalTime>
  <ScaleCrop>false</ScaleCrop>
  <LinksUpToDate>false</LinksUpToDate>
  <CharactersWithSpaces>16287</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2024-09-18T17:26:00Z</dcterms:created>
  <dc:creator>user</dc:creator>
  <cp:lastModifiedBy> </cp:lastModifiedBy>
  <dcterms:modified xsi:type="dcterms:W3CDTF">2024-10-12T20:31:51Z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F8942EA683FF47F7BC7E53325986DDFC_12</vt:lpwstr>
  </property>
</Properties>
</file>