
<file path=[Content_Types].xml><?xml version="1.0" encoding="utf-8"?>
<Types xmlns="http://schemas.openxmlformats.org/package/2006/content-types">
  <Default Extension="xml" ContentType="application/xml"/>
  <Default Extension="xlsx" ContentType="application/vnd.openxmlformats-officedocument.spreadsheetml.sheet"/>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left"/>
        <w:outlineLvl w:val="0"/>
        <w:rPr>
          <w:rFonts w:ascii="方正小标宋简体" w:hAnsi="宋体" w:eastAsia="方正小标宋简体"/>
          <w:szCs w:val="21"/>
        </w:rPr>
      </w:pPr>
      <w:bookmarkStart w:id="0" w:name="_Toc15306267"/>
    </w:p>
    <w:p>
      <w:pPr>
        <w:spacing w:line="600" w:lineRule="exact"/>
        <w:jc w:val="center"/>
        <w:outlineLvl w:val="0"/>
        <w:rPr>
          <w:rFonts w:ascii="方正小标宋简体" w:hAnsi="宋体" w:eastAsia="方正小标宋简体"/>
          <w:sz w:val="72"/>
          <w:szCs w:val="72"/>
        </w:rPr>
      </w:pPr>
    </w:p>
    <w:p>
      <w:pPr>
        <w:spacing w:line="600" w:lineRule="exact"/>
        <w:jc w:val="center"/>
        <w:outlineLvl w:val="0"/>
        <w:rPr>
          <w:rFonts w:ascii="方正小标宋简体" w:hAnsi="宋体" w:eastAsia="方正小标宋简体"/>
          <w:sz w:val="72"/>
          <w:szCs w:val="72"/>
        </w:rPr>
      </w:pPr>
    </w:p>
    <w:p>
      <w:pPr>
        <w:spacing w:line="600" w:lineRule="auto"/>
        <w:jc w:val="center"/>
        <w:rPr>
          <w:rFonts w:ascii="方正小标宋简体" w:hAnsi="方正小标宋简体" w:eastAsia="方正小标宋简体" w:cs="方正小标宋简体"/>
          <w:sz w:val="44"/>
          <w:szCs w:val="44"/>
        </w:rPr>
      </w:pPr>
      <w:bookmarkStart w:id="1" w:name="_Toc15377425"/>
      <w:bookmarkStart w:id="2" w:name="_Toc15377193"/>
      <w:bookmarkStart w:id="3" w:name="_Toc15396597"/>
      <w:bookmarkStart w:id="4" w:name="_Toc15378441"/>
      <w:bookmarkStart w:id="5" w:name="_Toc15396475"/>
      <w:r>
        <w:rPr>
          <w:rFonts w:hint="eastAsia" w:ascii="方正小标宋简体" w:hAnsi="方正小标宋简体" w:eastAsia="方正小标宋简体" w:cs="方正小标宋简体"/>
          <w:sz w:val="44"/>
          <w:szCs w:val="44"/>
        </w:rPr>
        <w:t>2022年度</w:t>
      </w:r>
      <w:bookmarkEnd w:id="1"/>
      <w:bookmarkEnd w:id="2"/>
      <w:bookmarkEnd w:id="3"/>
      <w:bookmarkEnd w:id="4"/>
      <w:bookmarkEnd w:id="5"/>
    </w:p>
    <w:p>
      <w:pPr>
        <w:spacing w:line="600" w:lineRule="auto"/>
        <w:jc w:val="center"/>
        <w:rPr>
          <w:rFonts w:ascii="方正小标宋简体" w:hAnsi="方正小标宋简体" w:eastAsia="方正小标宋简体" w:cs="方正小标宋简体"/>
          <w:sz w:val="44"/>
          <w:szCs w:val="44"/>
        </w:rPr>
      </w:pPr>
      <w:bookmarkStart w:id="6" w:name="_Toc15377194"/>
      <w:bookmarkStart w:id="7" w:name="_Toc15396476"/>
      <w:bookmarkStart w:id="8" w:name="_Toc15377426"/>
      <w:bookmarkStart w:id="9" w:name="_Toc15378442"/>
      <w:bookmarkStart w:id="10" w:name="_Toc15396598"/>
      <w:r>
        <w:rPr>
          <w:rFonts w:hint="eastAsia" w:ascii="方正小标宋简体" w:hAnsi="方正小标宋简体" w:eastAsia="方正小标宋简体" w:cs="方正小标宋简体"/>
          <w:sz w:val="44"/>
          <w:szCs w:val="44"/>
        </w:rPr>
        <w:t>广元市</w:t>
      </w:r>
      <w:bookmarkEnd w:id="0"/>
      <w:bookmarkStart w:id="11" w:name="_Toc15306268"/>
      <w:r>
        <w:rPr>
          <w:rFonts w:hint="eastAsia" w:ascii="方正小标宋简体" w:hAnsi="方正小标宋简体" w:eastAsia="方正小标宋简体" w:cs="方正小标宋简体"/>
          <w:sz w:val="44"/>
          <w:szCs w:val="44"/>
        </w:rPr>
        <w:t>市场监督管理局广元经开区分局</w:t>
      </w:r>
    </w:p>
    <w:p>
      <w:pPr>
        <w:spacing w:line="600" w:lineRule="auto"/>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单位决算</w:t>
      </w:r>
      <w:bookmarkEnd w:id="6"/>
      <w:bookmarkEnd w:id="7"/>
      <w:bookmarkEnd w:id="8"/>
      <w:bookmarkEnd w:id="9"/>
      <w:bookmarkEnd w:id="10"/>
      <w:bookmarkEnd w:id="11"/>
    </w:p>
    <w:p>
      <w:pPr>
        <w:widowControl/>
        <w:spacing w:line="600" w:lineRule="exact"/>
        <w:jc w:val="center"/>
        <w:rPr>
          <w:rFonts w:ascii="仿宋_GB2312" w:hAnsi="仿宋_GB2312" w:eastAsia="仿宋_GB2312" w:cs="仿宋_GB2312"/>
          <w:sz w:val="32"/>
          <w:szCs w:val="32"/>
        </w:rPr>
      </w:pPr>
      <w:r>
        <w:rPr>
          <w:rFonts w:ascii="方正小标宋简体" w:hAnsi="宋体" w:eastAsia="方正小标宋简体"/>
          <w:sz w:val="36"/>
          <w:szCs w:val="36"/>
        </w:rPr>
        <w:br w:type="page"/>
      </w:r>
      <w:r>
        <w:rPr>
          <w:rFonts w:hint="eastAsia" w:ascii="方正小标宋简体" w:hAnsi="方正小标宋简体" w:eastAsia="方正小标宋简体" w:cs="方正小标宋简体"/>
          <w:sz w:val="44"/>
          <w:szCs w:val="44"/>
        </w:rPr>
        <w:t>目  录</w:t>
      </w:r>
    </w:p>
    <w:sdt>
      <w:sdtPr>
        <w:rPr>
          <w:rFonts w:ascii="Times New Roman" w:hAnsi="Times New Roman" w:eastAsia="宋体"/>
          <w:b/>
          <w:bCs/>
          <w:sz w:val="21"/>
          <w:szCs w:val="24"/>
          <w:lang w:val="zh-CN"/>
        </w:rPr>
        <w:id w:val="25606342"/>
        <w:docPartObj>
          <w:docPartGallery w:val="Table of Contents"/>
          <w:docPartUnique/>
        </w:docPartObj>
      </w:sdtPr>
      <w:sdtEndPr>
        <w:rPr>
          <w:rFonts w:ascii="仿宋_GB2312" w:hAnsi="仿宋_GB2312" w:eastAsia="仿宋_GB2312" w:cs="仿宋_GB2312"/>
          <w:b w:val="0"/>
          <w:bCs w:val="0"/>
          <w:sz w:val="32"/>
          <w:szCs w:val="32"/>
          <w:lang w:val="en-US"/>
        </w:rPr>
      </w:sdtEndPr>
      <w:sdtContent>
        <w:p>
          <w:pPr>
            <w:pStyle w:val="11"/>
            <w:rPr>
              <w:sz w:val="24"/>
            </w:rPr>
          </w:pPr>
          <w:bookmarkStart w:id="12" w:name="_Toc15377196"/>
          <w:bookmarkStart w:id="13" w:name="_Toc15396599"/>
          <w:r>
            <w:rPr>
              <w:rFonts w:hint="eastAsia" w:ascii="仿宋_GB2312" w:hAnsi="仿宋_GB2312" w:eastAsia="仿宋_GB2312" w:cs="仿宋_GB2312"/>
            </w:rPr>
            <w:t>公开时间：2023年10月17日</w:t>
          </w:r>
        </w:p>
        <w:p>
          <w:pPr>
            <w:pStyle w:val="11"/>
            <w:jc w:val="both"/>
            <w:rPr>
              <w:rFonts w:ascii="仿宋_GB2312" w:hAnsi="仿宋_GB2312" w:eastAsia="仿宋_GB2312" w:cs="仿宋_GB2312"/>
              <w:sz w:val="32"/>
              <w:szCs w:val="32"/>
            </w:rPr>
          </w:pPr>
          <w:r>
            <w:rPr>
              <w:rFonts w:ascii="仿宋_GB2312" w:hAnsi="仿宋_GB2312" w:eastAsia="仿宋_GB2312" w:cs="仿宋_GB2312"/>
              <w:sz w:val="32"/>
              <w:szCs w:val="32"/>
            </w:rPr>
            <w:fldChar w:fldCharType="begin"/>
          </w:r>
          <w:r>
            <w:rPr>
              <w:rFonts w:ascii="仿宋_GB2312" w:hAnsi="仿宋_GB2312" w:eastAsia="仿宋_GB2312" w:cs="仿宋_GB2312"/>
              <w:sz w:val="32"/>
              <w:szCs w:val="32"/>
            </w:rPr>
            <w:instrText xml:space="preserve"> TOC \o "1-3" \h \z \u </w:instrText>
          </w:r>
          <w:r>
            <w:rPr>
              <w:rFonts w:ascii="仿宋_GB2312" w:hAnsi="仿宋_GB2312" w:eastAsia="仿宋_GB2312" w:cs="仿宋_GB2312"/>
              <w:sz w:val="32"/>
              <w:szCs w:val="32"/>
            </w:rPr>
            <w:fldChar w:fldCharType="separate"/>
          </w:r>
          <w:r>
            <w:fldChar w:fldCharType="begin"/>
          </w:r>
          <w:r>
            <w:instrText xml:space="preserve"> HYPERLINK \l "_Toc147678513" </w:instrText>
          </w:r>
          <w:r>
            <w:fldChar w:fldCharType="separate"/>
          </w:r>
          <w:r>
            <w:rPr>
              <w:rFonts w:hint="eastAsia" w:ascii="仿宋_GB2312" w:hAnsi="仿宋_GB2312" w:eastAsia="仿宋_GB2312" w:cs="仿宋_GB2312"/>
              <w:sz w:val="32"/>
              <w:szCs w:val="32"/>
            </w:rPr>
            <w:t>第一部分单位概况</w:t>
          </w:r>
          <w:r>
            <w:rPr>
              <w:rFonts w:ascii="仿宋_GB2312" w:hAnsi="仿宋_GB2312" w:eastAsia="仿宋_GB2312" w:cs="仿宋_GB2312"/>
              <w:sz w:val="32"/>
              <w:szCs w:val="32"/>
            </w:rPr>
            <w:tab/>
          </w:r>
          <w:r>
            <w:rPr>
              <w:rFonts w:ascii="仿宋_GB2312" w:hAnsi="仿宋_GB2312" w:eastAsia="仿宋_GB2312" w:cs="仿宋_GB2312"/>
              <w:sz w:val="32"/>
              <w:szCs w:val="32"/>
            </w:rPr>
            <w:fldChar w:fldCharType="begin"/>
          </w:r>
          <w:r>
            <w:rPr>
              <w:rFonts w:ascii="仿宋_GB2312" w:hAnsi="仿宋_GB2312" w:eastAsia="仿宋_GB2312" w:cs="仿宋_GB2312"/>
              <w:sz w:val="32"/>
              <w:szCs w:val="32"/>
            </w:rPr>
            <w:instrText xml:space="preserve"> PAGEREF _Toc147678513 \h </w:instrText>
          </w:r>
          <w:r>
            <w:rPr>
              <w:rFonts w:ascii="仿宋_GB2312" w:hAnsi="仿宋_GB2312" w:eastAsia="仿宋_GB2312" w:cs="仿宋_GB2312"/>
              <w:sz w:val="32"/>
              <w:szCs w:val="32"/>
            </w:rPr>
            <w:fldChar w:fldCharType="separate"/>
          </w:r>
          <w:r>
            <w:rPr>
              <w:rFonts w:ascii="仿宋_GB2312" w:hAnsi="仿宋_GB2312" w:eastAsia="仿宋_GB2312" w:cs="仿宋_GB2312"/>
              <w:sz w:val="32"/>
              <w:szCs w:val="32"/>
            </w:rPr>
            <w:t>1</w:t>
          </w:r>
          <w:r>
            <w:rPr>
              <w:rFonts w:ascii="仿宋_GB2312" w:hAnsi="仿宋_GB2312" w:eastAsia="仿宋_GB2312" w:cs="仿宋_GB2312"/>
              <w:sz w:val="32"/>
              <w:szCs w:val="32"/>
            </w:rPr>
            <w:fldChar w:fldCharType="end"/>
          </w:r>
          <w:r>
            <w:rPr>
              <w:rFonts w:ascii="仿宋_GB2312" w:hAnsi="仿宋_GB2312" w:eastAsia="仿宋_GB2312" w:cs="仿宋_GB2312"/>
              <w:sz w:val="32"/>
              <w:szCs w:val="32"/>
            </w:rPr>
            <w:fldChar w:fldCharType="end"/>
          </w:r>
        </w:p>
        <w:p>
          <w:pPr>
            <w:pStyle w:val="12"/>
            <w:rPr>
              <w:rFonts w:ascii="仿宋_GB2312" w:hAnsi="仿宋_GB2312" w:eastAsia="仿宋_GB2312" w:cs="仿宋_GB2312"/>
              <w:sz w:val="32"/>
              <w:szCs w:val="32"/>
            </w:rPr>
          </w:pPr>
          <w:r>
            <w:fldChar w:fldCharType="begin"/>
          </w:r>
          <w:r>
            <w:instrText xml:space="preserve"> HYPERLINK \l "_Toc147678514" </w:instrText>
          </w:r>
          <w:r>
            <w:fldChar w:fldCharType="separate"/>
          </w:r>
          <w:r>
            <w:rPr>
              <w:rFonts w:hint="eastAsia" w:ascii="仿宋_GB2312" w:hAnsi="仿宋_GB2312" w:eastAsia="仿宋_GB2312" w:cs="仿宋_GB2312"/>
              <w:sz w:val="32"/>
              <w:szCs w:val="32"/>
            </w:rPr>
            <w:t>一、主要职责</w:t>
          </w:r>
          <w:r>
            <w:rPr>
              <w:rFonts w:ascii="仿宋_GB2312" w:hAnsi="仿宋_GB2312" w:eastAsia="仿宋_GB2312" w:cs="仿宋_GB2312"/>
              <w:sz w:val="32"/>
              <w:szCs w:val="32"/>
            </w:rPr>
            <w:tab/>
          </w:r>
          <w:r>
            <w:rPr>
              <w:rFonts w:ascii="仿宋_GB2312" w:hAnsi="仿宋_GB2312" w:eastAsia="仿宋_GB2312" w:cs="仿宋_GB2312"/>
              <w:sz w:val="32"/>
              <w:szCs w:val="32"/>
            </w:rPr>
            <w:fldChar w:fldCharType="begin"/>
          </w:r>
          <w:r>
            <w:rPr>
              <w:rFonts w:ascii="仿宋_GB2312" w:hAnsi="仿宋_GB2312" w:eastAsia="仿宋_GB2312" w:cs="仿宋_GB2312"/>
              <w:sz w:val="32"/>
              <w:szCs w:val="32"/>
            </w:rPr>
            <w:instrText xml:space="preserve"> PAGEREF _Toc147678514 \h </w:instrText>
          </w:r>
          <w:r>
            <w:rPr>
              <w:rFonts w:ascii="仿宋_GB2312" w:hAnsi="仿宋_GB2312" w:eastAsia="仿宋_GB2312" w:cs="仿宋_GB2312"/>
              <w:sz w:val="32"/>
              <w:szCs w:val="32"/>
            </w:rPr>
            <w:fldChar w:fldCharType="separate"/>
          </w:r>
          <w:r>
            <w:rPr>
              <w:rFonts w:ascii="仿宋_GB2312" w:hAnsi="仿宋_GB2312" w:eastAsia="仿宋_GB2312" w:cs="仿宋_GB2312"/>
              <w:sz w:val="32"/>
              <w:szCs w:val="32"/>
            </w:rPr>
            <w:t>1</w:t>
          </w:r>
          <w:r>
            <w:rPr>
              <w:rFonts w:ascii="仿宋_GB2312" w:hAnsi="仿宋_GB2312" w:eastAsia="仿宋_GB2312" w:cs="仿宋_GB2312"/>
              <w:sz w:val="32"/>
              <w:szCs w:val="32"/>
            </w:rPr>
            <w:fldChar w:fldCharType="end"/>
          </w:r>
          <w:r>
            <w:rPr>
              <w:rFonts w:ascii="仿宋_GB2312" w:hAnsi="仿宋_GB2312" w:eastAsia="仿宋_GB2312" w:cs="仿宋_GB2312"/>
              <w:sz w:val="32"/>
              <w:szCs w:val="32"/>
            </w:rPr>
            <w:fldChar w:fldCharType="end"/>
          </w:r>
        </w:p>
        <w:p>
          <w:pPr>
            <w:pStyle w:val="12"/>
            <w:rPr>
              <w:rFonts w:ascii="仿宋_GB2312" w:hAnsi="仿宋_GB2312" w:eastAsia="仿宋_GB2312" w:cs="仿宋_GB2312"/>
              <w:sz w:val="32"/>
              <w:szCs w:val="32"/>
            </w:rPr>
          </w:pPr>
          <w:r>
            <w:fldChar w:fldCharType="begin"/>
          </w:r>
          <w:r>
            <w:instrText xml:space="preserve"> HYPERLINK \l "_Toc147678515" </w:instrText>
          </w:r>
          <w:r>
            <w:fldChar w:fldCharType="separate"/>
          </w:r>
          <w:r>
            <w:rPr>
              <w:rFonts w:hint="eastAsia" w:ascii="仿宋_GB2312" w:hAnsi="仿宋_GB2312" w:eastAsia="仿宋_GB2312" w:cs="仿宋_GB2312"/>
              <w:sz w:val="32"/>
              <w:szCs w:val="32"/>
            </w:rPr>
            <w:t>二、机构设置</w:t>
          </w:r>
          <w:r>
            <w:rPr>
              <w:rFonts w:ascii="仿宋_GB2312" w:hAnsi="仿宋_GB2312" w:eastAsia="仿宋_GB2312" w:cs="仿宋_GB2312"/>
              <w:sz w:val="32"/>
              <w:szCs w:val="32"/>
            </w:rPr>
            <w:tab/>
          </w:r>
          <w:r>
            <w:rPr>
              <w:rFonts w:ascii="仿宋_GB2312" w:hAnsi="仿宋_GB2312" w:eastAsia="仿宋_GB2312" w:cs="仿宋_GB2312"/>
              <w:sz w:val="32"/>
              <w:szCs w:val="32"/>
            </w:rPr>
            <w:fldChar w:fldCharType="begin"/>
          </w:r>
          <w:r>
            <w:rPr>
              <w:rFonts w:ascii="仿宋_GB2312" w:hAnsi="仿宋_GB2312" w:eastAsia="仿宋_GB2312" w:cs="仿宋_GB2312"/>
              <w:sz w:val="32"/>
              <w:szCs w:val="32"/>
            </w:rPr>
            <w:instrText xml:space="preserve"> PAGEREF _Toc147678515 \h </w:instrText>
          </w:r>
          <w:r>
            <w:rPr>
              <w:rFonts w:ascii="仿宋_GB2312" w:hAnsi="仿宋_GB2312" w:eastAsia="仿宋_GB2312" w:cs="仿宋_GB2312"/>
              <w:sz w:val="32"/>
              <w:szCs w:val="32"/>
            </w:rPr>
            <w:fldChar w:fldCharType="separate"/>
          </w:r>
          <w:r>
            <w:rPr>
              <w:rFonts w:ascii="仿宋_GB2312" w:hAnsi="仿宋_GB2312" w:eastAsia="仿宋_GB2312" w:cs="仿宋_GB2312"/>
              <w:sz w:val="32"/>
              <w:szCs w:val="32"/>
            </w:rPr>
            <w:t>3</w:t>
          </w:r>
          <w:r>
            <w:rPr>
              <w:rFonts w:ascii="仿宋_GB2312" w:hAnsi="仿宋_GB2312" w:eastAsia="仿宋_GB2312" w:cs="仿宋_GB2312"/>
              <w:sz w:val="32"/>
              <w:szCs w:val="32"/>
            </w:rPr>
            <w:fldChar w:fldCharType="end"/>
          </w:r>
          <w:r>
            <w:rPr>
              <w:rFonts w:ascii="仿宋_GB2312" w:hAnsi="仿宋_GB2312" w:eastAsia="仿宋_GB2312" w:cs="仿宋_GB2312"/>
              <w:sz w:val="32"/>
              <w:szCs w:val="32"/>
            </w:rPr>
            <w:fldChar w:fldCharType="end"/>
          </w:r>
        </w:p>
        <w:p>
          <w:pPr>
            <w:pStyle w:val="11"/>
            <w:jc w:val="both"/>
            <w:rPr>
              <w:rFonts w:ascii="仿宋_GB2312" w:hAnsi="仿宋_GB2312" w:eastAsia="仿宋_GB2312" w:cs="仿宋_GB2312"/>
              <w:sz w:val="32"/>
              <w:szCs w:val="32"/>
            </w:rPr>
          </w:pPr>
          <w:r>
            <w:fldChar w:fldCharType="begin"/>
          </w:r>
          <w:r>
            <w:instrText xml:space="preserve"> HYPERLINK \l "_Toc147678516" </w:instrText>
          </w:r>
          <w:r>
            <w:fldChar w:fldCharType="separate"/>
          </w:r>
          <w:r>
            <w:rPr>
              <w:rFonts w:hint="eastAsia" w:ascii="仿宋_GB2312" w:hAnsi="仿宋_GB2312" w:eastAsia="仿宋_GB2312" w:cs="仿宋_GB2312"/>
              <w:sz w:val="32"/>
              <w:szCs w:val="32"/>
            </w:rPr>
            <w:t>第二部分</w:t>
          </w:r>
          <w:r>
            <w:rPr>
              <w:rFonts w:ascii="仿宋_GB2312" w:hAnsi="仿宋_GB2312" w:eastAsia="仿宋_GB2312" w:cs="仿宋_GB2312"/>
              <w:sz w:val="32"/>
              <w:szCs w:val="32"/>
            </w:rPr>
            <w:t>2022</w:t>
          </w:r>
          <w:r>
            <w:rPr>
              <w:rFonts w:hint="eastAsia" w:ascii="仿宋_GB2312" w:hAnsi="仿宋_GB2312" w:eastAsia="仿宋_GB2312" w:cs="仿宋_GB2312"/>
              <w:sz w:val="32"/>
              <w:szCs w:val="32"/>
            </w:rPr>
            <w:t>年度单位决算情况说明</w:t>
          </w:r>
          <w:r>
            <w:rPr>
              <w:rFonts w:ascii="仿宋_GB2312" w:hAnsi="仿宋_GB2312" w:eastAsia="仿宋_GB2312" w:cs="仿宋_GB2312"/>
              <w:sz w:val="32"/>
              <w:szCs w:val="32"/>
            </w:rPr>
            <w:tab/>
          </w:r>
          <w:r>
            <w:rPr>
              <w:rFonts w:ascii="仿宋_GB2312" w:hAnsi="仿宋_GB2312" w:eastAsia="仿宋_GB2312" w:cs="仿宋_GB2312"/>
              <w:sz w:val="32"/>
              <w:szCs w:val="32"/>
            </w:rPr>
            <w:fldChar w:fldCharType="begin"/>
          </w:r>
          <w:r>
            <w:rPr>
              <w:rFonts w:ascii="仿宋_GB2312" w:hAnsi="仿宋_GB2312" w:eastAsia="仿宋_GB2312" w:cs="仿宋_GB2312"/>
              <w:sz w:val="32"/>
              <w:szCs w:val="32"/>
            </w:rPr>
            <w:instrText xml:space="preserve"> PAGEREF _Toc147678516 \h </w:instrText>
          </w:r>
          <w:r>
            <w:rPr>
              <w:rFonts w:ascii="仿宋_GB2312" w:hAnsi="仿宋_GB2312" w:eastAsia="仿宋_GB2312" w:cs="仿宋_GB2312"/>
              <w:sz w:val="32"/>
              <w:szCs w:val="32"/>
            </w:rPr>
            <w:fldChar w:fldCharType="separate"/>
          </w:r>
          <w:r>
            <w:rPr>
              <w:rFonts w:ascii="仿宋_GB2312" w:hAnsi="仿宋_GB2312" w:eastAsia="仿宋_GB2312" w:cs="仿宋_GB2312"/>
              <w:sz w:val="32"/>
              <w:szCs w:val="32"/>
            </w:rPr>
            <w:t>4</w:t>
          </w:r>
          <w:r>
            <w:rPr>
              <w:rFonts w:ascii="仿宋_GB2312" w:hAnsi="仿宋_GB2312" w:eastAsia="仿宋_GB2312" w:cs="仿宋_GB2312"/>
              <w:sz w:val="32"/>
              <w:szCs w:val="32"/>
            </w:rPr>
            <w:fldChar w:fldCharType="end"/>
          </w:r>
          <w:r>
            <w:rPr>
              <w:rFonts w:ascii="仿宋_GB2312" w:hAnsi="仿宋_GB2312" w:eastAsia="仿宋_GB2312" w:cs="仿宋_GB2312"/>
              <w:sz w:val="32"/>
              <w:szCs w:val="32"/>
            </w:rPr>
            <w:fldChar w:fldCharType="end"/>
          </w:r>
        </w:p>
        <w:p>
          <w:pPr>
            <w:pStyle w:val="12"/>
            <w:rPr>
              <w:rFonts w:ascii="仿宋_GB2312" w:hAnsi="仿宋_GB2312" w:eastAsia="仿宋_GB2312" w:cs="仿宋_GB2312"/>
              <w:sz w:val="32"/>
              <w:szCs w:val="32"/>
            </w:rPr>
          </w:pPr>
          <w:r>
            <w:fldChar w:fldCharType="begin"/>
          </w:r>
          <w:r>
            <w:instrText xml:space="preserve"> HYPERLINK \l "_Toc147678517" </w:instrText>
          </w:r>
          <w:r>
            <w:fldChar w:fldCharType="separate"/>
          </w:r>
          <w:r>
            <w:rPr>
              <w:rFonts w:hint="eastAsia" w:ascii="仿宋_GB2312" w:hAnsi="仿宋_GB2312" w:eastAsia="仿宋_GB2312" w:cs="仿宋_GB2312"/>
              <w:sz w:val="32"/>
              <w:szCs w:val="32"/>
            </w:rPr>
            <w:t>一、收入支出决算总体情况说明</w:t>
          </w:r>
          <w:r>
            <w:rPr>
              <w:rFonts w:ascii="仿宋_GB2312" w:hAnsi="仿宋_GB2312" w:eastAsia="仿宋_GB2312" w:cs="仿宋_GB2312"/>
              <w:sz w:val="32"/>
              <w:szCs w:val="32"/>
            </w:rPr>
            <w:tab/>
          </w:r>
          <w:r>
            <w:rPr>
              <w:rFonts w:ascii="仿宋_GB2312" w:hAnsi="仿宋_GB2312" w:eastAsia="仿宋_GB2312" w:cs="仿宋_GB2312"/>
              <w:sz w:val="32"/>
              <w:szCs w:val="32"/>
            </w:rPr>
            <w:fldChar w:fldCharType="begin"/>
          </w:r>
          <w:r>
            <w:rPr>
              <w:rFonts w:ascii="仿宋_GB2312" w:hAnsi="仿宋_GB2312" w:eastAsia="仿宋_GB2312" w:cs="仿宋_GB2312"/>
              <w:sz w:val="32"/>
              <w:szCs w:val="32"/>
            </w:rPr>
            <w:instrText xml:space="preserve"> PAGEREF _Toc147678517 \h </w:instrText>
          </w:r>
          <w:r>
            <w:rPr>
              <w:rFonts w:ascii="仿宋_GB2312" w:hAnsi="仿宋_GB2312" w:eastAsia="仿宋_GB2312" w:cs="仿宋_GB2312"/>
              <w:sz w:val="32"/>
              <w:szCs w:val="32"/>
            </w:rPr>
            <w:fldChar w:fldCharType="separate"/>
          </w:r>
          <w:r>
            <w:rPr>
              <w:rFonts w:ascii="仿宋_GB2312" w:hAnsi="仿宋_GB2312" w:eastAsia="仿宋_GB2312" w:cs="仿宋_GB2312"/>
              <w:sz w:val="32"/>
              <w:szCs w:val="32"/>
            </w:rPr>
            <w:t>4</w:t>
          </w:r>
          <w:r>
            <w:rPr>
              <w:rFonts w:ascii="仿宋_GB2312" w:hAnsi="仿宋_GB2312" w:eastAsia="仿宋_GB2312" w:cs="仿宋_GB2312"/>
              <w:sz w:val="32"/>
              <w:szCs w:val="32"/>
            </w:rPr>
            <w:fldChar w:fldCharType="end"/>
          </w:r>
          <w:r>
            <w:rPr>
              <w:rFonts w:ascii="仿宋_GB2312" w:hAnsi="仿宋_GB2312" w:eastAsia="仿宋_GB2312" w:cs="仿宋_GB2312"/>
              <w:sz w:val="32"/>
              <w:szCs w:val="32"/>
            </w:rPr>
            <w:fldChar w:fldCharType="end"/>
          </w:r>
        </w:p>
        <w:p>
          <w:pPr>
            <w:pStyle w:val="12"/>
            <w:rPr>
              <w:rFonts w:ascii="仿宋_GB2312" w:hAnsi="仿宋_GB2312" w:eastAsia="仿宋_GB2312" w:cs="仿宋_GB2312"/>
              <w:sz w:val="32"/>
              <w:szCs w:val="32"/>
            </w:rPr>
          </w:pPr>
          <w:r>
            <w:fldChar w:fldCharType="begin"/>
          </w:r>
          <w:r>
            <w:instrText xml:space="preserve"> HYPERLINK \l "_Toc147678518" </w:instrText>
          </w:r>
          <w:r>
            <w:fldChar w:fldCharType="separate"/>
          </w:r>
          <w:r>
            <w:rPr>
              <w:rFonts w:hint="eastAsia" w:ascii="仿宋_GB2312" w:hAnsi="仿宋_GB2312" w:eastAsia="仿宋_GB2312" w:cs="仿宋_GB2312"/>
              <w:sz w:val="32"/>
              <w:szCs w:val="32"/>
            </w:rPr>
            <w:t>二、收入决算情况说明</w:t>
          </w:r>
          <w:r>
            <w:rPr>
              <w:rFonts w:ascii="仿宋_GB2312" w:hAnsi="仿宋_GB2312" w:eastAsia="仿宋_GB2312" w:cs="仿宋_GB2312"/>
              <w:sz w:val="32"/>
              <w:szCs w:val="32"/>
            </w:rPr>
            <w:tab/>
          </w:r>
          <w:r>
            <w:rPr>
              <w:rFonts w:ascii="仿宋_GB2312" w:hAnsi="仿宋_GB2312" w:eastAsia="仿宋_GB2312" w:cs="仿宋_GB2312"/>
              <w:sz w:val="32"/>
              <w:szCs w:val="32"/>
            </w:rPr>
            <w:fldChar w:fldCharType="begin"/>
          </w:r>
          <w:r>
            <w:rPr>
              <w:rFonts w:ascii="仿宋_GB2312" w:hAnsi="仿宋_GB2312" w:eastAsia="仿宋_GB2312" w:cs="仿宋_GB2312"/>
              <w:sz w:val="32"/>
              <w:szCs w:val="32"/>
            </w:rPr>
            <w:instrText xml:space="preserve"> PAGEREF _Toc147678518 \h </w:instrText>
          </w:r>
          <w:r>
            <w:rPr>
              <w:rFonts w:ascii="仿宋_GB2312" w:hAnsi="仿宋_GB2312" w:eastAsia="仿宋_GB2312" w:cs="仿宋_GB2312"/>
              <w:sz w:val="32"/>
              <w:szCs w:val="32"/>
            </w:rPr>
            <w:fldChar w:fldCharType="separate"/>
          </w:r>
          <w:r>
            <w:rPr>
              <w:rFonts w:ascii="仿宋_GB2312" w:hAnsi="仿宋_GB2312" w:eastAsia="仿宋_GB2312" w:cs="仿宋_GB2312"/>
              <w:sz w:val="32"/>
              <w:szCs w:val="32"/>
            </w:rPr>
            <w:t>4</w:t>
          </w:r>
          <w:r>
            <w:rPr>
              <w:rFonts w:ascii="仿宋_GB2312" w:hAnsi="仿宋_GB2312" w:eastAsia="仿宋_GB2312" w:cs="仿宋_GB2312"/>
              <w:sz w:val="32"/>
              <w:szCs w:val="32"/>
            </w:rPr>
            <w:fldChar w:fldCharType="end"/>
          </w:r>
          <w:r>
            <w:rPr>
              <w:rFonts w:ascii="仿宋_GB2312" w:hAnsi="仿宋_GB2312" w:eastAsia="仿宋_GB2312" w:cs="仿宋_GB2312"/>
              <w:sz w:val="32"/>
              <w:szCs w:val="32"/>
            </w:rPr>
            <w:fldChar w:fldCharType="end"/>
          </w:r>
        </w:p>
        <w:p>
          <w:pPr>
            <w:pStyle w:val="12"/>
            <w:rPr>
              <w:rFonts w:ascii="仿宋_GB2312" w:hAnsi="仿宋_GB2312" w:eastAsia="仿宋_GB2312" w:cs="仿宋_GB2312"/>
              <w:sz w:val="32"/>
              <w:szCs w:val="32"/>
            </w:rPr>
          </w:pPr>
          <w:r>
            <w:fldChar w:fldCharType="begin"/>
          </w:r>
          <w:r>
            <w:instrText xml:space="preserve"> HYPERLINK \l "_Toc147678520" </w:instrText>
          </w:r>
          <w:r>
            <w:fldChar w:fldCharType="separate"/>
          </w:r>
          <w:r>
            <w:rPr>
              <w:rFonts w:hint="eastAsia" w:ascii="仿宋_GB2312" w:hAnsi="仿宋_GB2312" w:eastAsia="仿宋_GB2312" w:cs="仿宋_GB2312"/>
              <w:sz w:val="32"/>
              <w:szCs w:val="32"/>
            </w:rPr>
            <w:t>三、支出决算情况说明</w:t>
          </w:r>
          <w:r>
            <w:rPr>
              <w:rFonts w:ascii="仿宋_GB2312" w:hAnsi="仿宋_GB2312" w:eastAsia="仿宋_GB2312" w:cs="仿宋_GB2312"/>
              <w:sz w:val="32"/>
              <w:szCs w:val="32"/>
            </w:rPr>
            <w:tab/>
          </w:r>
          <w:r>
            <w:rPr>
              <w:rFonts w:ascii="仿宋_GB2312" w:hAnsi="仿宋_GB2312" w:eastAsia="仿宋_GB2312" w:cs="仿宋_GB2312"/>
              <w:sz w:val="32"/>
              <w:szCs w:val="32"/>
            </w:rPr>
            <w:fldChar w:fldCharType="begin"/>
          </w:r>
          <w:r>
            <w:rPr>
              <w:rFonts w:ascii="仿宋_GB2312" w:hAnsi="仿宋_GB2312" w:eastAsia="仿宋_GB2312" w:cs="仿宋_GB2312"/>
              <w:sz w:val="32"/>
              <w:szCs w:val="32"/>
            </w:rPr>
            <w:instrText xml:space="preserve"> PAGEREF _Toc147678520 \h </w:instrText>
          </w:r>
          <w:r>
            <w:rPr>
              <w:rFonts w:ascii="仿宋_GB2312" w:hAnsi="仿宋_GB2312" w:eastAsia="仿宋_GB2312" w:cs="仿宋_GB2312"/>
              <w:sz w:val="32"/>
              <w:szCs w:val="32"/>
            </w:rPr>
            <w:fldChar w:fldCharType="separate"/>
          </w:r>
          <w:r>
            <w:rPr>
              <w:rFonts w:ascii="仿宋_GB2312" w:hAnsi="仿宋_GB2312" w:eastAsia="仿宋_GB2312" w:cs="仿宋_GB2312"/>
              <w:sz w:val="32"/>
              <w:szCs w:val="32"/>
            </w:rPr>
            <w:t>5</w:t>
          </w:r>
          <w:r>
            <w:rPr>
              <w:rFonts w:ascii="仿宋_GB2312" w:hAnsi="仿宋_GB2312" w:eastAsia="仿宋_GB2312" w:cs="仿宋_GB2312"/>
              <w:sz w:val="32"/>
              <w:szCs w:val="32"/>
            </w:rPr>
            <w:fldChar w:fldCharType="end"/>
          </w:r>
          <w:r>
            <w:rPr>
              <w:rFonts w:ascii="仿宋_GB2312" w:hAnsi="仿宋_GB2312" w:eastAsia="仿宋_GB2312" w:cs="仿宋_GB2312"/>
              <w:sz w:val="32"/>
              <w:szCs w:val="32"/>
            </w:rPr>
            <w:fldChar w:fldCharType="end"/>
          </w:r>
        </w:p>
        <w:p>
          <w:pPr>
            <w:pStyle w:val="12"/>
            <w:rPr>
              <w:rFonts w:ascii="仿宋_GB2312" w:hAnsi="仿宋_GB2312" w:eastAsia="仿宋_GB2312" w:cs="仿宋_GB2312"/>
              <w:sz w:val="32"/>
              <w:szCs w:val="32"/>
            </w:rPr>
          </w:pPr>
          <w:r>
            <w:fldChar w:fldCharType="begin"/>
          </w:r>
          <w:r>
            <w:instrText xml:space="preserve"> HYPERLINK \l "_Toc147678522" </w:instrText>
          </w:r>
          <w:r>
            <w:fldChar w:fldCharType="separate"/>
          </w:r>
          <w:r>
            <w:rPr>
              <w:rFonts w:hint="eastAsia" w:ascii="仿宋_GB2312" w:hAnsi="仿宋_GB2312" w:eastAsia="仿宋_GB2312" w:cs="仿宋_GB2312"/>
              <w:sz w:val="32"/>
              <w:szCs w:val="32"/>
            </w:rPr>
            <w:t>四、财政拨款收入支出决算总体情况说明</w:t>
          </w:r>
          <w:r>
            <w:rPr>
              <w:rFonts w:ascii="仿宋_GB2312" w:hAnsi="仿宋_GB2312" w:eastAsia="仿宋_GB2312" w:cs="仿宋_GB2312"/>
              <w:sz w:val="32"/>
              <w:szCs w:val="32"/>
            </w:rPr>
            <w:tab/>
          </w:r>
          <w:r>
            <w:rPr>
              <w:rFonts w:ascii="仿宋_GB2312" w:hAnsi="仿宋_GB2312" w:eastAsia="仿宋_GB2312" w:cs="仿宋_GB2312"/>
              <w:sz w:val="32"/>
              <w:szCs w:val="32"/>
            </w:rPr>
            <w:fldChar w:fldCharType="begin"/>
          </w:r>
          <w:r>
            <w:rPr>
              <w:rFonts w:ascii="仿宋_GB2312" w:hAnsi="仿宋_GB2312" w:eastAsia="仿宋_GB2312" w:cs="仿宋_GB2312"/>
              <w:sz w:val="32"/>
              <w:szCs w:val="32"/>
            </w:rPr>
            <w:instrText xml:space="preserve"> PAGEREF _Toc147678522 \h </w:instrText>
          </w:r>
          <w:r>
            <w:rPr>
              <w:rFonts w:ascii="仿宋_GB2312" w:hAnsi="仿宋_GB2312" w:eastAsia="仿宋_GB2312" w:cs="仿宋_GB2312"/>
              <w:sz w:val="32"/>
              <w:szCs w:val="32"/>
            </w:rPr>
            <w:fldChar w:fldCharType="separate"/>
          </w:r>
          <w:r>
            <w:rPr>
              <w:rFonts w:ascii="仿宋_GB2312" w:hAnsi="仿宋_GB2312" w:eastAsia="仿宋_GB2312" w:cs="仿宋_GB2312"/>
              <w:sz w:val="32"/>
              <w:szCs w:val="32"/>
            </w:rPr>
            <w:t>6</w:t>
          </w:r>
          <w:r>
            <w:rPr>
              <w:rFonts w:ascii="仿宋_GB2312" w:hAnsi="仿宋_GB2312" w:eastAsia="仿宋_GB2312" w:cs="仿宋_GB2312"/>
              <w:sz w:val="32"/>
              <w:szCs w:val="32"/>
            </w:rPr>
            <w:fldChar w:fldCharType="end"/>
          </w:r>
          <w:r>
            <w:rPr>
              <w:rFonts w:ascii="仿宋_GB2312" w:hAnsi="仿宋_GB2312" w:eastAsia="仿宋_GB2312" w:cs="仿宋_GB2312"/>
              <w:sz w:val="32"/>
              <w:szCs w:val="32"/>
            </w:rPr>
            <w:fldChar w:fldCharType="end"/>
          </w:r>
        </w:p>
        <w:p>
          <w:pPr>
            <w:pStyle w:val="12"/>
            <w:rPr>
              <w:rFonts w:ascii="仿宋_GB2312" w:hAnsi="仿宋_GB2312" w:eastAsia="仿宋_GB2312" w:cs="仿宋_GB2312"/>
              <w:sz w:val="32"/>
              <w:szCs w:val="32"/>
            </w:rPr>
          </w:pPr>
          <w:r>
            <w:fldChar w:fldCharType="begin"/>
          </w:r>
          <w:r>
            <w:instrText xml:space="preserve"> HYPERLINK \l "_Toc147678523" </w:instrText>
          </w:r>
          <w:r>
            <w:fldChar w:fldCharType="separate"/>
          </w:r>
          <w:r>
            <w:rPr>
              <w:rFonts w:hint="eastAsia" w:ascii="仿宋_GB2312" w:hAnsi="仿宋_GB2312" w:eastAsia="仿宋_GB2312" w:cs="仿宋_GB2312"/>
              <w:sz w:val="32"/>
              <w:szCs w:val="32"/>
            </w:rPr>
            <w:t>五、一般公共预算财政拨款支出决算情况说明</w:t>
          </w:r>
          <w:r>
            <w:rPr>
              <w:rFonts w:ascii="仿宋_GB2312" w:hAnsi="仿宋_GB2312" w:eastAsia="仿宋_GB2312" w:cs="仿宋_GB2312"/>
              <w:sz w:val="32"/>
              <w:szCs w:val="32"/>
            </w:rPr>
            <w:tab/>
          </w:r>
          <w:r>
            <w:rPr>
              <w:rFonts w:ascii="仿宋_GB2312" w:hAnsi="仿宋_GB2312" w:eastAsia="仿宋_GB2312" w:cs="仿宋_GB2312"/>
              <w:sz w:val="32"/>
              <w:szCs w:val="32"/>
            </w:rPr>
            <w:fldChar w:fldCharType="begin"/>
          </w:r>
          <w:r>
            <w:rPr>
              <w:rFonts w:ascii="仿宋_GB2312" w:hAnsi="仿宋_GB2312" w:eastAsia="仿宋_GB2312" w:cs="仿宋_GB2312"/>
              <w:sz w:val="32"/>
              <w:szCs w:val="32"/>
            </w:rPr>
            <w:instrText xml:space="preserve"> PAGEREF _Toc147678523 \h </w:instrText>
          </w:r>
          <w:r>
            <w:rPr>
              <w:rFonts w:ascii="仿宋_GB2312" w:hAnsi="仿宋_GB2312" w:eastAsia="仿宋_GB2312" w:cs="仿宋_GB2312"/>
              <w:sz w:val="32"/>
              <w:szCs w:val="32"/>
            </w:rPr>
            <w:fldChar w:fldCharType="separate"/>
          </w:r>
          <w:r>
            <w:rPr>
              <w:rFonts w:ascii="仿宋_GB2312" w:hAnsi="仿宋_GB2312" w:eastAsia="仿宋_GB2312" w:cs="仿宋_GB2312"/>
              <w:sz w:val="32"/>
              <w:szCs w:val="32"/>
            </w:rPr>
            <w:t>6</w:t>
          </w:r>
          <w:r>
            <w:rPr>
              <w:rFonts w:ascii="仿宋_GB2312" w:hAnsi="仿宋_GB2312" w:eastAsia="仿宋_GB2312" w:cs="仿宋_GB2312"/>
              <w:sz w:val="32"/>
              <w:szCs w:val="32"/>
            </w:rPr>
            <w:fldChar w:fldCharType="end"/>
          </w:r>
          <w:r>
            <w:rPr>
              <w:rFonts w:ascii="仿宋_GB2312" w:hAnsi="仿宋_GB2312" w:eastAsia="仿宋_GB2312" w:cs="仿宋_GB2312"/>
              <w:sz w:val="32"/>
              <w:szCs w:val="32"/>
            </w:rPr>
            <w:fldChar w:fldCharType="end"/>
          </w:r>
        </w:p>
        <w:p>
          <w:pPr>
            <w:pStyle w:val="12"/>
            <w:rPr>
              <w:rFonts w:ascii="仿宋_GB2312" w:hAnsi="仿宋_GB2312" w:eastAsia="仿宋_GB2312" w:cs="仿宋_GB2312"/>
              <w:sz w:val="32"/>
              <w:szCs w:val="32"/>
            </w:rPr>
          </w:pPr>
          <w:r>
            <w:fldChar w:fldCharType="begin"/>
          </w:r>
          <w:r>
            <w:instrText xml:space="preserve"> HYPERLINK \l "_Toc147678528" </w:instrText>
          </w:r>
          <w:r>
            <w:fldChar w:fldCharType="separate"/>
          </w:r>
          <w:r>
            <w:rPr>
              <w:rFonts w:hint="eastAsia" w:ascii="仿宋_GB2312" w:hAnsi="仿宋_GB2312" w:eastAsia="仿宋_GB2312" w:cs="仿宋_GB2312"/>
              <w:sz w:val="32"/>
              <w:szCs w:val="32"/>
            </w:rPr>
            <w:t>六、一般公共预算财政拨款基本支出决算情况说明</w:t>
          </w:r>
          <w:r>
            <w:rPr>
              <w:rFonts w:ascii="仿宋_GB2312" w:hAnsi="仿宋_GB2312" w:eastAsia="仿宋_GB2312" w:cs="仿宋_GB2312"/>
              <w:sz w:val="32"/>
              <w:szCs w:val="32"/>
            </w:rPr>
            <w:tab/>
          </w:r>
          <w:r>
            <w:rPr>
              <w:rFonts w:ascii="仿宋_GB2312" w:hAnsi="仿宋_GB2312" w:eastAsia="仿宋_GB2312" w:cs="仿宋_GB2312"/>
              <w:sz w:val="32"/>
              <w:szCs w:val="32"/>
            </w:rPr>
            <w:fldChar w:fldCharType="begin"/>
          </w:r>
          <w:r>
            <w:rPr>
              <w:rFonts w:ascii="仿宋_GB2312" w:hAnsi="仿宋_GB2312" w:eastAsia="仿宋_GB2312" w:cs="仿宋_GB2312"/>
              <w:sz w:val="32"/>
              <w:szCs w:val="32"/>
            </w:rPr>
            <w:instrText xml:space="preserve"> PAGEREF _Toc147678528 \h </w:instrText>
          </w:r>
          <w:r>
            <w:rPr>
              <w:rFonts w:ascii="仿宋_GB2312" w:hAnsi="仿宋_GB2312" w:eastAsia="仿宋_GB2312" w:cs="仿宋_GB2312"/>
              <w:sz w:val="32"/>
              <w:szCs w:val="32"/>
            </w:rPr>
            <w:fldChar w:fldCharType="separate"/>
          </w:r>
          <w:r>
            <w:rPr>
              <w:rFonts w:ascii="仿宋_GB2312" w:hAnsi="仿宋_GB2312" w:eastAsia="仿宋_GB2312" w:cs="仿宋_GB2312"/>
              <w:sz w:val="32"/>
              <w:szCs w:val="32"/>
            </w:rPr>
            <w:t>9</w:t>
          </w:r>
          <w:r>
            <w:rPr>
              <w:rFonts w:ascii="仿宋_GB2312" w:hAnsi="仿宋_GB2312" w:eastAsia="仿宋_GB2312" w:cs="仿宋_GB2312"/>
              <w:sz w:val="32"/>
              <w:szCs w:val="32"/>
            </w:rPr>
            <w:fldChar w:fldCharType="end"/>
          </w:r>
          <w:r>
            <w:rPr>
              <w:rFonts w:ascii="仿宋_GB2312" w:hAnsi="仿宋_GB2312" w:eastAsia="仿宋_GB2312" w:cs="仿宋_GB2312"/>
              <w:sz w:val="32"/>
              <w:szCs w:val="32"/>
            </w:rPr>
            <w:fldChar w:fldCharType="end"/>
          </w:r>
        </w:p>
        <w:p>
          <w:pPr>
            <w:pStyle w:val="12"/>
            <w:rPr>
              <w:rFonts w:ascii="仿宋_GB2312" w:hAnsi="仿宋_GB2312" w:eastAsia="仿宋_GB2312" w:cs="仿宋_GB2312"/>
              <w:sz w:val="32"/>
              <w:szCs w:val="32"/>
            </w:rPr>
          </w:pPr>
          <w:r>
            <w:fldChar w:fldCharType="begin"/>
          </w:r>
          <w:r>
            <w:instrText xml:space="preserve"> HYPERLINK \l "_Toc147678529" </w:instrText>
          </w:r>
          <w:r>
            <w:fldChar w:fldCharType="separate"/>
          </w:r>
          <w:r>
            <w:rPr>
              <w:rFonts w:hint="eastAsia" w:ascii="仿宋_GB2312" w:hAnsi="仿宋_GB2312" w:eastAsia="仿宋_GB2312" w:cs="仿宋_GB2312"/>
              <w:sz w:val="32"/>
              <w:szCs w:val="32"/>
            </w:rPr>
            <w:t>七、财政拨款“三公”经费支出决算情况说明</w:t>
          </w:r>
          <w:r>
            <w:rPr>
              <w:rFonts w:ascii="仿宋_GB2312" w:hAnsi="仿宋_GB2312" w:eastAsia="仿宋_GB2312" w:cs="仿宋_GB2312"/>
              <w:sz w:val="32"/>
              <w:szCs w:val="32"/>
            </w:rPr>
            <w:tab/>
          </w:r>
          <w:r>
            <w:rPr>
              <w:rFonts w:ascii="仿宋_GB2312" w:hAnsi="仿宋_GB2312" w:eastAsia="仿宋_GB2312" w:cs="仿宋_GB2312"/>
              <w:sz w:val="32"/>
              <w:szCs w:val="32"/>
            </w:rPr>
            <w:fldChar w:fldCharType="begin"/>
          </w:r>
          <w:r>
            <w:rPr>
              <w:rFonts w:ascii="仿宋_GB2312" w:hAnsi="仿宋_GB2312" w:eastAsia="仿宋_GB2312" w:cs="仿宋_GB2312"/>
              <w:sz w:val="32"/>
              <w:szCs w:val="32"/>
            </w:rPr>
            <w:instrText xml:space="preserve"> PAGEREF _Toc147678529 \h </w:instrText>
          </w:r>
          <w:r>
            <w:rPr>
              <w:rFonts w:ascii="仿宋_GB2312" w:hAnsi="仿宋_GB2312" w:eastAsia="仿宋_GB2312" w:cs="仿宋_GB2312"/>
              <w:sz w:val="32"/>
              <w:szCs w:val="32"/>
            </w:rPr>
            <w:fldChar w:fldCharType="separate"/>
          </w:r>
          <w:r>
            <w:rPr>
              <w:rFonts w:ascii="仿宋_GB2312" w:hAnsi="仿宋_GB2312" w:eastAsia="仿宋_GB2312" w:cs="仿宋_GB2312"/>
              <w:sz w:val="32"/>
              <w:szCs w:val="32"/>
            </w:rPr>
            <w:t>9</w:t>
          </w:r>
          <w:r>
            <w:rPr>
              <w:rFonts w:ascii="仿宋_GB2312" w:hAnsi="仿宋_GB2312" w:eastAsia="仿宋_GB2312" w:cs="仿宋_GB2312"/>
              <w:sz w:val="32"/>
              <w:szCs w:val="32"/>
            </w:rPr>
            <w:fldChar w:fldCharType="end"/>
          </w:r>
          <w:r>
            <w:rPr>
              <w:rFonts w:ascii="仿宋_GB2312" w:hAnsi="仿宋_GB2312" w:eastAsia="仿宋_GB2312" w:cs="仿宋_GB2312"/>
              <w:sz w:val="32"/>
              <w:szCs w:val="32"/>
            </w:rPr>
            <w:fldChar w:fldCharType="end"/>
          </w:r>
        </w:p>
        <w:p>
          <w:pPr>
            <w:pStyle w:val="12"/>
            <w:rPr>
              <w:rFonts w:ascii="仿宋_GB2312" w:hAnsi="仿宋_GB2312" w:eastAsia="仿宋_GB2312" w:cs="仿宋_GB2312"/>
              <w:sz w:val="32"/>
              <w:szCs w:val="32"/>
            </w:rPr>
          </w:pPr>
          <w:r>
            <w:fldChar w:fldCharType="begin"/>
          </w:r>
          <w:r>
            <w:instrText xml:space="preserve"> HYPERLINK \l "_Toc147678532" </w:instrText>
          </w:r>
          <w:r>
            <w:fldChar w:fldCharType="separate"/>
          </w:r>
          <w:r>
            <w:rPr>
              <w:rFonts w:hint="eastAsia" w:ascii="仿宋_GB2312" w:hAnsi="仿宋_GB2312" w:eastAsia="仿宋_GB2312" w:cs="仿宋_GB2312"/>
              <w:sz w:val="32"/>
              <w:szCs w:val="32"/>
            </w:rPr>
            <w:t>八、政府性基金预算支出决算情况说明</w:t>
          </w:r>
          <w:r>
            <w:rPr>
              <w:rFonts w:ascii="仿宋_GB2312" w:hAnsi="仿宋_GB2312" w:eastAsia="仿宋_GB2312" w:cs="仿宋_GB2312"/>
              <w:sz w:val="32"/>
              <w:szCs w:val="32"/>
            </w:rPr>
            <w:tab/>
          </w:r>
          <w:r>
            <w:rPr>
              <w:rFonts w:ascii="仿宋_GB2312" w:hAnsi="仿宋_GB2312" w:eastAsia="仿宋_GB2312" w:cs="仿宋_GB2312"/>
              <w:sz w:val="32"/>
              <w:szCs w:val="32"/>
            </w:rPr>
            <w:fldChar w:fldCharType="begin"/>
          </w:r>
          <w:r>
            <w:rPr>
              <w:rFonts w:ascii="仿宋_GB2312" w:hAnsi="仿宋_GB2312" w:eastAsia="仿宋_GB2312" w:cs="仿宋_GB2312"/>
              <w:sz w:val="32"/>
              <w:szCs w:val="32"/>
            </w:rPr>
            <w:instrText xml:space="preserve"> PAGEREF _Toc147678532 \h </w:instrText>
          </w:r>
          <w:r>
            <w:rPr>
              <w:rFonts w:ascii="仿宋_GB2312" w:hAnsi="仿宋_GB2312" w:eastAsia="仿宋_GB2312" w:cs="仿宋_GB2312"/>
              <w:sz w:val="32"/>
              <w:szCs w:val="32"/>
            </w:rPr>
            <w:fldChar w:fldCharType="separate"/>
          </w:r>
          <w:r>
            <w:rPr>
              <w:rFonts w:ascii="仿宋_GB2312" w:hAnsi="仿宋_GB2312" w:eastAsia="仿宋_GB2312" w:cs="仿宋_GB2312"/>
              <w:sz w:val="32"/>
              <w:szCs w:val="32"/>
            </w:rPr>
            <w:t>11</w:t>
          </w:r>
          <w:r>
            <w:rPr>
              <w:rFonts w:ascii="仿宋_GB2312" w:hAnsi="仿宋_GB2312" w:eastAsia="仿宋_GB2312" w:cs="仿宋_GB2312"/>
              <w:sz w:val="32"/>
              <w:szCs w:val="32"/>
            </w:rPr>
            <w:fldChar w:fldCharType="end"/>
          </w:r>
          <w:r>
            <w:rPr>
              <w:rFonts w:ascii="仿宋_GB2312" w:hAnsi="仿宋_GB2312" w:eastAsia="仿宋_GB2312" w:cs="仿宋_GB2312"/>
              <w:sz w:val="32"/>
              <w:szCs w:val="32"/>
            </w:rPr>
            <w:fldChar w:fldCharType="end"/>
          </w:r>
        </w:p>
        <w:p>
          <w:pPr>
            <w:pStyle w:val="12"/>
            <w:rPr>
              <w:rFonts w:ascii="仿宋_GB2312" w:hAnsi="仿宋_GB2312" w:eastAsia="仿宋_GB2312" w:cs="仿宋_GB2312"/>
              <w:sz w:val="32"/>
              <w:szCs w:val="32"/>
            </w:rPr>
          </w:pPr>
          <w:r>
            <w:fldChar w:fldCharType="begin"/>
          </w:r>
          <w:r>
            <w:instrText xml:space="preserve"> HYPERLINK \l "_Toc147678533" </w:instrText>
          </w:r>
          <w:r>
            <w:fldChar w:fldCharType="separate"/>
          </w:r>
          <w:r>
            <w:rPr>
              <w:rFonts w:hint="eastAsia" w:ascii="仿宋_GB2312" w:hAnsi="仿宋_GB2312" w:eastAsia="仿宋_GB2312" w:cs="仿宋_GB2312"/>
              <w:sz w:val="32"/>
              <w:szCs w:val="32"/>
            </w:rPr>
            <w:t>九、国有资本经营预算支出决算情况说明</w:t>
          </w:r>
          <w:r>
            <w:rPr>
              <w:rFonts w:ascii="仿宋_GB2312" w:hAnsi="仿宋_GB2312" w:eastAsia="仿宋_GB2312" w:cs="仿宋_GB2312"/>
              <w:sz w:val="32"/>
              <w:szCs w:val="32"/>
            </w:rPr>
            <w:tab/>
          </w:r>
          <w:r>
            <w:rPr>
              <w:rFonts w:ascii="仿宋_GB2312" w:hAnsi="仿宋_GB2312" w:eastAsia="仿宋_GB2312" w:cs="仿宋_GB2312"/>
              <w:sz w:val="32"/>
              <w:szCs w:val="32"/>
            </w:rPr>
            <w:fldChar w:fldCharType="begin"/>
          </w:r>
          <w:r>
            <w:rPr>
              <w:rFonts w:ascii="仿宋_GB2312" w:hAnsi="仿宋_GB2312" w:eastAsia="仿宋_GB2312" w:cs="仿宋_GB2312"/>
              <w:sz w:val="32"/>
              <w:szCs w:val="32"/>
            </w:rPr>
            <w:instrText xml:space="preserve"> PAGEREF _Toc147678533 \h </w:instrText>
          </w:r>
          <w:r>
            <w:rPr>
              <w:rFonts w:ascii="仿宋_GB2312" w:hAnsi="仿宋_GB2312" w:eastAsia="仿宋_GB2312" w:cs="仿宋_GB2312"/>
              <w:sz w:val="32"/>
              <w:szCs w:val="32"/>
            </w:rPr>
            <w:fldChar w:fldCharType="separate"/>
          </w:r>
          <w:r>
            <w:rPr>
              <w:rFonts w:ascii="仿宋_GB2312" w:hAnsi="仿宋_GB2312" w:eastAsia="仿宋_GB2312" w:cs="仿宋_GB2312"/>
              <w:sz w:val="32"/>
              <w:szCs w:val="32"/>
            </w:rPr>
            <w:t>11</w:t>
          </w:r>
          <w:r>
            <w:rPr>
              <w:rFonts w:ascii="仿宋_GB2312" w:hAnsi="仿宋_GB2312" w:eastAsia="仿宋_GB2312" w:cs="仿宋_GB2312"/>
              <w:sz w:val="32"/>
              <w:szCs w:val="32"/>
            </w:rPr>
            <w:fldChar w:fldCharType="end"/>
          </w:r>
          <w:r>
            <w:rPr>
              <w:rFonts w:ascii="仿宋_GB2312" w:hAnsi="仿宋_GB2312" w:eastAsia="仿宋_GB2312" w:cs="仿宋_GB2312"/>
              <w:sz w:val="32"/>
              <w:szCs w:val="32"/>
            </w:rPr>
            <w:fldChar w:fldCharType="end"/>
          </w:r>
        </w:p>
        <w:p>
          <w:pPr>
            <w:pStyle w:val="12"/>
            <w:rPr>
              <w:rFonts w:ascii="仿宋_GB2312" w:hAnsi="仿宋_GB2312" w:eastAsia="仿宋_GB2312" w:cs="仿宋_GB2312"/>
              <w:sz w:val="32"/>
              <w:szCs w:val="32"/>
            </w:rPr>
          </w:pPr>
          <w:r>
            <w:fldChar w:fldCharType="begin"/>
          </w:r>
          <w:r>
            <w:instrText xml:space="preserve"> HYPERLINK \l "_Toc147678534" </w:instrText>
          </w:r>
          <w:r>
            <w:fldChar w:fldCharType="separate"/>
          </w:r>
          <w:r>
            <w:rPr>
              <w:rFonts w:hint="eastAsia" w:ascii="仿宋_GB2312" w:hAnsi="仿宋_GB2312" w:eastAsia="仿宋_GB2312" w:cs="仿宋_GB2312"/>
              <w:sz w:val="32"/>
              <w:szCs w:val="32"/>
            </w:rPr>
            <w:t>十、其他重要事项的情况说明</w:t>
          </w:r>
          <w:r>
            <w:rPr>
              <w:rFonts w:ascii="仿宋_GB2312" w:hAnsi="仿宋_GB2312" w:eastAsia="仿宋_GB2312" w:cs="仿宋_GB2312"/>
              <w:sz w:val="32"/>
              <w:szCs w:val="32"/>
            </w:rPr>
            <w:tab/>
          </w:r>
          <w:r>
            <w:rPr>
              <w:rFonts w:ascii="仿宋_GB2312" w:hAnsi="仿宋_GB2312" w:eastAsia="仿宋_GB2312" w:cs="仿宋_GB2312"/>
              <w:sz w:val="32"/>
              <w:szCs w:val="32"/>
            </w:rPr>
            <w:fldChar w:fldCharType="begin"/>
          </w:r>
          <w:r>
            <w:rPr>
              <w:rFonts w:ascii="仿宋_GB2312" w:hAnsi="仿宋_GB2312" w:eastAsia="仿宋_GB2312" w:cs="仿宋_GB2312"/>
              <w:sz w:val="32"/>
              <w:szCs w:val="32"/>
            </w:rPr>
            <w:instrText xml:space="preserve"> PAGEREF _Toc147678534 \h </w:instrText>
          </w:r>
          <w:r>
            <w:rPr>
              <w:rFonts w:ascii="仿宋_GB2312" w:hAnsi="仿宋_GB2312" w:eastAsia="仿宋_GB2312" w:cs="仿宋_GB2312"/>
              <w:sz w:val="32"/>
              <w:szCs w:val="32"/>
            </w:rPr>
            <w:fldChar w:fldCharType="separate"/>
          </w:r>
          <w:r>
            <w:rPr>
              <w:rFonts w:ascii="仿宋_GB2312" w:hAnsi="仿宋_GB2312" w:eastAsia="仿宋_GB2312" w:cs="仿宋_GB2312"/>
              <w:sz w:val="32"/>
              <w:szCs w:val="32"/>
            </w:rPr>
            <w:t>11</w:t>
          </w:r>
          <w:r>
            <w:rPr>
              <w:rFonts w:ascii="仿宋_GB2312" w:hAnsi="仿宋_GB2312" w:eastAsia="仿宋_GB2312" w:cs="仿宋_GB2312"/>
              <w:sz w:val="32"/>
              <w:szCs w:val="32"/>
            </w:rPr>
            <w:fldChar w:fldCharType="end"/>
          </w:r>
          <w:r>
            <w:rPr>
              <w:rFonts w:ascii="仿宋_GB2312" w:hAnsi="仿宋_GB2312" w:eastAsia="仿宋_GB2312" w:cs="仿宋_GB2312"/>
              <w:sz w:val="32"/>
              <w:szCs w:val="32"/>
            </w:rPr>
            <w:fldChar w:fldCharType="end"/>
          </w:r>
        </w:p>
        <w:p>
          <w:pPr>
            <w:pStyle w:val="11"/>
            <w:jc w:val="both"/>
            <w:rPr>
              <w:rFonts w:ascii="仿宋_GB2312" w:hAnsi="仿宋_GB2312" w:eastAsia="仿宋_GB2312" w:cs="仿宋_GB2312"/>
              <w:sz w:val="32"/>
              <w:szCs w:val="32"/>
            </w:rPr>
          </w:pPr>
          <w:r>
            <w:fldChar w:fldCharType="begin"/>
          </w:r>
          <w:r>
            <w:instrText xml:space="preserve"> HYPERLINK \l "_Toc147678539" </w:instrText>
          </w:r>
          <w:r>
            <w:fldChar w:fldCharType="separate"/>
          </w:r>
          <w:r>
            <w:rPr>
              <w:rFonts w:hint="eastAsia" w:ascii="仿宋_GB2312" w:hAnsi="仿宋_GB2312" w:eastAsia="仿宋_GB2312" w:cs="仿宋_GB2312"/>
              <w:sz w:val="32"/>
              <w:szCs w:val="32"/>
            </w:rPr>
            <w:t>第三部分名词解释</w:t>
          </w:r>
          <w:r>
            <w:rPr>
              <w:rFonts w:ascii="仿宋_GB2312" w:hAnsi="仿宋_GB2312" w:eastAsia="仿宋_GB2312" w:cs="仿宋_GB2312"/>
              <w:sz w:val="32"/>
              <w:szCs w:val="32"/>
            </w:rPr>
            <w:tab/>
          </w:r>
          <w:r>
            <w:rPr>
              <w:rFonts w:ascii="仿宋_GB2312" w:hAnsi="仿宋_GB2312" w:eastAsia="仿宋_GB2312" w:cs="仿宋_GB2312"/>
              <w:sz w:val="32"/>
              <w:szCs w:val="32"/>
            </w:rPr>
            <w:fldChar w:fldCharType="begin"/>
          </w:r>
          <w:r>
            <w:rPr>
              <w:rFonts w:ascii="仿宋_GB2312" w:hAnsi="仿宋_GB2312" w:eastAsia="仿宋_GB2312" w:cs="仿宋_GB2312"/>
              <w:sz w:val="32"/>
              <w:szCs w:val="32"/>
            </w:rPr>
            <w:instrText xml:space="preserve"> PAGEREF _Toc147678539 \h </w:instrText>
          </w:r>
          <w:r>
            <w:rPr>
              <w:rFonts w:ascii="仿宋_GB2312" w:hAnsi="仿宋_GB2312" w:eastAsia="仿宋_GB2312" w:cs="仿宋_GB2312"/>
              <w:sz w:val="32"/>
              <w:szCs w:val="32"/>
            </w:rPr>
            <w:fldChar w:fldCharType="separate"/>
          </w:r>
          <w:r>
            <w:rPr>
              <w:rFonts w:ascii="仿宋_GB2312" w:hAnsi="仿宋_GB2312" w:eastAsia="仿宋_GB2312" w:cs="仿宋_GB2312"/>
              <w:sz w:val="32"/>
              <w:szCs w:val="32"/>
            </w:rPr>
            <w:t>13</w:t>
          </w:r>
          <w:r>
            <w:rPr>
              <w:rFonts w:ascii="仿宋_GB2312" w:hAnsi="仿宋_GB2312" w:eastAsia="仿宋_GB2312" w:cs="仿宋_GB2312"/>
              <w:sz w:val="32"/>
              <w:szCs w:val="32"/>
            </w:rPr>
            <w:fldChar w:fldCharType="end"/>
          </w:r>
          <w:r>
            <w:rPr>
              <w:rFonts w:ascii="仿宋_GB2312" w:hAnsi="仿宋_GB2312" w:eastAsia="仿宋_GB2312" w:cs="仿宋_GB2312"/>
              <w:sz w:val="32"/>
              <w:szCs w:val="32"/>
            </w:rPr>
            <w:fldChar w:fldCharType="end"/>
          </w:r>
        </w:p>
        <w:p>
          <w:pPr>
            <w:pStyle w:val="11"/>
            <w:jc w:val="both"/>
            <w:rPr>
              <w:rFonts w:ascii="仿宋_GB2312" w:hAnsi="仿宋_GB2312" w:eastAsia="仿宋_GB2312" w:cs="仿宋_GB2312"/>
              <w:sz w:val="32"/>
              <w:szCs w:val="32"/>
            </w:rPr>
          </w:pPr>
          <w:r>
            <w:fldChar w:fldCharType="begin"/>
          </w:r>
          <w:r>
            <w:instrText xml:space="preserve"> HYPERLINK \l "_Toc147678540" </w:instrText>
          </w:r>
          <w:r>
            <w:fldChar w:fldCharType="separate"/>
          </w:r>
          <w:r>
            <w:rPr>
              <w:rFonts w:hint="eastAsia" w:ascii="仿宋_GB2312" w:hAnsi="仿宋_GB2312" w:eastAsia="仿宋_GB2312" w:cs="仿宋_GB2312"/>
              <w:sz w:val="32"/>
              <w:szCs w:val="32"/>
            </w:rPr>
            <w:t>第四部分附件</w:t>
          </w:r>
          <w:r>
            <w:rPr>
              <w:rFonts w:ascii="仿宋_GB2312" w:hAnsi="仿宋_GB2312" w:eastAsia="仿宋_GB2312" w:cs="仿宋_GB2312"/>
              <w:sz w:val="32"/>
              <w:szCs w:val="32"/>
            </w:rPr>
            <w:tab/>
          </w:r>
          <w:r>
            <w:rPr>
              <w:rFonts w:ascii="仿宋_GB2312" w:hAnsi="仿宋_GB2312" w:eastAsia="仿宋_GB2312" w:cs="仿宋_GB2312"/>
              <w:sz w:val="32"/>
              <w:szCs w:val="32"/>
            </w:rPr>
            <w:fldChar w:fldCharType="begin"/>
          </w:r>
          <w:r>
            <w:rPr>
              <w:rFonts w:ascii="仿宋_GB2312" w:hAnsi="仿宋_GB2312" w:eastAsia="仿宋_GB2312" w:cs="仿宋_GB2312"/>
              <w:sz w:val="32"/>
              <w:szCs w:val="32"/>
            </w:rPr>
            <w:instrText xml:space="preserve"> PAGEREF _Toc147678540 \h </w:instrText>
          </w:r>
          <w:r>
            <w:rPr>
              <w:rFonts w:ascii="仿宋_GB2312" w:hAnsi="仿宋_GB2312" w:eastAsia="仿宋_GB2312" w:cs="仿宋_GB2312"/>
              <w:sz w:val="32"/>
              <w:szCs w:val="32"/>
            </w:rPr>
            <w:fldChar w:fldCharType="separate"/>
          </w:r>
          <w:r>
            <w:rPr>
              <w:rFonts w:ascii="仿宋_GB2312" w:hAnsi="仿宋_GB2312" w:eastAsia="仿宋_GB2312" w:cs="仿宋_GB2312"/>
              <w:sz w:val="32"/>
              <w:szCs w:val="32"/>
            </w:rPr>
            <w:t>16</w:t>
          </w:r>
          <w:r>
            <w:rPr>
              <w:rFonts w:ascii="仿宋_GB2312" w:hAnsi="仿宋_GB2312" w:eastAsia="仿宋_GB2312" w:cs="仿宋_GB2312"/>
              <w:sz w:val="32"/>
              <w:szCs w:val="32"/>
            </w:rPr>
            <w:fldChar w:fldCharType="end"/>
          </w:r>
          <w:r>
            <w:rPr>
              <w:rFonts w:ascii="仿宋_GB2312" w:hAnsi="仿宋_GB2312" w:eastAsia="仿宋_GB2312" w:cs="仿宋_GB2312"/>
              <w:sz w:val="32"/>
              <w:szCs w:val="32"/>
            </w:rPr>
            <w:fldChar w:fldCharType="end"/>
          </w:r>
        </w:p>
        <w:p>
          <w:pPr>
            <w:pStyle w:val="11"/>
            <w:jc w:val="both"/>
            <w:rPr>
              <w:rFonts w:ascii="仿宋_GB2312" w:hAnsi="仿宋_GB2312" w:eastAsia="仿宋_GB2312" w:cs="仿宋_GB2312"/>
              <w:sz w:val="32"/>
              <w:szCs w:val="32"/>
            </w:rPr>
          </w:pPr>
          <w:r>
            <w:fldChar w:fldCharType="begin"/>
          </w:r>
          <w:r>
            <w:instrText xml:space="preserve"> HYPERLINK \l "_Toc147678544" </w:instrText>
          </w:r>
          <w:r>
            <w:fldChar w:fldCharType="separate"/>
          </w:r>
          <w:r>
            <w:rPr>
              <w:rFonts w:hint="eastAsia" w:ascii="仿宋_GB2312" w:hAnsi="仿宋_GB2312" w:eastAsia="仿宋_GB2312" w:cs="仿宋_GB2312"/>
              <w:sz w:val="32"/>
              <w:szCs w:val="32"/>
            </w:rPr>
            <w:t>第五部分附表</w:t>
          </w:r>
          <w:r>
            <w:rPr>
              <w:rFonts w:ascii="仿宋_GB2312" w:hAnsi="仿宋_GB2312" w:eastAsia="仿宋_GB2312" w:cs="仿宋_GB2312"/>
              <w:sz w:val="32"/>
              <w:szCs w:val="32"/>
            </w:rPr>
            <w:tab/>
          </w:r>
          <w:r>
            <w:rPr>
              <w:rFonts w:ascii="仿宋_GB2312" w:hAnsi="仿宋_GB2312" w:eastAsia="仿宋_GB2312" w:cs="仿宋_GB2312"/>
              <w:sz w:val="32"/>
              <w:szCs w:val="32"/>
            </w:rPr>
            <w:fldChar w:fldCharType="begin"/>
          </w:r>
          <w:r>
            <w:rPr>
              <w:rFonts w:ascii="仿宋_GB2312" w:hAnsi="仿宋_GB2312" w:eastAsia="仿宋_GB2312" w:cs="仿宋_GB2312"/>
              <w:sz w:val="32"/>
              <w:szCs w:val="32"/>
            </w:rPr>
            <w:instrText xml:space="preserve"> PAGEREF _Toc147678544 \h </w:instrText>
          </w:r>
          <w:r>
            <w:rPr>
              <w:rFonts w:ascii="仿宋_GB2312" w:hAnsi="仿宋_GB2312" w:eastAsia="仿宋_GB2312" w:cs="仿宋_GB2312"/>
              <w:sz w:val="32"/>
              <w:szCs w:val="32"/>
            </w:rPr>
            <w:fldChar w:fldCharType="separate"/>
          </w:r>
          <w:r>
            <w:rPr>
              <w:rFonts w:ascii="仿宋_GB2312" w:hAnsi="仿宋_GB2312" w:eastAsia="仿宋_GB2312" w:cs="仿宋_GB2312"/>
              <w:sz w:val="32"/>
              <w:szCs w:val="32"/>
            </w:rPr>
            <w:t>53</w:t>
          </w:r>
          <w:r>
            <w:rPr>
              <w:rFonts w:ascii="仿宋_GB2312" w:hAnsi="仿宋_GB2312" w:eastAsia="仿宋_GB2312" w:cs="仿宋_GB2312"/>
              <w:sz w:val="32"/>
              <w:szCs w:val="32"/>
            </w:rPr>
            <w:fldChar w:fldCharType="end"/>
          </w:r>
          <w:r>
            <w:rPr>
              <w:rFonts w:ascii="仿宋_GB2312" w:hAnsi="仿宋_GB2312" w:eastAsia="仿宋_GB2312" w:cs="仿宋_GB2312"/>
              <w:sz w:val="32"/>
              <w:szCs w:val="32"/>
            </w:rPr>
            <w:fldChar w:fldCharType="end"/>
          </w:r>
        </w:p>
        <w:p>
          <w:pPr>
            <w:pStyle w:val="12"/>
            <w:rPr>
              <w:rFonts w:ascii="仿宋_GB2312" w:hAnsi="仿宋_GB2312" w:eastAsia="仿宋_GB2312" w:cs="仿宋_GB2312"/>
              <w:sz w:val="32"/>
              <w:szCs w:val="32"/>
            </w:rPr>
          </w:pPr>
          <w:r>
            <w:fldChar w:fldCharType="begin"/>
          </w:r>
          <w:r>
            <w:instrText xml:space="preserve"> HYPERLINK \l "_Toc147678545" </w:instrText>
          </w:r>
          <w:r>
            <w:fldChar w:fldCharType="separate"/>
          </w:r>
          <w:r>
            <w:rPr>
              <w:rFonts w:hint="eastAsia" w:ascii="仿宋_GB2312" w:hAnsi="仿宋_GB2312" w:eastAsia="仿宋_GB2312" w:cs="仿宋_GB2312"/>
              <w:sz w:val="32"/>
              <w:szCs w:val="32"/>
            </w:rPr>
            <w:t>一、收入支出决算总表</w:t>
          </w:r>
          <w:r>
            <w:rPr>
              <w:rFonts w:ascii="仿宋_GB2312" w:hAnsi="仿宋_GB2312" w:eastAsia="仿宋_GB2312" w:cs="仿宋_GB2312"/>
              <w:sz w:val="32"/>
              <w:szCs w:val="32"/>
            </w:rPr>
            <w:tab/>
          </w:r>
          <w:r>
            <w:rPr>
              <w:rFonts w:ascii="仿宋_GB2312" w:hAnsi="仿宋_GB2312" w:eastAsia="仿宋_GB2312" w:cs="仿宋_GB2312"/>
              <w:sz w:val="32"/>
              <w:szCs w:val="32"/>
            </w:rPr>
            <w:fldChar w:fldCharType="begin"/>
          </w:r>
          <w:r>
            <w:rPr>
              <w:rFonts w:ascii="仿宋_GB2312" w:hAnsi="仿宋_GB2312" w:eastAsia="仿宋_GB2312" w:cs="仿宋_GB2312"/>
              <w:sz w:val="32"/>
              <w:szCs w:val="32"/>
            </w:rPr>
            <w:instrText xml:space="preserve"> PAGEREF _Toc147678545 \h </w:instrText>
          </w:r>
          <w:r>
            <w:rPr>
              <w:rFonts w:ascii="仿宋_GB2312" w:hAnsi="仿宋_GB2312" w:eastAsia="仿宋_GB2312" w:cs="仿宋_GB2312"/>
              <w:sz w:val="32"/>
              <w:szCs w:val="32"/>
            </w:rPr>
            <w:fldChar w:fldCharType="separate"/>
          </w:r>
          <w:r>
            <w:rPr>
              <w:rFonts w:ascii="仿宋_GB2312" w:hAnsi="仿宋_GB2312" w:eastAsia="仿宋_GB2312" w:cs="仿宋_GB2312"/>
              <w:sz w:val="32"/>
              <w:szCs w:val="32"/>
            </w:rPr>
            <w:t>53</w:t>
          </w:r>
          <w:r>
            <w:rPr>
              <w:rFonts w:ascii="仿宋_GB2312" w:hAnsi="仿宋_GB2312" w:eastAsia="仿宋_GB2312" w:cs="仿宋_GB2312"/>
              <w:sz w:val="32"/>
              <w:szCs w:val="32"/>
            </w:rPr>
            <w:fldChar w:fldCharType="end"/>
          </w:r>
          <w:r>
            <w:rPr>
              <w:rFonts w:ascii="仿宋_GB2312" w:hAnsi="仿宋_GB2312" w:eastAsia="仿宋_GB2312" w:cs="仿宋_GB2312"/>
              <w:sz w:val="32"/>
              <w:szCs w:val="32"/>
            </w:rPr>
            <w:fldChar w:fldCharType="end"/>
          </w:r>
        </w:p>
        <w:p>
          <w:pPr>
            <w:pStyle w:val="12"/>
            <w:rPr>
              <w:rFonts w:ascii="仿宋_GB2312" w:hAnsi="仿宋_GB2312" w:eastAsia="仿宋_GB2312" w:cs="仿宋_GB2312"/>
              <w:sz w:val="32"/>
              <w:szCs w:val="32"/>
            </w:rPr>
          </w:pPr>
          <w:r>
            <w:fldChar w:fldCharType="begin"/>
          </w:r>
          <w:r>
            <w:instrText xml:space="preserve"> HYPERLINK \l "_Toc147678546" </w:instrText>
          </w:r>
          <w:r>
            <w:fldChar w:fldCharType="separate"/>
          </w:r>
          <w:r>
            <w:rPr>
              <w:rFonts w:hint="eastAsia" w:ascii="仿宋_GB2312" w:hAnsi="仿宋_GB2312" w:eastAsia="仿宋_GB2312" w:cs="仿宋_GB2312"/>
              <w:sz w:val="32"/>
              <w:szCs w:val="32"/>
            </w:rPr>
            <w:t>二、收入决算表</w:t>
          </w:r>
          <w:r>
            <w:rPr>
              <w:rFonts w:ascii="仿宋_GB2312" w:hAnsi="仿宋_GB2312" w:eastAsia="仿宋_GB2312" w:cs="仿宋_GB2312"/>
              <w:sz w:val="32"/>
              <w:szCs w:val="32"/>
            </w:rPr>
            <w:tab/>
          </w:r>
          <w:r>
            <w:rPr>
              <w:rFonts w:ascii="仿宋_GB2312" w:hAnsi="仿宋_GB2312" w:eastAsia="仿宋_GB2312" w:cs="仿宋_GB2312"/>
              <w:sz w:val="32"/>
              <w:szCs w:val="32"/>
            </w:rPr>
            <w:fldChar w:fldCharType="begin"/>
          </w:r>
          <w:r>
            <w:rPr>
              <w:rFonts w:ascii="仿宋_GB2312" w:hAnsi="仿宋_GB2312" w:eastAsia="仿宋_GB2312" w:cs="仿宋_GB2312"/>
              <w:sz w:val="32"/>
              <w:szCs w:val="32"/>
            </w:rPr>
            <w:instrText xml:space="preserve"> PAGEREF _Toc147678546 \h </w:instrText>
          </w:r>
          <w:r>
            <w:rPr>
              <w:rFonts w:ascii="仿宋_GB2312" w:hAnsi="仿宋_GB2312" w:eastAsia="仿宋_GB2312" w:cs="仿宋_GB2312"/>
              <w:sz w:val="32"/>
              <w:szCs w:val="32"/>
            </w:rPr>
            <w:fldChar w:fldCharType="separate"/>
          </w:r>
          <w:r>
            <w:rPr>
              <w:rFonts w:ascii="仿宋_GB2312" w:hAnsi="仿宋_GB2312" w:eastAsia="仿宋_GB2312" w:cs="仿宋_GB2312"/>
              <w:sz w:val="32"/>
              <w:szCs w:val="32"/>
            </w:rPr>
            <w:t>53</w:t>
          </w:r>
          <w:r>
            <w:rPr>
              <w:rFonts w:ascii="仿宋_GB2312" w:hAnsi="仿宋_GB2312" w:eastAsia="仿宋_GB2312" w:cs="仿宋_GB2312"/>
              <w:sz w:val="32"/>
              <w:szCs w:val="32"/>
            </w:rPr>
            <w:fldChar w:fldCharType="end"/>
          </w:r>
          <w:r>
            <w:rPr>
              <w:rFonts w:ascii="仿宋_GB2312" w:hAnsi="仿宋_GB2312" w:eastAsia="仿宋_GB2312" w:cs="仿宋_GB2312"/>
              <w:sz w:val="32"/>
              <w:szCs w:val="32"/>
            </w:rPr>
            <w:fldChar w:fldCharType="end"/>
          </w:r>
        </w:p>
        <w:p>
          <w:pPr>
            <w:pStyle w:val="12"/>
            <w:rPr>
              <w:rFonts w:ascii="仿宋_GB2312" w:hAnsi="仿宋_GB2312" w:eastAsia="仿宋_GB2312" w:cs="仿宋_GB2312"/>
              <w:sz w:val="32"/>
              <w:szCs w:val="32"/>
            </w:rPr>
          </w:pPr>
          <w:r>
            <w:fldChar w:fldCharType="begin"/>
          </w:r>
          <w:r>
            <w:instrText xml:space="preserve"> HYPERLINK \l "_Toc147678547" </w:instrText>
          </w:r>
          <w:r>
            <w:fldChar w:fldCharType="separate"/>
          </w:r>
          <w:r>
            <w:rPr>
              <w:rFonts w:hint="eastAsia" w:ascii="仿宋_GB2312" w:hAnsi="仿宋_GB2312" w:eastAsia="仿宋_GB2312" w:cs="仿宋_GB2312"/>
              <w:sz w:val="32"/>
              <w:szCs w:val="32"/>
            </w:rPr>
            <w:t>三、支出决算表</w:t>
          </w:r>
          <w:r>
            <w:rPr>
              <w:rFonts w:ascii="仿宋_GB2312" w:hAnsi="仿宋_GB2312" w:eastAsia="仿宋_GB2312" w:cs="仿宋_GB2312"/>
              <w:sz w:val="32"/>
              <w:szCs w:val="32"/>
            </w:rPr>
            <w:tab/>
          </w:r>
          <w:r>
            <w:rPr>
              <w:rFonts w:ascii="仿宋_GB2312" w:hAnsi="仿宋_GB2312" w:eastAsia="仿宋_GB2312" w:cs="仿宋_GB2312"/>
              <w:sz w:val="32"/>
              <w:szCs w:val="32"/>
            </w:rPr>
            <w:fldChar w:fldCharType="begin"/>
          </w:r>
          <w:r>
            <w:rPr>
              <w:rFonts w:ascii="仿宋_GB2312" w:hAnsi="仿宋_GB2312" w:eastAsia="仿宋_GB2312" w:cs="仿宋_GB2312"/>
              <w:sz w:val="32"/>
              <w:szCs w:val="32"/>
            </w:rPr>
            <w:instrText xml:space="preserve"> PAGEREF _Toc147678547 \h </w:instrText>
          </w:r>
          <w:r>
            <w:rPr>
              <w:rFonts w:ascii="仿宋_GB2312" w:hAnsi="仿宋_GB2312" w:eastAsia="仿宋_GB2312" w:cs="仿宋_GB2312"/>
              <w:sz w:val="32"/>
              <w:szCs w:val="32"/>
            </w:rPr>
            <w:fldChar w:fldCharType="separate"/>
          </w:r>
          <w:r>
            <w:rPr>
              <w:rFonts w:ascii="仿宋_GB2312" w:hAnsi="仿宋_GB2312" w:eastAsia="仿宋_GB2312" w:cs="仿宋_GB2312"/>
              <w:sz w:val="32"/>
              <w:szCs w:val="32"/>
            </w:rPr>
            <w:t>53</w:t>
          </w:r>
          <w:r>
            <w:rPr>
              <w:rFonts w:ascii="仿宋_GB2312" w:hAnsi="仿宋_GB2312" w:eastAsia="仿宋_GB2312" w:cs="仿宋_GB2312"/>
              <w:sz w:val="32"/>
              <w:szCs w:val="32"/>
            </w:rPr>
            <w:fldChar w:fldCharType="end"/>
          </w:r>
          <w:r>
            <w:rPr>
              <w:rFonts w:ascii="仿宋_GB2312" w:hAnsi="仿宋_GB2312" w:eastAsia="仿宋_GB2312" w:cs="仿宋_GB2312"/>
              <w:sz w:val="32"/>
              <w:szCs w:val="32"/>
            </w:rPr>
            <w:fldChar w:fldCharType="end"/>
          </w:r>
        </w:p>
        <w:p>
          <w:pPr>
            <w:pStyle w:val="12"/>
            <w:rPr>
              <w:rFonts w:ascii="仿宋_GB2312" w:hAnsi="仿宋_GB2312" w:eastAsia="仿宋_GB2312" w:cs="仿宋_GB2312"/>
              <w:sz w:val="32"/>
              <w:szCs w:val="32"/>
            </w:rPr>
          </w:pPr>
          <w:r>
            <w:fldChar w:fldCharType="begin"/>
          </w:r>
          <w:r>
            <w:instrText xml:space="preserve"> HYPERLINK \l "_Toc147678548" </w:instrText>
          </w:r>
          <w:r>
            <w:fldChar w:fldCharType="separate"/>
          </w:r>
          <w:r>
            <w:rPr>
              <w:rFonts w:hint="eastAsia" w:ascii="仿宋_GB2312" w:hAnsi="仿宋_GB2312" w:eastAsia="仿宋_GB2312" w:cs="仿宋_GB2312"/>
              <w:sz w:val="32"/>
              <w:szCs w:val="32"/>
            </w:rPr>
            <w:t>四、财政拨款收入支出决算总表</w:t>
          </w:r>
          <w:r>
            <w:rPr>
              <w:rFonts w:ascii="仿宋_GB2312" w:hAnsi="仿宋_GB2312" w:eastAsia="仿宋_GB2312" w:cs="仿宋_GB2312"/>
              <w:sz w:val="32"/>
              <w:szCs w:val="32"/>
            </w:rPr>
            <w:tab/>
          </w:r>
          <w:r>
            <w:rPr>
              <w:rFonts w:ascii="仿宋_GB2312" w:hAnsi="仿宋_GB2312" w:eastAsia="仿宋_GB2312" w:cs="仿宋_GB2312"/>
              <w:sz w:val="32"/>
              <w:szCs w:val="32"/>
            </w:rPr>
            <w:fldChar w:fldCharType="begin"/>
          </w:r>
          <w:r>
            <w:rPr>
              <w:rFonts w:ascii="仿宋_GB2312" w:hAnsi="仿宋_GB2312" w:eastAsia="仿宋_GB2312" w:cs="仿宋_GB2312"/>
              <w:sz w:val="32"/>
              <w:szCs w:val="32"/>
            </w:rPr>
            <w:instrText xml:space="preserve"> PAGEREF _Toc147678548 \h </w:instrText>
          </w:r>
          <w:r>
            <w:rPr>
              <w:rFonts w:ascii="仿宋_GB2312" w:hAnsi="仿宋_GB2312" w:eastAsia="仿宋_GB2312" w:cs="仿宋_GB2312"/>
              <w:sz w:val="32"/>
              <w:szCs w:val="32"/>
            </w:rPr>
            <w:fldChar w:fldCharType="separate"/>
          </w:r>
          <w:r>
            <w:rPr>
              <w:rFonts w:ascii="仿宋_GB2312" w:hAnsi="仿宋_GB2312" w:eastAsia="仿宋_GB2312" w:cs="仿宋_GB2312"/>
              <w:sz w:val="32"/>
              <w:szCs w:val="32"/>
            </w:rPr>
            <w:t>53</w:t>
          </w:r>
          <w:r>
            <w:rPr>
              <w:rFonts w:ascii="仿宋_GB2312" w:hAnsi="仿宋_GB2312" w:eastAsia="仿宋_GB2312" w:cs="仿宋_GB2312"/>
              <w:sz w:val="32"/>
              <w:szCs w:val="32"/>
            </w:rPr>
            <w:fldChar w:fldCharType="end"/>
          </w:r>
          <w:r>
            <w:rPr>
              <w:rFonts w:ascii="仿宋_GB2312" w:hAnsi="仿宋_GB2312" w:eastAsia="仿宋_GB2312" w:cs="仿宋_GB2312"/>
              <w:sz w:val="32"/>
              <w:szCs w:val="32"/>
            </w:rPr>
            <w:fldChar w:fldCharType="end"/>
          </w:r>
        </w:p>
        <w:p>
          <w:pPr>
            <w:pStyle w:val="12"/>
            <w:rPr>
              <w:rFonts w:ascii="仿宋_GB2312" w:hAnsi="仿宋_GB2312" w:eastAsia="仿宋_GB2312" w:cs="仿宋_GB2312"/>
              <w:sz w:val="32"/>
              <w:szCs w:val="32"/>
            </w:rPr>
          </w:pPr>
          <w:r>
            <w:fldChar w:fldCharType="begin"/>
          </w:r>
          <w:r>
            <w:instrText xml:space="preserve"> HYPERLINK \l "_Toc147678549" </w:instrText>
          </w:r>
          <w:r>
            <w:fldChar w:fldCharType="separate"/>
          </w:r>
          <w:r>
            <w:rPr>
              <w:rFonts w:hint="eastAsia" w:ascii="仿宋_GB2312" w:hAnsi="仿宋_GB2312" w:eastAsia="仿宋_GB2312" w:cs="仿宋_GB2312"/>
              <w:sz w:val="32"/>
              <w:szCs w:val="32"/>
            </w:rPr>
            <w:t>五、财政拨款支出决算明细表</w:t>
          </w:r>
          <w:r>
            <w:rPr>
              <w:rFonts w:ascii="仿宋_GB2312" w:hAnsi="仿宋_GB2312" w:eastAsia="仿宋_GB2312" w:cs="仿宋_GB2312"/>
              <w:sz w:val="32"/>
              <w:szCs w:val="32"/>
            </w:rPr>
            <w:tab/>
          </w:r>
          <w:r>
            <w:rPr>
              <w:rFonts w:ascii="仿宋_GB2312" w:hAnsi="仿宋_GB2312" w:eastAsia="仿宋_GB2312" w:cs="仿宋_GB2312"/>
              <w:sz w:val="32"/>
              <w:szCs w:val="32"/>
            </w:rPr>
            <w:fldChar w:fldCharType="begin"/>
          </w:r>
          <w:r>
            <w:rPr>
              <w:rFonts w:ascii="仿宋_GB2312" w:hAnsi="仿宋_GB2312" w:eastAsia="仿宋_GB2312" w:cs="仿宋_GB2312"/>
              <w:sz w:val="32"/>
              <w:szCs w:val="32"/>
            </w:rPr>
            <w:instrText xml:space="preserve"> PAGEREF _Toc147678549 \h </w:instrText>
          </w:r>
          <w:r>
            <w:rPr>
              <w:rFonts w:ascii="仿宋_GB2312" w:hAnsi="仿宋_GB2312" w:eastAsia="仿宋_GB2312" w:cs="仿宋_GB2312"/>
              <w:sz w:val="32"/>
              <w:szCs w:val="32"/>
            </w:rPr>
            <w:fldChar w:fldCharType="separate"/>
          </w:r>
          <w:r>
            <w:rPr>
              <w:rFonts w:ascii="仿宋_GB2312" w:hAnsi="仿宋_GB2312" w:eastAsia="仿宋_GB2312" w:cs="仿宋_GB2312"/>
              <w:sz w:val="32"/>
              <w:szCs w:val="32"/>
            </w:rPr>
            <w:t>53</w:t>
          </w:r>
          <w:r>
            <w:rPr>
              <w:rFonts w:ascii="仿宋_GB2312" w:hAnsi="仿宋_GB2312" w:eastAsia="仿宋_GB2312" w:cs="仿宋_GB2312"/>
              <w:sz w:val="32"/>
              <w:szCs w:val="32"/>
            </w:rPr>
            <w:fldChar w:fldCharType="end"/>
          </w:r>
          <w:r>
            <w:rPr>
              <w:rFonts w:ascii="仿宋_GB2312" w:hAnsi="仿宋_GB2312" w:eastAsia="仿宋_GB2312" w:cs="仿宋_GB2312"/>
              <w:sz w:val="32"/>
              <w:szCs w:val="32"/>
            </w:rPr>
            <w:fldChar w:fldCharType="end"/>
          </w:r>
        </w:p>
        <w:p>
          <w:pPr>
            <w:pStyle w:val="12"/>
            <w:rPr>
              <w:rFonts w:ascii="仿宋_GB2312" w:hAnsi="仿宋_GB2312" w:eastAsia="仿宋_GB2312" w:cs="仿宋_GB2312"/>
              <w:sz w:val="32"/>
              <w:szCs w:val="32"/>
            </w:rPr>
          </w:pPr>
          <w:r>
            <w:fldChar w:fldCharType="begin"/>
          </w:r>
          <w:r>
            <w:instrText xml:space="preserve"> HYPERLINK \l "_Toc147678550" </w:instrText>
          </w:r>
          <w:r>
            <w:fldChar w:fldCharType="separate"/>
          </w:r>
          <w:r>
            <w:rPr>
              <w:rFonts w:hint="eastAsia" w:ascii="仿宋_GB2312" w:hAnsi="仿宋_GB2312" w:eastAsia="仿宋_GB2312" w:cs="仿宋_GB2312"/>
              <w:sz w:val="32"/>
              <w:szCs w:val="32"/>
            </w:rPr>
            <w:t>六、一般公共预算财政拨款支出决算表</w:t>
          </w:r>
          <w:r>
            <w:rPr>
              <w:rFonts w:ascii="仿宋_GB2312" w:hAnsi="仿宋_GB2312" w:eastAsia="仿宋_GB2312" w:cs="仿宋_GB2312"/>
              <w:sz w:val="32"/>
              <w:szCs w:val="32"/>
            </w:rPr>
            <w:tab/>
          </w:r>
          <w:r>
            <w:rPr>
              <w:rFonts w:ascii="仿宋_GB2312" w:hAnsi="仿宋_GB2312" w:eastAsia="仿宋_GB2312" w:cs="仿宋_GB2312"/>
              <w:sz w:val="32"/>
              <w:szCs w:val="32"/>
            </w:rPr>
            <w:fldChar w:fldCharType="begin"/>
          </w:r>
          <w:r>
            <w:rPr>
              <w:rFonts w:ascii="仿宋_GB2312" w:hAnsi="仿宋_GB2312" w:eastAsia="仿宋_GB2312" w:cs="仿宋_GB2312"/>
              <w:sz w:val="32"/>
              <w:szCs w:val="32"/>
            </w:rPr>
            <w:instrText xml:space="preserve"> PAGEREF _Toc147678550 \h </w:instrText>
          </w:r>
          <w:r>
            <w:rPr>
              <w:rFonts w:ascii="仿宋_GB2312" w:hAnsi="仿宋_GB2312" w:eastAsia="仿宋_GB2312" w:cs="仿宋_GB2312"/>
              <w:sz w:val="32"/>
              <w:szCs w:val="32"/>
            </w:rPr>
            <w:fldChar w:fldCharType="separate"/>
          </w:r>
          <w:r>
            <w:rPr>
              <w:rFonts w:ascii="仿宋_GB2312" w:hAnsi="仿宋_GB2312" w:eastAsia="仿宋_GB2312" w:cs="仿宋_GB2312"/>
              <w:sz w:val="32"/>
              <w:szCs w:val="32"/>
            </w:rPr>
            <w:t>53</w:t>
          </w:r>
          <w:r>
            <w:rPr>
              <w:rFonts w:ascii="仿宋_GB2312" w:hAnsi="仿宋_GB2312" w:eastAsia="仿宋_GB2312" w:cs="仿宋_GB2312"/>
              <w:sz w:val="32"/>
              <w:szCs w:val="32"/>
            </w:rPr>
            <w:fldChar w:fldCharType="end"/>
          </w:r>
          <w:r>
            <w:rPr>
              <w:rFonts w:ascii="仿宋_GB2312" w:hAnsi="仿宋_GB2312" w:eastAsia="仿宋_GB2312" w:cs="仿宋_GB2312"/>
              <w:sz w:val="32"/>
              <w:szCs w:val="32"/>
            </w:rPr>
            <w:fldChar w:fldCharType="end"/>
          </w:r>
        </w:p>
        <w:p>
          <w:pPr>
            <w:pStyle w:val="12"/>
            <w:rPr>
              <w:rFonts w:ascii="仿宋_GB2312" w:hAnsi="仿宋_GB2312" w:eastAsia="仿宋_GB2312" w:cs="仿宋_GB2312"/>
              <w:sz w:val="32"/>
              <w:szCs w:val="32"/>
            </w:rPr>
          </w:pPr>
          <w:r>
            <w:fldChar w:fldCharType="begin"/>
          </w:r>
          <w:r>
            <w:instrText xml:space="preserve"> HYPERLINK \l "_Toc147678551" </w:instrText>
          </w:r>
          <w:r>
            <w:fldChar w:fldCharType="separate"/>
          </w:r>
          <w:r>
            <w:rPr>
              <w:rFonts w:hint="eastAsia" w:ascii="仿宋_GB2312" w:hAnsi="仿宋_GB2312" w:eastAsia="仿宋_GB2312" w:cs="仿宋_GB2312"/>
              <w:sz w:val="32"/>
              <w:szCs w:val="32"/>
            </w:rPr>
            <w:t>七、一般公共预算财政拨款支出决算明细表</w:t>
          </w:r>
          <w:r>
            <w:rPr>
              <w:rFonts w:ascii="仿宋_GB2312" w:hAnsi="仿宋_GB2312" w:eastAsia="仿宋_GB2312" w:cs="仿宋_GB2312"/>
              <w:sz w:val="32"/>
              <w:szCs w:val="32"/>
            </w:rPr>
            <w:tab/>
          </w:r>
          <w:r>
            <w:rPr>
              <w:rFonts w:ascii="仿宋_GB2312" w:hAnsi="仿宋_GB2312" w:eastAsia="仿宋_GB2312" w:cs="仿宋_GB2312"/>
              <w:sz w:val="32"/>
              <w:szCs w:val="32"/>
            </w:rPr>
            <w:fldChar w:fldCharType="begin"/>
          </w:r>
          <w:r>
            <w:rPr>
              <w:rFonts w:ascii="仿宋_GB2312" w:hAnsi="仿宋_GB2312" w:eastAsia="仿宋_GB2312" w:cs="仿宋_GB2312"/>
              <w:sz w:val="32"/>
              <w:szCs w:val="32"/>
            </w:rPr>
            <w:instrText xml:space="preserve"> PAGEREF _Toc147678551 \h </w:instrText>
          </w:r>
          <w:r>
            <w:rPr>
              <w:rFonts w:ascii="仿宋_GB2312" w:hAnsi="仿宋_GB2312" w:eastAsia="仿宋_GB2312" w:cs="仿宋_GB2312"/>
              <w:sz w:val="32"/>
              <w:szCs w:val="32"/>
            </w:rPr>
            <w:fldChar w:fldCharType="separate"/>
          </w:r>
          <w:r>
            <w:rPr>
              <w:rFonts w:ascii="仿宋_GB2312" w:hAnsi="仿宋_GB2312" w:eastAsia="仿宋_GB2312" w:cs="仿宋_GB2312"/>
              <w:sz w:val="32"/>
              <w:szCs w:val="32"/>
            </w:rPr>
            <w:t>53</w:t>
          </w:r>
          <w:r>
            <w:rPr>
              <w:rFonts w:ascii="仿宋_GB2312" w:hAnsi="仿宋_GB2312" w:eastAsia="仿宋_GB2312" w:cs="仿宋_GB2312"/>
              <w:sz w:val="32"/>
              <w:szCs w:val="32"/>
            </w:rPr>
            <w:fldChar w:fldCharType="end"/>
          </w:r>
          <w:r>
            <w:rPr>
              <w:rFonts w:ascii="仿宋_GB2312" w:hAnsi="仿宋_GB2312" w:eastAsia="仿宋_GB2312" w:cs="仿宋_GB2312"/>
              <w:sz w:val="32"/>
              <w:szCs w:val="32"/>
            </w:rPr>
            <w:fldChar w:fldCharType="end"/>
          </w:r>
        </w:p>
        <w:p>
          <w:pPr>
            <w:pStyle w:val="12"/>
            <w:rPr>
              <w:rFonts w:ascii="仿宋_GB2312" w:hAnsi="仿宋_GB2312" w:eastAsia="仿宋_GB2312" w:cs="仿宋_GB2312"/>
              <w:sz w:val="32"/>
              <w:szCs w:val="32"/>
            </w:rPr>
          </w:pPr>
          <w:r>
            <w:fldChar w:fldCharType="begin"/>
          </w:r>
          <w:r>
            <w:instrText xml:space="preserve"> HYPERLINK \l "_Toc147678552" </w:instrText>
          </w:r>
          <w:r>
            <w:fldChar w:fldCharType="separate"/>
          </w:r>
          <w:r>
            <w:rPr>
              <w:rFonts w:hint="eastAsia" w:ascii="仿宋_GB2312" w:hAnsi="仿宋_GB2312" w:eastAsia="仿宋_GB2312" w:cs="仿宋_GB2312"/>
              <w:sz w:val="32"/>
              <w:szCs w:val="32"/>
            </w:rPr>
            <w:t>八、一般公共预算财政拨款基本支出决算表</w:t>
          </w:r>
          <w:r>
            <w:rPr>
              <w:rFonts w:ascii="仿宋_GB2312" w:hAnsi="仿宋_GB2312" w:eastAsia="仿宋_GB2312" w:cs="仿宋_GB2312"/>
              <w:sz w:val="32"/>
              <w:szCs w:val="32"/>
            </w:rPr>
            <w:tab/>
          </w:r>
          <w:r>
            <w:rPr>
              <w:rFonts w:ascii="仿宋_GB2312" w:hAnsi="仿宋_GB2312" w:eastAsia="仿宋_GB2312" w:cs="仿宋_GB2312"/>
              <w:sz w:val="32"/>
              <w:szCs w:val="32"/>
            </w:rPr>
            <w:fldChar w:fldCharType="begin"/>
          </w:r>
          <w:r>
            <w:rPr>
              <w:rFonts w:ascii="仿宋_GB2312" w:hAnsi="仿宋_GB2312" w:eastAsia="仿宋_GB2312" w:cs="仿宋_GB2312"/>
              <w:sz w:val="32"/>
              <w:szCs w:val="32"/>
            </w:rPr>
            <w:instrText xml:space="preserve"> PAGEREF _Toc147678552 \h </w:instrText>
          </w:r>
          <w:r>
            <w:rPr>
              <w:rFonts w:ascii="仿宋_GB2312" w:hAnsi="仿宋_GB2312" w:eastAsia="仿宋_GB2312" w:cs="仿宋_GB2312"/>
              <w:sz w:val="32"/>
              <w:szCs w:val="32"/>
            </w:rPr>
            <w:fldChar w:fldCharType="separate"/>
          </w:r>
          <w:r>
            <w:rPr>
              <w:rFonts w:ascii="仿宋_GB2312" w:hAnsi="仿宋_GB2312" w:eastAsia="仿宋_GB2312" w:cs="仿宋_GB2312"/>
              <w:sz w:val="32"/>
              <w:szCs w:val="32"/>
            </w:rPr>
            <w:t>53</w:t>
          </w:r>
          <w:r>
            <w:rPr>
              <w:rFonts w:ascii="仿宋_GB2312" w:hAnsi="仿宋_GB2312" w:eastAsia="仿宋_GB2312" w:cs="仿宋_GB2312"/>
              <w:sz w:val="32"/>
              <w:szCs w:val="32"/>
            </w:rPr>
            <w:fldChar w:fldCharType="end"/>
          </w:r>
          <w:r>
            <w:rPr>
              <w:rFonts w:ascii="仿宋_GB2312" w:hAnsi="仿宋_GB2312" w:eastAsia="仿宋_GB2312" w:cs="仿宋_GB2312"/>
              <w:sz w:val="32"/>
              <w:szCs w:val="32"/>
            </w:rPr>
            <w:fldChar w:fldCharType="end"/>
          </w:r>
        </w:p>
        <w:p>
          <w:pPr>
            <w:pStyle w:val="12"/>
            <w:rPr>
              <w:rFonts w:ascii="仿宋_GB2312" w:hAnsi="仿宋_GB2312" w:eastAsia="仿宋_GB2312" w:cs="仿宋_GB2312"/>
              <w:sz w:val="32"/>
              <w:szCs w:val="32"/>
            </w:rPr>
          </w:pPr>
          <w:r>
            <w:fldChar w:fldCharType="begin"/>
          </w:r>
          <w:r>
            <w:instrText xml:space="preserve"> HYPERLINK \l "_Toc147678553" </w:instrText>
          </w:r>
          <w:r>
            <w:fldChar w:fldCharType="separate"/>
          </w:r>
          <w:r>
            <w:rPr>
              <w:rFonts w:hint="eastAsia" w:ascii="仿宋_GB2312" w:hAnsi="仿宋_GB2312" w:eastAsia="仿宋_GB2312" w:cs="仿宋_GB2312"/>
              <w:sz w:val="32"/>
              <w:szCs w:val="32"/>
            </w:rPr>
            <w:t>九、一般公共预算财政拨款项目支出决算表</w:t>
          </w:r>
          <w:r>
            <w:rPr>
              <w:rFonts w:ascii="仿宋_GB2312" w:hAnsi="仿宋_GB2312" w:eastAsia="仿宋_GB2312" w:cs="仿宋_GB2312"/>
              <w:sz w:val="32"/>
              <w:szCs w:val="32"/>
            </w:rPr>
            <w:tab/>
          </w:r>
          <w:r>
            <w:rPr>
              <w:rFonts w:ascii="仿宋_GB2312" w:hAnsi="仿宋_GB2312" w:eastAsia="仿宋_GB2312" w:cs="仿宋_GB2312"/>
              <w:sz w:val="32"/>
              <w:szCs w:val="32"/>
            </w:rPr>
            <w:fldChar w:fldCharType="begin"/>
          </w:r>
          <w:r>
            <w:rPr>
              <w:rFonts w:ascii="仿宋_GB2312" w:hAnsi="仿宋_GB2312" w:eastAsia="仿宋_GB2312" w:cs="仿宋_GB2312"/>
              <w:sz w:val="32"/>
              <w:szCs w:val="32"/>
            </w:rPr>
            <w:instrText xml:space="preserve"> PAGEREF _Toc147678553 \h </w:instrText>
          </w:r>
          <w:r>
            <w:rPr>
              <w:rFonts w:ascii="仿宋_GB2312" w:hAnsi="仿宋_GB2312" w:eastAsia="仿宋_GB2312" w:cs="仿宋_GB2312"/>
              <w:sz w:val="32"/>
              <w:szCs w:val="32"/>
            </w:rPr>
            <w:fldChar w:fldCharType="separate"/>
          </w:r>
          <w:r>
            <w:rPr>
              <w:rFonts w:ascii="仿宋_GB2312" w:hAnsi="仿宋_GB2312" w:eastAsia="仿宋_GB2312" w:cs="仿宋_GB2312"/>
              <w:sz w:val="32"/>
              <w:szCs w:val="32"/>
            </w:rPr>
            <w:t>53</w:t>
          </w:r>
          <w:r>
            <w:rPr>
              <w:rFonts w:ascii="仿宋_GB2312" w:hAnsi="仿宋_GB2312" w:eastAsia="仿宋_GB2312" w:cs="仿宋_GB2312"/>
              <w:sz w:val="32"/>
              <w:szCs w:val="32"/>
            </w:rPr>
            <w:fldChar w:fldCharType="end"/>
          </w:r>
          <w:r>
            <w:rPr>
              <w:rFonts w:ascii="仿宋_GB2312" w:hAnsi="仿宋_GB2312" w:eastAsia="仿宋_GB2312" w:cs="仿宋_GB2312"/>
              <w:sz w:val="32"/>
              <w:szCs w:val="32"/>
            </w:rPr>
            <w:fldChar w:fldCharType="end"/>
          </w:r>
        </w:p>
        <w:p>
          <w:pPr>
            <w:pStyle w:val="12"/>
            <w:rPr>
              <w:rFonts w:ascii="仿宋_GB2312" w:hAnsi="仿宋_GB2312" w:eastAsia="仿宋_GB2312" w:cs="仿宋_GB2312"/>
              <w:sz w:val="32"/>
              <w:szCs w:val="32"/>
            </w:rPr>
          </w:pPr>
          <w:r>
            <w:fldChar w:fldCharType="begin"/>
          </w:r>
          <w:r>
            <w:instrText xml:space="preserve"> HYPERLINK \l "_Toc147678554" </w:instrText>
          </w:r>
          <w:r>
            <w:fldChar w:fldCharType="separate"/>
          </w:r>
          <w:r>
            <w:rPr>
              <w:rFonts w:hint="eastAsia" w:ascii="仿宋_GB2312" w:hAnsi="仿宋_GB2312" w:eastAsia="仿宋_GB2312" w:cs="仿宋_GB2312"/>
              <w:sz w:val="32"/>
              <w:szCs w:val="32"/>
            </w:rPr>
            <w:t>十、政府性基金预算财政拨款收入支出决算表</w:t>
          </w:r>
          <w:r>
            <w:rPr>
              <w:rFonts w:ascii="仿宋_GB2312" w:hAnsi="仿宋_GB2312" w:eastAsia="仿宋_GB2312" w:cs="仿宋_GB2312"/>
              <w:sz w:val="32"/>
              <w:szCs w:val="32"/>
            </w:rPr>
            <w:tab/>
          </w:r>
          <w:r>
            <w:rPr>
              <w:rFonts w:ascii="仿宋_GB2312" w:hAnsi="仿宋_GB2312" w:eastAsia="仿宋_GB2312" w:cs="仿宋_GB2312"/>
              <w:sz w:val="32"/>
              <w:szCs w:val="32"/>
            </w:rPr>
            <w:fldChar w:fldCharType="begin"/>
          </w:r>
          <w:r>
            <w:rPr>
              <w:rFonts w:ascii="仿宋_GB2312" w:hAnsi="仿宋_GB2312" w:eastAsia="仿宋_GB2312" w:cs="仿宋_GB2312"/>
              <w:sz w:val="32"/>
              <w:szCs w:val="32"/>
            </w:rPr>
            <w:instrText xml:space="preserve"> PAGEREF _Toc147678554 \h </w:instrText>
          </w:r>
          <w:r>
            <w:rPr>
              <w:rFonts w:ascii="仿宋_GB2312" w:hAnsi="仿宋_GB2312" w:eastAsia="仿宋_GB2312" w:cs="仿宋_GB2312"/>
              <w:sz w:val="32"/>
              <w:szCs w:val="32"/>
            </w:rPr>
            <w:fldChar w:fldCharType="separate"/>
          </w:r>
          <w:r>
            <w:rPr>
              <w:rFonts w:ascii="仿宋_GB2312" w:hAnsi="仿宋_GB2312" w:eastAsia="仿宋_GB2312" w:cs="仿宋_GB2312"/>
              <w:sz w:val="32"/>
              <w:szCs w:val="32"/>
            </w:rPr>
            <w:t>53</w:t>
          </w:r>
          <w:r>
            <w:rPr>
              <w:rFonts w:ascii="仿宋_GB2312" w:hAnsi="仿宋_GB2312" w:eastAsia="仿宋_GB2312" w:cs="仿宋_GB2312"/>
              <w:sz w:val="32"/>
              <w:szCs w:val="32"/>
            </w:rPr>
            <w:fldChar w:fldCharType="end"/>
          </w:r>
          <w:r>
            <w:rPr>
              <w:rFonts w:ascii="仿宋_GB2312" w:hAnsi="仿宋_GB2312" w:eastAsia="仿宋_GB2312" w:cs="仿宋_GB2312"/>
              <w:sz w:val="32"/>
              <w:szCs w:val="32"/>
            </w:rPr>
            <w:fldChar w:fldCharType="end"/>
          </w:r>
        </w:p>
        <w:p>
          <w:pPr>
            <w:pStyle w:val="12"/>
            <w:rPr>
              <w:rFonts w:ascii="仿宋_GB2312" w:hAnsi="仿宋_GB2312" w:eastAsia="仿宋_GB2312" w:cs="仿宋_GB2312"/>
              <w:sz w:val="32"/>
              <w:szCs w:val="32"/>
            </w:rPr>
          </w:pPr>
          <w:r>
            <w:fldChar w:fldCharType="begin"/>
          </w:r>
          <w:r>
            <w:instrText xml:space="preserve"> HYPERLINK \l "_Toc147678555" </w:instrText>
          </w:r>
          <w:r>
            <w:fldChar w:fldCharType="separate"/>
          </w:r>
          <w:r>
            <w:rPr>
              <w:rFonts w:hint="eastAsia" w:ascii="仿宋_GB2312" w:hAnsi="仿宋_GB2312" w:eastAsia="仿宋_GB2312" w:cs="仿宋_GB2312"/>
              <w:sz w:val="32"/>
              <w:szCs w:val="32"/>
            </w:rPr>
            <w:t>十一、国有资本经营预算财政拨款收入支出决算表</w:t>
          </w:r>
          <w:r>
            <w:rPr>
              <w:rFonts w:ascii="仿宋_GB2312" w:hAnsi="仿宋_GB2312" w:eastAsia="仿宋_GB2312" w:cs="仿宋_GB2312"/>
              <w:sz w:val="32"/>
              <w:szCs w:val="32"/>
            </w:rPr>
            <w:tab/>
          </w:r>
          <w:r>
            <w:rPr>
              <w:rFonts w:ascii="仿宋_GB2312" w:hAnsi="仿宋_GB2312" w:eastAsia="仿宋_GB2312" w:cs="仿宋_GB2312"/>
              <w:sz w:val="32"/>
              <w:szCs w:val="32"/>
            </w:rPr>
            <w:fldChar w:fldCharType="begin"/>
          </w:r>
          <w:r>
            <w:rPr>
              <w:rFonts w:ascii="仿宋_GB2312" w:hAnsi="仿宋_GB2312" w:eastAsia="仿宋_GB2312" w:cs="仿宋_GB2312"/>
              <w:sz w:val="32"/>
              <w:szCs w:val="32"/>
            </w:rPr>
            <w:instrText xml:space="preserve"> PAGEREF _Toc147678555 \h </w:instrText>
          </w:r>
          <w:r>
            <w:rPr>
              <w:rFonts w:ascii="仿宋_GB2312" w:hAnsi="仿宋_GB2312" w:eastAsia="仿宋_GB2312" w:cs="仿宋_GB2312"/>
              <w:sz w:val="32"/>
              <w:szCs w:val="32"/>
            </w:rPr>
            <w:fldChar w:fldCharType="separate"/>
          </w:r>
          <w:r>
            <w:rPr>
              <w:rFonts w:ascii="仿宋_GB2312" w:hAnsi="仿宋_GB2312" w:eastAsia="仿宋_GB2312" w:cs="仿宋_GB2312"/>
              <w:sz w:val="32"/>
              <w:szCs w:val="32"/>
            </w:rPr>
            <w:t>53</w:t>
          </w:r>
          <w:r>
            <w:rPr>
              <w:rFonts w:ascii="仿宋_GB2312" w:hAnsi="仿宋_GB2312" w:eastAsia="仿宋_GB2312" w:cs="仿宋_GB2312"/>
              <w:sz w:val="32"/>
              <w:szCs w:val="32"/>
            </w:rPr>
            <w:fldChar w:fldCharType="end"/>
          </w:r>
          <w:r>
            <w:rPr>
              <w:rFonts w:ascii="仿宋_GB2312" w:hAnsi="仿宋_GB2312" w:eastAsia="仿宋_GB2312" w:cs="仿宋_GB2312"/>
              <w:sz w:val="32"/>
              <w:szCs w:val="32"/>
            </w:rPr>
            <w:fldChar w:fldCharType="end"/>
          </w:r>
        </w:p>
        <w:p>
          <w:pPr>
            <w:pStyle w:val="12"/>
            <w:rPr>
              <w:rFonts w:ascii="仿宋_GB2312" w:hAnsi="仿宋_GB2312" w:eastAsia="仿宋_GB2312" w:cs="仿宋_GB2312"/>
              <w:sz w:val="32"/>
              <w:szCs w:val="32"/>
            </w:rPr>
          </w:pPr>
          <w:r>
            <w:fldChar w:fldCharType="begin"/>
          </w:r>
          <w:r>
            <w:instrText xml:space="preserve"> HYPERLINK \l "_Toc147678556" </w:instrText>
          </w:r>
          <w:r>
            <w:fldChar w:fldCharType="separate"/>
          </w:r>
          <w:r>
            <w:rPr>
              <w:rFonts w:hint="eastAsia" w:ascii="仿宋_GB2312" w:hAnsi="仿宋_GB2312" w:eastAsia="仿宋_GB2312" w:cs="仿宋_GB2312"/>
              <w:sz w:val="32"/>
              <w:szCs w:val="32"/>
            </w:rPr>
            <w:t>十二、国有资本经营预算财政拨款支出决算表</w:t>
          </w:r>
          <w:r>
            <w:rPr>
              <w:rFonts w:ascii="仿宋_GB2312" w:hAnsi="仿宋_GB2312" w:eastAsia="仿宋_GB2312" w:cs="仿宋_GB2312"/>
              <w:sz w:val="32"/>
              <w:szCs w:val="32"/>
            </w:rPr>
            <w:tab/>
          </w:r>
          <w:r>
            <w:rPr>
              <w:rFonts w:ascii="仿宋_GB2312" w:hAnsi="仿宋_GB2312" w:eastAsia="仿宋_GB2312" w:cs="仿宋_GB2312"/>
              <w:sz w:val="32"/>
              <w:szCs w:val="32"/>
            </w:rPr>
            <w:fldChar w:fldCharType="begin"/>
          </w:r>
          <w:r>
            <w:rPr>
              <w:rFonts w:ascii="仿宋_GB2312" w:hAnsi="仿宋_GB2312" w:eastAsia="仿宋_GB2312" w:cs="仿宋_GB2312"/>
              <w:sz w:val="32"/>
              <w:szCs w:val="32"/>
            </w:rPr>
            <w:instrText xml:space="preserve"> PAGEREF _Toc147678556 \h </w:instrText>
          </w:r>
          <w:r>
            <w:rPr>
              <w:rFonts w:ascii="仿宋_GB2312" w:hAnsi="仿宋_GB2312" w:eastAsia="仿宋_GB2312" w:cs="仿宋_GB2312"/>
              <w:sz w:val="32"/>
              <w:szCs w:val="32"/>
            </w:rPr>
            <w:fldChar w:fldCharType="separate"/>
          </w:r>
          <w:r>
            <w:rPr>
              <w:rFonts w:ascii="仿宋_GB2312" w:hAnsi="仿宋_GB2312" w:eastAsia="仿宋_GB2312" w:cs="仿宋_GB2312"/>
              <w:sz w:val="32"/>
              <w:szCs w:val="32"/>
            </w:rPr>
            <w:t>53</w:t>
          </w:r>
          <w:r>
            <w:rPr>
              <w:rFonts w:ascii="仿宋_GB2312" w:hAnsi="仿宋_GB2312" w:eastAsia="仿宋_GB2312" w:cs="仿宋_GB2312"/>
              <w:sz w:val="32"/>
              <w:szCs w:val="32"/>
            </w:rPr>
            <w:fldChar w:fldCharType="end"/>
          </w:r>
          <w:r>
            <w:rPr>
              <w:rFonts w:ascii="仿宋_GB2312" w:hAnsi="仿宋_GB2312" w:eastAsia="仿宋_GB2312" w:cs="仿宋_GB2312"/>
              <w:sz w:val="32"/>
              <w:szCs w:val="32"/>
            </w:rPr>
            <w:fldChar w:fldCharType="end"/>
          </w:r>
        </w:p>
        <w:p>
          <w:pPr>
            <w:pStyle w:val="12"/>
            <w:rPr>
              <w:rFonts w:ascii="仿宋_GB2312" w:hAnsi="仿宋_GB2312" w:eastAsia="仿宋_GB2312" w:cs="仿宋_GB2312"/>
              <w:sz w:val="32"/>
              <w:szCs w:val="32"/>
            </w:rPr>
          </w:pPr>
          <w:r>
            <w:fldChar w:fldCharType="begin"/>
          </w:r>
          <w:r>
            <w:instrText xml:space="preserve"> HYPERLINK \l "_Toc147678557" </w:instrText>
          </w:r>
          <w:r>
            <w:fldChar w:fldCharType="separate"/>
          </w:r>
          <w:r>
            <w:rPr>
              <w:rFonts w:hint="eastAsia" w:ascii="仿宋_GB2312" w:hAnsi="仿宋_GB2312" w:eastAsia="仿宋_GB2312" w:cs="仿宋_GB2312"/>
              <w:sz w:val="32"/>
              <w:szCs w:val="32"/>
            </w:rPr>
            <w:t>十三、财政拨款“三公”经费支出决算表</w:t>
          </w:r>
          <w:r>
            <w:rPr>
              <w:rFonts w:ascii="仿宋_GB2312" w:hAnsi="仿宋_GB2312" w:eastAsia="仿宋_GB2312" w:cs="仿宋_GB2312"/>
              <w:sz w:val="32"/>
              <w:szCs w:val="32"/>
            </w:rPr>
            <w:tab/>
          </w:r>
          <w:r>
            <w:rPr>
              <w:rFonts w:ascii="仿宋_GB2312" w:hAnsi="仿宋_GB2312" w:eastAsia="仿宋_GB2312" w:cs="仿宋_GB2312"/>
              <w:sz w:val="32"/>
              <w:szCs w:val="32"/>
            </w:rPr>
            <w:fldChar w:fldCharType="begin"/>
          </w:r>
          <w:r>
            <w:rPr>
              <w:rFonts w:ascii="仿宋_GB2312" w:hAnsi="仿宋_GB2312" w:eastAsia="仿宋_GB2312" w:cs="仿宋_GB2312"/>
              <w:sz w:val="32"/>
              <w:szCs w:val="32"/>
            </w:rPr>
            <w:instrText xml:space="preserve"> PAGEREF _Toc147678557 \h </w:instrText>
          </w:r>
          <w:r>
            <w:rPr>
              <w:rFonts w:ascii="仿宋_GB2312" w:hAnsi="仿宋_GB2312" w:eastAsia="仿宋_GB2312" w:cs="仿宋_GB2312"/>
              <w:sz w:val="32"/>
              <w:szCs w:val="32"/>
            </w:rPr>
            <w:fldChar w:fldCharType="separate"/>
          </w:r>
          <w:r>
            <w:rPr>
              <w:rFonts w:ascii="仿宋_GB2312" w:hAnsi="仿宋_GB2312" w:eastAsia="仿宋_GB2312" w:cs="仿宋_GB2312"/>
              <w:sz w:val="32"/>
              <w:szCs w:val="32"/>
            </w:rPr>
            <w:t>53</w:t>
          </w:r>
          <w:r>
            <w:rPr>
              <w:rFonts w:ascii="仿宋_GB2312" w:hAnsi="仿宋_GB2312" w:eastAsia="仿宋_GB2312" w:cs="仿宋_GB2312"/>
              <w:sz w:val="32"/>
              <w:szCs w:val="32"/>
            </w:rPr>
            <w:fldChar w:fldCharType="end"/>
          </w:r>
          <w:r>
            <w:rPr>
              <w:rFonts w:ascii="仿宋_GB2312" w:hAnsi="仿宋_GB2312" w:eastAsia="仿宋_GB2312" w:cs="仿宋_GB2312"/>
              <w:sz w:val="32"/>
              <w:szCs w:val="32"/>
            </w:rPr>
            <w:fldChar w:fldCharType="end"/>
          </w:r>
        </w:p>
        <w:p>
          <w:pPr>
            <w:rPr>
              <w:rFonts w:ascii="仿宋_GB2312" w:hAnsi="仿宋_GB2312" w:eastAsia="仿宋_GB2312" w:cs="仿宋_GB2312"/>
              <w:sz w:val="32"/>
              <w:szCs w:val="32"/>
            </w:rPr>
          </w:pPr>
          <w:r>
            <w:rPr>
              <w:rFonts w:ascii="仿宋_GB2312" w:hAnsi="仿宋_GB2312" w:eastAsia="仿宋_GB2312" w:cs="仿宋_GB2312"/>
              <w:sz w:val="32"/>
              <w:szCs w:val="32"/>
            </w:rPr>
            <w:fldChar w:fldCharType="end"/>
          </w:r>
        </w:p>
      </w:sdtContent>
    </w:sdt>
    <w:p>
      <w:pPr>
        <w:pStyle w:val="2"/>
        <w:spacing w:before="93"/>
      </w:pPr>
    </w:p>
    <w:p>
      <w:pPr>
        <w:pStyle w:val="2"/>
        <w:spacing w:before="93"/>
      </w:pPr>
    </w:p>
    <w:p>
      <w:pPr>
        <w:pStyle w:val="2"/>
        <w:spacing w:before="93"/>
      </w:pPr>
    </w:p>
    <w:p>
      <w:pPr>
        <w:pStyle w:val="2"/>
        <w:spacing w:before="93"/>
        <w:sectPr>
          <w:footerReference r:id="rId3" w:type="default"/>
          <w:pgSz w:w="11906" w:h="16838"/>
          <w:pgMar w:top="2098" w:right="1474" w:bottom="1984" w:left="1587" w:header="851" w:footer="964" w:gutter="0"/>
          <w:pgNumType w:start="1"/>
          <w:cols w:space="425" w:num="1"/>
          <w:docGrid w:type="lines" w:linePitch="312" w:charSpace="0"/>
        </w:sectPr>
      </w:pPr>
    </w:p>
    <w:p>
      <w:pPr>
        <w:pStyle w:val="3"/>
        <w:spacing w:line="600" w:lineRule="exact"/>
        <w:jc w:val="center"/>
        <w:rPr>
          <w:rFonts w:ascii="方正小标宋简体" w:hAnsi="方正小标宋简体" w:eastAsia="方正小标宋简体" w:cs="方正小标宋简体"/>
          <w:b w:val="0"/>
          <w:bCs w:val="0"/>
          <w:kern w:val="2"/>
        </w:rPr>
      </w:pPr>
      <w:bookmarkStart w:id="14" w:name="_Toc147678513"/>
      <w:bookmarkStart w:id="15" w:name="_Toc147676455"/>
      <w:r>
        <w:rPr>
          <w:rFonts w:hint="eastAsia" w:ascii="方正小标宋简体" w:hAnsi="方正小标宋简体" w:eastAsia="方正小标宋简体" w:cs="方正小标宋简体"/>
          <w:b w:val="0"/>
          <w:bCs w:val="0"/>
          <w:kern w:val="2"/>
        </w:rPr>
        <w:t>第一部分单位概况</w:t>
      </w:r>
      <w:bookmarkEnd w:id="14"/>
      <w:bookmarkEnd w:id="15"/>
    </w:p>
    <w:bookmarkEnd w:id="12"/>
    <w:bookmarkEnd w:id="13"/>
    <w:p>
      <w:pPr>
        <w:pStyle w:val="4"/>
        <w:spacing w:line="576" w:lineRule="exact"/>
        <w:ind w:firstLine="640" w:firstLineChars="200"/>
        <w:rPr>
          <w:rFonts w:ascii="黑体" w:eastAsia="黑体"/>
          <w:b w:val="0"/>
        </w:rPr>
      </w:pPr>
      <w:bookmarkStart w:id="16" w:name="_Toc147678514"/>
      <w:bookmarkStart w:id="17" w:name="_Toc147676456"/>
      <w:bookmarkStart w:id="18" w:name="_Toc15377197"/>
      <w:bookmarkStart w:id="19" w:name="_Toc15396600"/>
      <w:r>
        <w:rPr>
          <w:rFonts w:hint="eastAsia" w:ascii="黑体" w:eastAsia="黑体"/>
          <w:b w:val="0"/>
        </w:rPr>
        <w:t>一、主要职责</w:t>
      </w:r>
      <w:bookmarkEnd w:id="16"/>
      <w:bookmarkEnd w:id="17"/>
    </w:p>
    <w:p>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1.负责经开区市场监督管理工作。组织实施质量强区、食品安全、标准化和知识产权战略，拟订并组织实施全区食品、药品安全等规划，规范和维护市场秩序，营造诚实守信、公平竞争的市场环境。</w:t>
      </w:r>
    </w:p>
    <w:p>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负责全区市场主体统一登记注册。负责全区各类企业、农民专业合作社和从事经营活动的单位、个体工商户等市场主体的登记注册和监督管理工作。建立市场主体信息公示和共享机制，依法公示和共享有关信息，加强信用监管，推动市场主体信用体系建设。</w:t>
      </w:r>
    </w:p>
    <w:p>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3.负责组织全区市场监管综合执法工作。规范市场交易执法行为。组织查处各类违反市场监管法律法规的案件。</w:t>
      </w:r>
    </w:p>
    <w:p>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负责监督管理全区市场经济秩序。依法监督管理市场交易，网络商品交易及有关服务的行为。组织查处价格收费违法违规、不正当竞争、违法直销、传销、侵犯商标专利知识产权和制售假冒伪劣行为。指导广告业发展，监督管理广告活动。依法查处无照生产经营和相关无证生产经营行为。</w:t>
      </w:r>
    </w:p>
    <w:p>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5.负责全区宏观质量管理。拟订并实施质量发展的制度措施。会同有关单位组织实施重大工程设备质量监理制度，组织重大质量事故调查，贯彻实施缺陷产品召回制度，监督管理产品防伪工作。</w:t>
      </w:r>
    </w:p>
    <w:p>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6.负责全区产品质量安全监督管理。负责产品质量监督抽检和安全风险监控工作，组织实施质量分级制度、质量安全追溯制度。负责纤维质量监督工作。</w:t>
      </w:r>
    </w:p>
    <w:p>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7.负责全区特种设备安全监督管理。综合管理特种设备安全监察、监督工作，监督检查高耗能特种设备节能标准和锅炉产品环境保护标准的执行情况。</w:t>
      </w:r>
    </w:p>
    <w:p>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8.负责全区食品安全监督管理综合协调。统筹指导全区食品安全工作。负责食品安全应急体系建设，组织指导重大食品安全事件应急处置和调查处理工作。建立健全食品安全重要信息直报制度。承担区食品安全委员会日常工作。</w:t>
      </w:r>
    </w:p>
    <w:p>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9.负责全区食品安全监督管理。建立覆盖食品生产、流通、消费全过程的监督检查制度和隐患排查治理机制并组织实施，防范区域性、系统性食品安全风险。负责食品经营许可。推动建立食品生产经营者落实主体责任的机制，健全食品安全追溯体系。指导督促食品生产经营企业的安全生产工作，组织开展食品安全监督抽检、风险监测、核查处置和风险预警、风险交流工作。</w:t>
      </w:r>
    </w:p>
    <w:p>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10.负责统一管理全区计量工作。推行法定计量单位，执行国家计量制度，管理计量器具及量值传递和比对工作。规范、监督商品量和市场计量行为。</w:t>
      </w:r>
    </w:p>
    <w:p>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11.协助市局统一管理全区标准化工作。依法承担本级地方性标准的立项、编号发布工作。依法对标准制定和实施情况开展监督。</w:t>
      </w:r>
    </w:p>
    <w:p>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12.协助市局统一管理全区检验检测工作。规范检验检测市场，完善检验检测体系，指导协调检验检测行业发展。</w:t>
      </w:r>
    </w:p>
    <w:p>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13.协助市局统一管理全区认证认可工作。监督管理认证认可和合格评定工作。</w:t>
      </w:r>
    </w:p>
    <w:p>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14.协助市局开展全区市场监督管理科技和信息化建设、新闻宣传。</w:t>
      </w:r>
    </w:p>
    <w:p>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15.贯彻执行国家有关药品、医疗器械和化妆品监督管理的方针政策和法律法规。</w:t>
      </w:r>
      <w:bookmarkStart w:id="142" w:name="_GoBack"/>
      <w:bookmarkEnd w:id="142"/>
    </w:p>
    <w:p>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16.依职责监督和指导实施药品、医疗器械经营、使用质量管理规范，监督实施标准和技术规范。负责全区药品、医疗器械和化妆品上市后风险管理。组织开展药品不良反应、医疗器械不良事件和化妆品不良反应的监测工作。依法承担药品、医疗器械和化妆品安全应急管理和投诉举报处置工作。</w:t>
      </w:r>
    </w:p>
    <w:p>
      <w:pPr>
        <w:pStyle w:val="4"/>
        <w:numPr>
          <w:ilvl w:val="0"/>
          <w:numId w:val="1"/>
        </w:numPr>
        <w:spacing w:line="576" w:lineRule="exact"/>
        <w:rPr>
          <w:rFonts w:ascii="黑体" w:eastAsia="黑体"/>
          <w:b w:val="0"/>
        </w:rPr>
      </w:pPr>
      <w:bookmarkStart w:id="20" w:name="_Toc147678515"/>
      <w:bookmarkStart w:id="21" w:name="_Toc147676457"/>
      <w:r>
        <w:rPr>
          <w:rFonts w:hint="eastAsia" w:ascii="黑体" w:eastAsia="黑体"/>
          <w:b w:val="0"/>
        </w:rPr>
        <w:t>机构设置</w:t>
      </w:r>
      <w:bookmarkEnd w:id="20"/>
      <w:bookmarkEnd w:id="21"/>
    </w:p>
    <w:p>
      <w:pPr>
        <w:widowControl/>
        <w:spacing w:line="576" w:lineRule="exact"/>
        <w:ind w:firstLine="640" w:firstLineChars="200"/>
        <w:jc w:val="left"/>
        <w:rPr>
          <w:rFonts w:ascii="仿宋" w:hAnsi="仿宋" w:eastAsia="仿宋"/>
          <w:sz w:val="32"/>
          <w:szCs w:val="32"/>
        </w:rPr>
      </w:pPr>
      <w:r>
        <w:rPr>
          <w:rFonts w:hint="eastAsia" w:ascii="仿宋_GB2312" w:hAnsi="仿宋_GB2312" w:eastAsia="仿宋_GB2312" w:cs="仿宋_GB2312"/>
          <w:sz w:val="32"/>
          <w:szCs w:val="32"/>
        </w:rPr>
        <w:t>广元市市场监督管理局广元经开区分局属于广元市市场监督管理部门下属的二级预算单位，是独立开展核算的行政机构。</w:t>
      </w:r>
    </w:p>
    <w:p>
      <w:pPr>
        <w:pStyle w:val="2"/>
        <w:spacing w:before="93" w:line="576" w:lineRule="exact"/>
        <w:rPr>
          <w:rFonts w:ascii="仿宋" w:hAnsi="仿宋" w:eastAsia="仿宋"/>
          <w:sz w:val="32"/>
          <w:szCs w:val="32"/>
          <w:highlight w:val="yellow"/>
        </w:rPr>
      </w:pPr>
    </w:p>
    <w:bookmarkEnd w:id="18"/>
    <w:bookmarkEnd w:id="19"/>
    <w:p>
      <w:pPr>
        <w:pStyle w:val="2"/>
        <w:spacing w:before="93" w:line="576" w:lineRule="exact"/>
        <w:rPr>
          <w:rFonts w:ascii="仿宋" w:hAnsi="仿宋" w:eastAsia="仿宋"/>
          <w:sz w:val="32"/>
          <w:szCs w:val="32"/>
          <w:highlight w:val="yellow"/>
        </w:rPr>
        <w:sectPr>
          <w:footerReference r:id="rId4" w:type="default"/>
          <w:pgSz w:w="11906" w:h="16838"/>
          <w:pgMar w:top="2098" w:right="1474" w:bottom="1984" w:left="1587" w:header="851" w:footer="964" w:gutter="0"/>
          <w:pgNumType w:start="1"/>
          <w:cols w:space="425" w:num="1"/>
          <w:docGrid w:type="lines" w:linePitch="312" w:charSpace="0"/>
        </w:sectPr>
      </w:pPr>
    </w:p>
    <w:p>
      <w:pPr>
        <w:pStyle w:val="3"/>
        <w:spacing w:line="600" w:lineRule="exact"/>
        <w:ind w:right="442"/>
        <w:jc w:val="center"/>
        <w:rPr>
          <w:rFonts w:ascii="方正小标宋简体" w:hAnsi="方正小标宋简体" w:eastAsia="方正小标宋简体" w:cs="方正小标宋简体"/>
          <w:b w:val="0"/>
          <w:bCs w:val="0"/>
          <w:kern w:val="2"/>
        </w:rPr>
      </w:pPr>
      <w:bookmarkStart w:id="22" w:name="_Toc15377204"/>
      <w:bookmarkStart w:id="23" w:name="_Toc15396602"/>
      <w:bookmarkStart w:id="24" w:name="_Toc147676458"/>
      <w:bookmarkStart w:id="25" w:name="_Toc147678516"/>
      <w:r>
        <w:rPr>
          <w:rFonts w:hint="eastAsia" w:ascii="方正小标宋简体" w:hAnsi="方正小标宋简体" w:eastAsia="方正小标宋简体" w:cs="方正小标宋简体"/>
          <w:b w:val="0"/>
          <w:bCs w:val="0"/>
          <w:kern w:val="2"/>
        </w:rPr>
        <w:t>第二部分2022年度单位决算情况说明</w:t>
      </w:r>
      <w:bookmarkEnd w:id="22"/>
      <w:bookmarkEnd w:id="23"/>
      <w:bookmarkEnd w:id="24"/>
      <w:bookmarkEnd w:id="25"/>
    </w:p>
    <w:p>
      <w:pPr>
        <w:pStyle w:val="4"/>
        <w:spacing w:line="576" w:lineRule="exact"/>
        <w:ind w:firstLine="640" w:firstLineChars="200"/>
        <w:rPr>
          <w:rFonts w:ascii="黑体" w:eastAsia="黑体"/>
          <w:b w:val="0"/>
          <w:bCs w:val="0"/>
        </w:rPr>
      </w:pPr>
      <w:bookmarkStart w:id="26" w:name="_Toc15377205"/>
      <w:bookmarkStart w:id="27" w:name="_Toc147678517"/>
      <w:bookmarkStart w:id="28" w:name="_Toc147676459"/>
      <w:bookmarkStart w:id="29" w:name="_Toc15396603"/>
      <w:r>
        <w:rPr>
          <w:rFonts w:hint="eastAsia" w:ascii="黑体" w:eastAsia="黑体"/>
          <w:b w:val="0"/>
        </w:rPr>
        <w:t>一、收</w:t>
      </w:r>
      <w:r>
        <w:rPr>
          <w:rFonts w:hint="eastAsia" w:ascii="黑体" w:eastAsia="黑体"/>
          <w:b w:val="0"/>
          <w:bCs w:val="0"/>
        </w:rPr>
        <w:t>入支出决算总体情况说明</w:t>
      </w:r>
      <w:bookmarkEnd w:id="26"/>
      <w:bookmarkEnd w:id="27"/>
      <w:bookmarkEnd w:id="28"/>
      <w:bookmarkEnd w:id="29"/>
    </w:p>
    <w:p>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2022年度收、支总计389.43万元。与2021年相比，收、支总计各减少1.51万元，下降0.39%。主要变动原因是项目支出预算减少。</w:t>
      </w:r>
    </w:p>
    <w:p>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（图1：收、支决算总计变动情况图）（柱状图）</w:t>
      </w:r>
    </w:p>
    <w:p>
      <w:pPr>
        <w:spacing w:line="600" w:lineRule="exact"/>
        <w:ind w:firstLine="640" w:firstLineChars="200"/>
        <w:jc w:val="left"/>
        <w:rPr>
          <w:rFonts w:ascii="仿宋_GB2312" w:eastAsia="仿宋_GB2312"/>
          <w:sz w:val="32"/>
          <w:szCs w:val="32"/>
        </w:rPr>
      </w:pPr>
      <w:r>
        <w:rPr>
          <w:rFonts w:hint="eastAsia" w:ascii="仿宋_GB2312" w:eastAsia="仿宋_GB2312"/>
          <w:sz w:val="32"/>
          <w:szCs w:val="32"/>
        </w:rPr>
        <w:drawing>
          <wp:anchor distT="0" distB="0" distL="114300" distR="114300" simplePos="0" relativeHeight="251661312" behindDoc="0" locked="0" layoutInCell="1" allowOverlap="1">
            <wp:simplePos x="0" y="0"/>
            <wp:positionH relativeFrom="column">
              <wp:posOffset>466725</wp:posOffset>
            </wp:positionH>
            <wp:positionV relativeFrom="paragraph">
              <wp:posOffset>116840</wp:posOffset>
            </wp:positionV>
            <wp:extent cx="4434840" cy="3028950"/>
            <wp:effectExtent l="19050" t="0" r="22860" b="0"/>
            <wp:wrapNone/>
            <wp:docPr id="5" name="对象 19"/>
            <wp:cNvGraphicFramePr>
              <a:graphicFrameLocks xmlns:a="http://schemas.openxmlformats.org/drawingml/2006/main" noChangeAspect="true"/>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anchor>
        </w:drawing>
      </w:r>
    </w:p>
    <w:p>
      <w:pPr>
        <w:spacing w:line="600" w:lineRule="exact"/>
        <w:ind w:firstLine="640" w:firstLineChars="200"/>
        <w:jc w:val="left"/>
        <w:rPr>
          <w:rFonts w:ascii="仿宋_GB2312" w:eastAsia="仿宋_GB2312"/>
          <w:sz w:val="32"/>
          <w:szCs w:val="32"/>
        </w:rPr>
      </w:pPr>
    </w:p>
    <w:p>
      <w:pPr>
        <w:spacing w:line="600" w:lineRule="exact"/>
        <w:ind w:firstLine="640" w:firstLineChars="200"/>
        <w:jc w:val="left"/>
        <w:rPr>
          <w:rFonts w:ascii="仿宋_GB2312" w:eastAsia="仿宋_GB2312"/>
          <w:sz w:val="32"/>
          <w:szCs w:val="32"/>
        </w:rPr>
      </w:pPr>
    </w:p>
    <w:p>
      <w:pPr>
        <w:spacing w:line="600" w:lineRule="exact"/>
        <w:ind w:firstLine="640" w:firstLineChars="200"/>
        <w:jc w:val="left"/>
        <w:rPr>
          <w:rFonts w:ascii="仿宋_GB2312" w:eastAsia="仿宋_GB2312"/>
          <w:sz w:val="32"/>
          <w:szCs w:val="32"/>
        </w:rPr>
      </w:pPr>
    </w:p>
    <w:p>
      <w:pPr>
        <w:spacing w:line="600" w:lineRule="exact"/>
        <w:ind w:firstLine="640" w:firstLineChars="200"/>
        <w:jc w:val="left"/>
        <w:rPr>
          <w:rFonts w:ascii="仿宋_GB2312" w:eastAsia="仿宋_GB2312"/>
          <w:sz w:val="32"/>
          <w:szCs w:val="32"/>
        </w:rPr>
      </w:pPr>
    </w:p>
    <w:p>
      <w:pPr>
        <w:spacing w:line="600" w:lineRule="exact"/>
        <w:ind w:firstLine="640" w:firstLineChars="200"/>
        <w:jc w:val="left"/>
        <w:rPr>
          <w:rFonts w:ascii="仿宋_GB2312" w:eastAsia="仿宋_GB2312"/>
          <w:sz w:val="32"/>
          <w:szCs w:val="32"/>
        </w:rPr>
      </w:pPr>
    </w:p>
    <w:p>
      <w:pPr>
        <w:spacing w:line="600" w:lineRule="exact"/>
        <w:ind w:firstLine="640" w:firstLineChars="200"/>
        <w:jc w:val="left"/>
        <w:rPr>
          <w:rFonts w:ascii="仿宋_GB2312" w:eastAsia="仿宋_GB2312"/>
          <w:sz w:val="32"/>
          <w:szCs w:val="32"/>
        </w:rPr>
      </w:pPr>
    </w:p>
    <w:p>
      <w:pPr>
        <w:pStyle w:val="2"/>
        <w:spacing w:before="93"/>
      </w:pPr>
    </w:p>
    <w:p>
      <w:pPr>
        <w:pStyle w:val="4"/>
        <w:spacing w:line="576" w:lineRule="exact"/>
        <w:ind w:firstLine="640" w:firstLineChars="200"/>
        <w:rPr>
          <w:rStyle w:val="20"/>
          <w:rFonts w:ascii="黑体" w:eastAsia="黑体"/>
          <w:b/>
          <w:bCs/>
        </w:rPr>
      </w:pPr>
      <w:bookmarkStart w:id="30" w:name="_Toc147678518"/>
      <w:bookmarkStart w:id="31" w:name="_Toc15377206"/>
      <w:bookmarkStart w:id="32" w:name="_Toc147676460"/>
      <w:bookmarkStart w:id="33" w:name="_Toc15396604"/>
      <w:r>
        <w:rPr>
          <w:rFonts w:hint="eastAsia" w:ascii="黑体" w:eastAsia="黑体"/>
          <w:b w:val="0"/>
        </w:rPr>
        <w:t>二、收</w:t>
      </w:r>
      <w:r>
        <w:rPr>
          <w:rStyle w:val="20"/>
          <w:rFonts w:hint="eastAsia" w:ascii="黑体" w:eastAsia="黑体"/>
          <w:b w:val="0"/>
          <w:bCs/>
        </w:rPr>
        <w:t>入决算情况说明</w:t>
      </w:r>
      <w:bookmarkEnd w:id="30"/>
      <w:bookmarkEnd w:id="31"/>
      <w:bookmarkEnd w:id="32"/>
      <w:bookmarkEnd w:id="33"/>
    </w:p>
    <w:p>
      <w:pPr>
        <w:spacing w:line="576" w:lineRule="exact"/>
        <w:ind w:firstLine="640" w:firstLineChars="200"/>
        <w:outlineLvl w:val="1"/>
        <w:rPr>
          <w:rFonts w:ascii="仿宋_GB2312" w:hAnsi="仿宋_GB2312" w:eastAsia="仿宋_GB2312" w:cs="仿宋_GB2312"/>
          <w:sz w:val="32"/>
          <w:szCs w:val="32"/>
        </w:rPr>
      </w:pPr>
      <w:bookmarkStart w:id="34" w:name="_Toc147676461"/>
      <w:bookmarkStart w:id="35" w:name="_Toc147678519"/>
      <w:r>
        <w:rPr>
          <w:rFonts w:hint="eastAsia" w:ascii="仿宋_GB2312" w:hAnsi="仿宋_GB2312" w:eastAsia="仿宋_GB2312" w:cs="仿宋_GB2312"/>
          <w:sz w:val="32"/>
          <w:szCs w:val="32"/>
        </w:rPr>
        <w:t>2022年本年收入合计351.71万元，其中：一般公共预算财政拨款收入351.71万元，占100%。</w:t>
      </w:r>
      <w:bookmarkEnd w:id="34"/>
      <w:bookmarkEnd w:id="35"/>
    </w:p>
    <w:p>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（图2：收入决算结构图）（饼状图）</w:t>
      </w:r>
    </w:p>
    <w:p>
      <w:pPr>
        <w:spacing w:line="600" w:lineRule="exact"/>
        <w:ind w:firstLine="640" w:firstLineChars="200"/>
        <w:rPr>
          <w:rFonts w:ascii="仿宋_GB2312" w:eastAsia="仿宋_GB2312"/>
          <w:sz w:val="32"/>
          <w:szCs w:val="32"/>
        </w:rPr>
      </w:pPr>
    </w:p>
    <w:p>
      <w:pPr>
        <w:pStyle w:val="2"/>
        <w:spacing w:before="93"/>
      </w:pPr>
    </w:p>
    <w:p>
      <w:pPr>
        <w:pStyle w:val="2"/>
        <w:spacing w:before="93"/>
      </w:pPr>
      <w:r>
        <w:drawing>
          <wp:anchor distT="0" distB="0" distL="114300" distR="114300" simplePos="0" relativeHeight="251662336" behindDoc="1" locked="0" layoutInCell="1" allowOverlap="1">
            <wp:simplePos x="0" y="0"/>
            <wp:positionH relativeFrom="column">
              <wp:posOffset>454025</wp:posOffset>
            </wp:positionH>
            <wp:positionV relativeFrom="paragraph">
              <wp:posOffset>-238125</wp:posOffset>
            </wp:positionV>
            <wp:extent cx="4447540" cy="2886075"/>
            <wp:effectExtent l="19050" t="0" r="10160" b="0"/>
            <wp:wrapTight wrapText="bothSides">
              <wp:wrapPolygon>
                <wp:start x="-93" y="0"/>
                <wp:lineTo x="-93" y="21529"/>
                <wp:lineTo x="21649" y="21529"/>
                <wp:lineTo x="21649" y="0"/>
                <wp:lineTo x="-93" y="0"/>
              </wp:wrapPolygon>
            </wp:wrapTight>
            <wp:docPr id="1" name="对象 6"/>
            <wp:cNvGraphicFramePr>
              <a:graphicFrameLocks xmlns:a="http://schemas.openxmlformats.org/drawingml/2006/main" noChangeAspect="true"/>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anchor>
        </w:drawing>
      </w:r>
    </w:p>
    <w:p>
      <w:pPr>
        <w:pStyle w:val="2"/>
        <w:spacing w:before="93"/>
      </w:pPr>
    </w:p>
    <w:p>
      <w:pPr>
        <w:pStyle w:val="2"/>
        <w:spacing w:before="93"/>
      </w:pPr>
    </w:p>
    <w:p>
      <w:pPr>
        <w:pStyle w:val="2"/>
        <w:spacing w:before="93"/>
      </w:pPr>
    </w:p>
    <w:p>
      <w:pPr>
        <w:pStyle w:val="2"/>
        <w:spacing w:before="93"/>
      </w:pPr>
    </w:p>
    <w:p>
      <w:pPr>
        <w:pStyle w:val="2"/>
        <w:spacing w:before="93"/>
      </w:pPr>
    </w:p>
    <w:p>
      <w:pPr>
        <w:pStyle w:val="4"/>
        <w:spacing w:line="576" w:lineRule="exact"/>
        <w:ind w:firstLine="640" w:firstLineChars="200"/>
        <w:rPr>
          <w:rFonts w:ascii="黑体" w:eastAsia="黑体"/>
          <w:b w:val="0"/>
        </w:rPr>
      </w:pPr>
      <w:bookmarkStart w:id="36" w:name="_Toc147676462"/>
      <w:bookmarkStart w:id="37" w:name="_Toc15396605"/>
      <w:bookmarkStart w:id="38" w:name="_Toc15377207"/>
      <w:bookmarkStart w:id="39" w:name="_Toc147678520"/>
      <w:r>
        <w:rPr>
          <w:rFonts w:hint="eastAsia" w:ascii="黑体" w:eastAsia="黑体"/>
          <w:b w:val="0"/>
        </w:rPr>
        <w:t>三、支出决算情况说明</w:t>
      </w:r>
      <w:bookmarkEnd w:id="36"/>
      <w:bookmarkEnd w:id="37"/>
      <w:bookmarkEnd w:id="38"/>
      <w:bookmarkEnd w:id="39"/>
    </w:p>
    <w:p>
      <w:pPr>
        <w:spacing w:line="576" w:lineRule="exact"/>
        <w:ind w:firstLine="640" w:firstLineChars="200"/>
        <w:outlineLvl w:val="1"/>
        <w:rPr>
          <w:rFonts w:ascii="仿宋_GB2312" w:hAnsi="仿宋_GB2312" w:eastAsia="仿宋_GB2312" w:cs="仿宋_GB2312"/>
          <w:sz w:val="32"/>
          <w:szCs w:val="32"/>
        </w:rPr>
      </w:pPr>
      <w:bookmarkStart w:id="40" w:name="_Toc147678521"/>
      <w:bookmarkStart w:id="41" w:name="_Toc147676463"/>
      <w:r>
        <w:rPr>
          <w:rFonts w:hint="eastAsia" w:ascii="仿宋_GB2312" w:hAnsi="仿宋_GB2312" w:eastAsia="仿宋_GB2312" w:cs="仿宋_GB2312"/>
          <w:sz w:val="32"/>
          <w:szCs w:val="32"/>
        </w:rPr>
        <w:t>2022年本年支出合计389.43万元，其中：基本支出322.88万元，占82.91%；项目支出66.55万元，占17.09%。</w:t>
      </w:r>
      <w:bookmarkEnd w:id="40"/>
      <w:bookmarkEnd w:id="41"/>
    </w:p>
    <w:p>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（图3：支出决算结构图）（饼状图）</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drawing>
          <wp:anchor distT="0" distB="0" distL="114300" distR="114300" simplePos="0" relativeHeight="251663360" behindDoc="0" locked="0" layoutInCell="1" allowOverlap="1">
            <wp:simplePos x="0" y="0"/>
            <wp:positionH relativeFrom="column">
              <wp:posOffset>457200</wp:posOffset>
            </wp:positionH>
            <wp:positionV relativeFrom="paragraph">
              <wp:posOffset>201930</wp:posOffset>
            </wp:positionV>
            <wp:extent cx="4476115" cy="3171825"/>
            <wp:effectExtent l="19050" t="0" r="19685" b="0"/>
            <wp:wrapNone/>
            <wp:docPr id="7" name="对象 7"/>
            <wp:cNvGraphicFramePr>
              <a:graphicFrameLocks xmlns:a="http://schemas.openxmlformats.org/drawingml/2006/main" noChangeAspect="true"/>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anchor>
        </w:drawing>
      </w:r>
    </w:p>
    <w:p>
      <w:pPr>
        <w:spacing w:line="600" w:lineRule="exact"/>
        <w:ind w:firstLine="640" w:firstLineChars="200"/>
        <w:rPr>
          <w:rFonts w:ascii="仿宋_GB2312" w:eastAsia="仿宋_GB2312"/>
          <w:sz w:val="32"/>
          <w:szCs w:val="32"/>
        </w:rPr>
      </w:pPr>
    </w:p>
    <w:p>
      <w:pPr>
        <w:spacing w:line="600" w:lineRule="exact"/>
        <w:ind w:firstLine="640" w:firstLineChars="200"/>
        <w:rPr>
          <w:rFonts w:ascii="仿宋_GB2312" w:eastAsia="仿宋_GB2312"/>
          <w:sz w:val="32"/>
          <w:szCs w:val="32"/>
        </w:rPr>
      </w:pPr>
    </w:p>
    <w:p>
      <w:pPr>
        <w:spacing w:line="600" w:lineRule="exact"/>
        <w:ind w:firstLine="640" w:firstLineChars="200"/>
        <w:rPr>
          <w:rFonts w:ascii="仿宋_GB2312" w:eastAsia="仿宋_GB2312"/>
          <w:sz w:val="32"/>
          <w:szCs w:val="32"/>
        </w:rPr>
      </w:pPr>
    </w:p>
    <w:p>
      <w:pPr>
        <w:spacing w:line="600" w:lineRule="exact"/>
        <w:ind w:firstLine="640" w:firstLineChars="200"/>
        <w:rPr>
          <w:rFonts w:ascii="仿宋_GB2312" w:eastAsia="仿宋_GB2312"/>
          <w:sz w:val="32"/>
          <w:szCs w:val="32"/>
        </w:rPr>
      </w:pPr>
    </w:p>
    <w:p>
      <w:pPr>
        <w:spacing w:line="600" w:lineRule="exact"/>
        <w:ind w:firstLine="640" w:firstLineChars="200"/>
        <w:rPr>
          <w:rFonts w:ascii="仿宋_GB2312" w:eastAsia="仿宋_GB2312"/>
          <w:sz w:val="32"/>
          <w:szCs w:val="32"/>
        </w:rPr>
      </w:pPr>
    </w:p>
    <w:p>
      <w:pPr>
        <w:spacing w:line="600" w:lineRule="exact"/>
        <w:ind w:firstLine="640" w:firstLineChars="200"/>
        <w:rPr>
          <w:rFonts w:ascii="仿宋_GB2312" w:eastAsia="仿宋_GB2312"/>
          <w:sz w:val="32"/>
          <w:szCs w:val="32"/>
        </w:rPr>
      </w:pPr>
    </w:p>
    <w:p>
      <w:pPr>
        <w:spacing w:line="600" w:lineRule="exact"/>
        <w:rPr>
          <w:rFonts w:ascii="仿宋_GB2312" w:eastAsia="仿宋_GB2312"/>
          <w:sz w:val="32"/>
          <w:szCs w:val="32"/>
        </w:rPr>
      </w:pPr>
    </w:p>
    <w:p>
      <w:pPr>
        <w:pStyle w:val="4"/>
        <w:spacing w:line="576" w:lineRule="exact"/>
        <w:ind w:firstLine="640" w:firstLineChars="200"/>
        <w:rPr>
          <w:rFonts w:ascii="黑体" w:eastAsia="黑体"/>
          <w:b w:val="0"/>
        </w:rPr>
      </w:pPr>
      <w:bookmarkStart w:id="42" w:name="_Toc147676464"/>
      <w:bookmarkStart w:id="43" w:name="_Toc15396606"/>
      <w:bookmarkStart w:id="44" w:name="_Toc15377208"/>
      <w:bookmarkStart w:id="45" w:name="_Toc147678522"/>
      <w:r>
        <w:rPr>
          <w:rFonts w:hint="eastAsia" w:ascii="黑体" w:eastAsia="黑体"/>
          <w:b w:val="0"/>
        </w:rPr>
        <w:t>四、财政拨款收入支出决算总体情况说明</w:t>
      </w:r>
      <w:bookmarkEnd w:id="42"/>
      <w:bookmarkEnd w:id="43"/>
      <w:bookmarkEnd w:id="44"/>
      <w:bookmarkEnd w:id="45"/>
    </w:p>
    <w:p>
      <w:pPr>
        <w:spacing w:line="576"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2022年财政拨款收、支总计389.43万元。与2021年相比，财政拨款收、支总计各减少1.51万元，下降0.39%。主要变动原因是项目支出预算减少。</w:t>
      </w:r>
    </w:p>
    <w:p>
      <w:pPr>
        <w:spacing w:line="576" w:lineRule="exact"/>
        <w:ind w:firstLine="640" w:firstLineChars="200"/>
        <w:rPr>
          <w:rFonts w:ascii="仿宋" w:hAnsi="仿宋" w:eastAsia="仿宋"/>
          <w:sz w:val="32"/>
          <w:szCs w:val="32"/>
        </w:rPr>
      </w:pPr>
      <w:r>
        <w:rPr>
          <w:rFonts w:hint="eastAsia" w:ascii="仿宋_GB2312" w:hAnsi="仿宋_GB2312" w:eastAsia="仿宋_GB2312" w:cs="仿宋_GB2312"/>
          <w:sz w:val="32"/>
          <w:szCs w:val="32"/>
        </w:rPr>
        <w:t>（图4：财政拨款收、支决算总计变动情况图）（柱状图）</w:t>
      </w:r>
    </w:p>
    <w:p>
      <w:pPr>
        <w:spacing w:line="600" w:lineRule="exact"/>
        <w:ind w:firstLine="640"/>
        <w:rPr>
          <w:rFonts w:ascii="仿宋" w:hAnsi="仿宋" w:eastAsia="仿宋"/>
          <w:b/>
          <w:sz w:val="32"/>
          <w:szCs w:val="32"/>
        </w:rPr>
      </w:pPr>
      <w:r>
        <w:rPr>
          <w:rFonts w:hint="eastAsia" w:ascii="仿宋" w:hAnsi="仿宋" w:eastAsia="仿宋"/>
          <w:b/>
          <w:sz w:val="32"/>
          <w:szCs w:val="32"/>
        </w:rPr>
        <w:drawing>
          <wp:anchor distT="0" distB="0" distL="114300" distR="114300" simplePos="0" relativeHeight="251664384" behindDoc="0" locked="0" layoutInCell="1" allowOverlap="1">
            <wp:simplePos x="0" y="0"/>
            <wp:positionH relativeFrom="column">
              <wp:posOffset>552450</wp:posOffset>
            </wp:positionH>
            <wp:positionV relativeFrom="paragraph">
              <wp:posOffset>172085</wp:posOffset>
            </wp:positionV>
            <wp:extent cx="4434840" cy="2867025"/>
            <wp:effectExtent l="19050" t="0" r="22860" b="0"/>
            <wp:wrapNone/>
            <wp:docPr id="2" name="对象 19"/>
            <wp:cNvGraphicFramePr>
              <a:graphicFrameLocks xmlns:a="http://schemas.openxmlformats.org/drawingml/2006/main" noChangeAspect="true"/>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anchor>
        </w:drawing>
      </w:r>
    </w:p>
    <w:p>
      <w:pPr>
        <w:pStyle w:val="2"/>
        <w:spacing w:before="93"/>
      </w:pPr>
    </w:p>
    <w:p>
      <w:pPr>
        <w:pStyle w:val="2"/>
        <w:spacing w:before="93"/>
      </w:pPr>
    </w:p>
    <w:p>
      <w:pPr>
        <w:pStyle w:val="2"/>
        <w:spacing w:before="93"/>
      </w:pPr>
    </w:p>
    <w:p>
      <w:pPr>
        <w:pStyle w:val="2"/>
        <w:spacing w:before="93"/>
      </w:pPr>
    </w:p>
    <w:p>
      <w:pPr>
        <w:pStyle w:val="2"/>
        <w:spacing w:before="93"/>
      </w:pPr>
    </w:p>
    <w:p>
      <w:pPr>
        <w:pStyle w:val="2"/>
        <w:spacing w:before="93"/>
      </w:pPr>
    </w:p>
    <w:p>
      <w:pPr>
        <w:pStyle w:val="4"/>
        <w:spacing w:line="576" w:lineRule="exact"/>
        <w:ind w:firstLine="640" w:firstLineChars="200"/>
        <w:rPr>
          <w:rFonts w:ascii="黑体" w:eastAsia="黑体"/>
          <w:b w:val="0"/>
        </w:rPr>
      </w:pPr>
      <w:bookmarkStart w:id="46" w:name="_Toc147676465"/>
      <w:bookmarkStart w:id="47" w:name="_Toc15377209"/>
      <w:bookmarkStart w:id="48" w:name="_Toc15396607"/>
      <w:bookmarkStart w:id="49" w:name="_Toc147678523"/>
      <w:r>
        <w:rPr>
          <w:rFonts w:hint="eastAsia" w:ascii="黑体" w:eastAsia="黑体"/>
          <w:b w:val="0"/>
        </w:rPr>
        <w:t>五、一般公共预算财政拨款支出决算情况说明</w:t>
      </w:r>
      <w:bookmarkEnd w:id="46"/>
      <w:bookmarkEnd w:id="47"/>
      <w:bookmarkEnd w:id="48"/>
      <w:bookmarkEnd w:id="49"/>
    </w:p>
    <w:p>
      <w:pPr>
        <w:spacing w:line="576" w:lineRule="exact"/>
        <w:ind w:firstLine="640" w:firstLineChars="200"/>
        <w:outlineLvl w:val="2"/>
        <w:rPr>
          <w:rFonts w:ascii="仿宋" w:hAnsi="仿宋" w:eastAsia="仿宋"/>
          <w:b/>
          <w:sz w:val="32"/>
          <w:szCs w:val="32"/>
        </w:rPr>
      </w:pPr>
      <w:bookmarkStart w:id="50" w:name="_Toc147678524"/>
      <w:bookmarkStart w:id="51" w:name="_Toc15377210"/>
      <w:r>
        <w:rPr>
          <w:rFonts w:hint="eastAsia" w:ascii="楷体_GB2312" w:hAnsi="楷体_GB2312" w:eastAsia="楷体_GB2312" w:cs="楷体_GB2312"/>
          <w:bCs/>
          <w:sz w:val="32"/>
          <w:szCs w:val="32"/>
        </w:rPr>
        <w:t>（一）一般公共预算财政拨款支出决算总体情况</w:t>
      </w:r>
      <w:bookmarkEnd w:id="50"/>
      <w:bookmarkEnd w:id="51"/>
    </w:p>
    <w:p>
      <w:pPr>
        <w:spacing w:line="576" w:lineRule="exact"/>
        <w:ind w:firstLine="640" w:firstLineChars="200"/>
        <w:rPr>
          <w:rFonts w:ascii="仿宋" w:hAnsi="仿宋" w:eastAsia="仿宋"/>
          <w:sz w:val="32"/>
          <w:szCs w:val="32"/>
        </w:rPr>
      </w:pPr>
      <w:r>
        <w:rPr>
          <w:rFonts w:ascii="仿宋_GB2312" w:hAnsi="仿宋_GB2312" w:eastAsia="仿宋_GB2312" w:cs="仿宋_GB2312"/>
          <w:sz w:val="32"/>
          <w:szCs w:val="32"/>
        </w:rPr>
        <w:t>20</w:t>
      </w:r>
      <w:r>
        <w:rPr>
          <w:rFonts w:hint="eastAsia" w:ascii="仿宋_GB2312" w:hAnsi="仿宋_GB2312" w:eastAsia="仿宋_GB2312" w:cs="仿宋_GB2312"/>
          <w:sz w:val="32"/>
          <w:szCs w:val="32"/>
        </w:rPr>
        <w:t>22年一般公共预算财政拨款支出389.43万元，占本年支出合计的100</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。与</w:t>
      </w:r>
      <w:r>
        <w:rPr>
          <w:rFonts w:ascii="仿宋_GB2312" w:hAnsi="仿宋_GB2312" w:eastAsia="仿宋_GB2312" w:cs="仿宋_GB2312"/>
          <w:sz w:val="32"/>
          <w:szCs w:val="32"/>
        </w:rPr>
        <w:t>20</w:t>
      </w:r>
      <w:r>
        <w:rPr>
          <w:rFonts w:hint="eastAsia" w:ascii="仿宋_GB2312" w:hAnsi="仿宋_GB2312" w:eastAsia="仿宋_GB2312" w:cs="仿宋_GB2312"/>
          <w:sz w:val="32"/>
          <w:szCs w:val="32"/>
        </w:rPr>
        <w:t>21年相比，一般公共预算财政拨款支出增加36.21万元，增长10.25</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。主要变动原因是上年结转资金实现支出。</w:t>
      </w:r>
    </w:p>
    <w:p>
      <w:pPr>
        <w:spacing w:line="576" w:lineRule="exact"/>
        <w:ind w:firstLine="608" w:firstLineChars="200"/>
        <w:rPr>
          <w:rFonts w:ascii="仿宋_GB2312" w:eastAsia="仿宋_GB2312"/>
          <w:w w:val="95"/>
        </w:rPr>
      </w:pPr>
      <w:r>
        <w:rPr>
          <w:rFonts w:hint="eastAsia" w:ascii="仿宋_GB2312" w:hAnsi="仿宋" w:eastAsia="仿宋_GB2312"/>
          <w:w w:val="95"/>
          <w:sz w:val="32"/>
          <w:szCs w:val="32"/>
        </w:rPr>
        <w:t>（图5：一般公共预算财政拨款支出决算变动情况图）（柱状图）</w:t>
      </w:r>
    </w:p>
    <w:p>
      <w:pPr>
        <w:pStyle w:val="2"/>
        <w:spacing w:before="93"/>
      </w:pPr>
      <w:r>
        <w:rPr>
          <w:rFonts w:hint="eastAsia"/>
        </w:rPr>
        <w:drawing>
          <wp:anchor distT="0" distB="0" distL="114300" distR="114300" simplePos="0" relativeHeight="251673600" behindDoc="1" locked="0" layoutInCell="1" allowOverlap="1">
            <wp:simplePos x="0" y="0"/>
            <wp:positionH relativeFrom="column">
              <wp:posOffset>430530</wp:posOffset>
            </wp:positionH>
            <wp:positionV relativeFrom="paragraph">
              <wp:posOffset>10795</wp:posOffset>
            </wp:positionV>
            <wp:extent cx="4619625" cy="2991485"/>
            <wp:effectExtent l="19050" t="0" r="9525" b="0"/>
            <wp:wrapNone/>
            <wp:docPr id="10" name="对象 10"/>
            <wp:cNvGraphicFramePr>
              <a:graphicFrameLocks xmlns:a="http://schemas.openxmlformats.org/drawingml/2006/main" noChangeAspect="true"/>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anchor>
        </w:drawing>
      </w:r>
    </w:p>
    <w:p>
      <w:pPr>
        <w:pStyle w:val="2"/>
        <w:spacing w:before="93"/>
      </w:pPr>
    </w:p>
    <w:p>
      <w:pPr>
        <w:pStyle w:val="2"/>
        <w:spacing w:before="93"/>
      </w:pPr>
    </w:p>
    <w:p>
      <w:pPr>
        <w:pStyle w:val="2"/>
        <w:spacing w:before="93"/>
      </w:pPr>
    </w:p>
    <w:p>
      <w:pPr>
        <w:pStyle w:val="2"/>
        <w:spacing w:before="93"/>
      </w:pPr>
    </w:p>
    <w:p>
      <w:pPr>
        <w:pStyle w:val="2"/>
        <w:spacing w:before="93"/>
      </w:pPr>
    </w:p>
    <w:p>
      <w:pPr>
        <w:spacing w:line="600" w:lineRule="exact"/>
        <w:outlineLvl w:val="2"/>
        <w:rPr>
          <w:rFonts w:ascii="仿宋" w:hAnsi="仿宋" w:eastAsia="仿宋"/>
          <w:b/>
          <w:sz w:val="32"/>
          <w:szCs w:val="32"/>
        </w:rPr>
      </w:pPr>
      <w:bookmarkStart w:id="52" w:name="_Toc147678525"/>
      <w:bookmarkStart w:id="53" w:name="_Toc15377211"/>
    </w:p>
    <w:p>
      <w:pPr>
        <w:spacing w:line="576" w:lineRule="exact"/>
        <w:ind w:firstLine="640" w:firstLineChars="200"/>
        <w:outlineLvl w:val="2"/>
        <w:rPr>
          <w:rFonts w:ascii="楷体_GB2312" w:hAnsi="楷体_GB2312" w:eastAsia="楷体_GB2312" w:cs="楷体_GB2312"/>
          <w:bCs/>
          <w:sz w:val="32"/>
          <w:szCs w:val="32"/>
        </w:rPr>
      </w:pPr>
      <w:r>
        <w:rPr>
          <w:rFonts w:hint="eastAsia" w:ascii="楷体_GB2312" w:hAnsi="楷体_GB2312" w:eastAsia="楷体_GB2312" w:cs="楷体_GB2312"/>
          <w:bCs/>
          <w:sz w:val="32"/>
          <w:szCs w:val="32"/>
        </w:rPr>
        <w:t>（二）一般公共预算财政拨款支出决算结构情况</w:t>
      </w:r>
      <w:bookmarkEnd w:id="52"/>
      <w:bookmarkEnd w:id="53"/>
    </w:p>
    <w:p>
      <w:pPr>
        <w:spacing w:line="576"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2022年一般公共预算财政拨款支出389.43万元，主要用于以下方面：一般公共服务支出339.70万元，占87.23%；社会保障和就业支出20.17万元，占5.18%；卫生健康支出10.04万元，占2.58%；住房保障支出19.52万元，占5.01%。</w:t>
      </w:r>
    </w:p>
    <w:p>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（图6：一般公共预算财政拨款支出决算结构图）（饼状图）</w:t>
      </w:r>
    </w:p>
    <w:p>
      <w:pPr>
        <w:spacing w:line="600" w:lineRule="exact"/>
        <w:ind w:firstLine="640" w:firstLineChars="200"/>
        <w:rPr>
          <w:rFonts w:ascii="仿宋" w:hAnsi="仿宋" w:eastAsia="仿宋"/>
          <w:sz w:val="32"/>
          <w:szCs w:val="32"/>
        </w:rPr>
      </w:pPr>
      <w:r>
        <w:rPr>
          <w:rFonts w:hint="eastAsia" w:ascii="仿宋" w:hAnsi="仿宋" w:eastAsia="仿宋"/>
          <w:sz w:val="32"/>
          <w:szCs w:val="32"/>
        </w:rPr>
        <w:drawing>
          <wp:anchor distT="0" distB="0" distL="114300" distR="114300" simplePos="0" relativeHeight="251665408" behindDoc="0" locked="0" layoutInCell="1" allowOverlap="1">
            <wp:simplePos x="0" y="0"/>
            <wp:positionH relativeFrom="column">
              <wp:posOffset>487680</wp:posOffset>
            </wp:positionH>
            <wp:positionV relativeFrom="paragraph">
              <wp:posOffset>172720</wp:posOffset>
            </wp:positionV>
            <wp:extent cx="4562475" cy="2863215"/>
            <wp:effectExtent l="19050" t="0" r="9525" b="0"/>
            <wp:wrapNone/>
            <wp:docPr id="11" name="对象 11"/>
            <wp:cNvGraphicFramePr>
              <a:graphicFrameLocks xmlns:a="http://schemas.openxmlformats.org/drawingml/2006/main" noChangeAspect="true"/>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anchor>
        </w:drawing>
      </w:r>
    </w:p>
    <w:p>
      <w:pPr>
        <w:pStyle w:val="2"/>
        <w:spacing w:before="93"/>
      </w:pPr>
    </w:p>
    <w:p>
      <w:pPr>
        <w:pStyle w:val="2"/>
        <w:spacing w:before="93"/>
      </w:pPr>
    </w:p>
    <w:p>
      <w:pPr>
        <w:pStyle w:val="2"/>
        <w:spacing w:before="93"/>
      </w:pPr>
    </w:p>
    <w:p>
      <w:pPr>
        <w:spacing w:line="600" w:lineRule="exact"/>
        <w:outlineLvl w:val="2"/>
        <w:rPr>
          <w:rFonts w:ascii="仿宋" w:hAnsi="仿宋" w:eastAsia="仿宋"/>
          <w:b/>
          <w:sz w:val="32"/>
          <w:szCs w:val="32"/>
        </w:rPr>
      </w:pPr>
      <w:bookmarkStart w:id="54" w:name="_Toc15377212"/>
    </w:p>
    <w:p>
      <w:pPr>
        <w:spacing w:line="576" w:lineRule="exact"/>
        <w:ind w:firstLine="640" w:firstLineChars="200"/>
        <w:outlineLvl w:val="2"/>
        <w:rPr>
          <w:rFonts w:hint="eastAsia" w:ascii="楷体_GB2312" w:hAnsi="楷体_GB2312" w:eastAsia="楷体_GB2312" w:cs="楷体_GB2312"/>
          <w:bCs/>
          <w:sz w:val="32"/>
          <w:szCs w:val="32"/>
        </w:rPr>
      </w:pPr>
      <w:bookmarkStart w:id="55" w:name="_Toc147678526"/>
    </w:p>
    <w:p>
      <w:pPr>
        <w:spacing w:line="576" w:lineRule="exact"/>
        <w:ind w:firstLine="640" w:firstLineChars="200"/>
        <w:outlineLvl w:val="2"/>
        <w:rPr>
          <w:rFonts w:ascii="仿宋_GB2312" w:hAnsi="仿宋_GB2312" w:eastAsia="仿宋_GB2312" w:cs="仿宋_GB2312"/>
          <w:bCs/>
          <w:sz w:val="32"/>
          <w:szCs w:val="32"/>
        </w:rPr>
      </w:pPr>
      <w:r>
        <w:rPr>
          <w:rFonts w:hint="eastAsia" w:ascii="楷体_GB2312" w:hAnsi="楷体_GB2312" w:eastAsia="楷体_GB2312" w:cs="楷体_GB2312"/>
          <w:bCs/>
          <w:sz w:val="32"/>
          <w:szCs w:val="32"/>
        </w:rPr>
        <w:t>（三）一般公共预算财政拨款支出决算具体情况</w:t>
      </w:r>
      <w:bookmarkEnd w:id="54"/>
      <w:bookmarkEnd w:id="55"/>
      <w:bookmarkStart w:id="56" w:name="_Toc15377444"/>
      <w:bookmarkStart w:id="57" w:name="_Toc15378460"/>
      <w:bookmarkStart w:id="58" w:name="_Toc15377213"/>
    </w:p>
    <w:p>
      <w:pPr>
        <w:spacing w:line="576" w:lineRule="exact"/>
        <w:ind w:firstLine="640" w:firstLineChars="200"/>
        <w:outlineLvl w:val="2"/>
        <w:rPr>
          <w:rFonts w:ascii="仿宋_GB2312" w:hAnsi="仿宋_GB2312" w:eastAsia="仿宋_GB2312" w:cs="仿宋_GB2312"/>
          <w:bCs/>
          <w:sz w:val="32"/>
          <w:szCs w:val="32"/>
        </w:rPr>
      </w:pPr>
      <w:bookmarkStart w:id="59" w:name="_Toc147678527"/>
      <w:r>
        <w:rPr>
          <w:rFonts w:hint="eastAsia" w:ascii="仿宋_GB2312" w:hAnsi="仿宋_GB2312" w:eastAsia="仿宋_GB2312" w:cs="仿宋_GB2312"/>
          <w:bCs/>
          <w:sz w:val="32"/>
          <w:szCs w:val="32"/>
        </w:rPr>
        <w:t>2022年一般公共预算支出决算数为389.43万元，</w:t>
      </w:r>
      <w:r>
        <w:rPr>
          <w:rStyle w:val="17"/>
          <w:rFonts w:hint="eastAsia" w:ascii="仿宋_GB2312" w:hAnsi="仿宋_GB2312" w:eastAsia="仿宋_GB2312" w:cs="仿宋_GB2312"/>
          <w:b w:val="0"/>
          <w:bCs/>
          <w:sz w:val="32"/>
          <w:szCs w:val="32"/>
        </w:rPr>
        <w:t>完成预算100%。其中：</w:t>
      </w:r>
      <w:bookmarkEnd w:id="56"/>
      <w:bookmarkEnd w:id="57"/>
      <w:bookmarkEnd w:id="58"/>
      <w:bookmarkEnd w:id="59"/>
    </w:p>
    <w:p>
      <w:pPr>
        <w:spacing w:line="576"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1.一般公共服务（类）市场监督管理事务（款）行政运行（项）：支出决算为273.15万元，完成预算100%。</w:t>
      </w:r>
    </w:p>
    <w:p>
      <w:pPr>
        <w:spacing w:line="576"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2.一般公共服务（类）市场监督管理事务（款）一般行政管理事务（项）：支出决算为14.7万元，完成预算100%。</w:t>
      </w:r>
    </w:p>
    <w:p>
      <w:pPr>
        <w:spacing w:line="576"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3.一般公共服务（类）市场监督管理事务（款）市场主体管理（项）：支出决算为14.11万元，完成预算100%。</w:t>
      </w:r>
    </w:p>
    <w:p>
      <w:pPr>
        <w:spacing w:line="576"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4.一般公共服务（类）市场监督管理事务（款）市场秩序执法（项）：支出决算为9.78万元，完成预算100%。</w:t>
      </w:r>
    </w:p>
    <w:p>
      <w:pPr>
        <w:spacing w:line="576"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5.一般公共服务（类）市场监督管理事务（款）药品事务（项）：支出决算为2.1万元，完成预算100%。</w:t>
      </w:r>
    </w:p>
    <w:p>
      <w:pPr>
        <w:spacing w:line="576"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6.一般公共服务（类）市场监督管理事务（款）其他市场监督管理事务（项）：支出决算为25.86万元，完成预算100%。</w:t>
      </w:r>
    </w:p>
    <w:p>
      <w:pPr>
        <w:pStyle w:val="2"/>
        <w:spacing w:before="93" w:line="576" w:lineRule="exact"/>
        <w:ind w:firstLine="640" w:firstLineChars="200"/>
        <w:rPr>
          <w:rFonts w:hAnsi="仿宋_GB2312" w:cs="仿宋_GB2312"/>
          <w:bCs/>
          <w:kern w:val="2"/>
          <w:sz w:val="32"/>
          <w:szCs w:val="32"/>
        </w:rPr>
      </w:pPr>
      <w:r>
        <w:rPr>
          <w:rFonts w:hint="eastAsia" w:hAnsi="仿宋_GB2312" w:cs="仿宋_GB2312"/>
          <w:bCs/>
          <w:kern w:val="2"/>
          <w:sz w:val="32"/>
          <w:szCs w:val="32"/>
        </w:rPr>
        <w:t>7.社会保障和就业（类）行政事业单位养老支出（款）机关事业单位基本养老保险缴费支出（项）：支出决算为20.17万元，完成预算100%。</w:t>
      </w:r>
    </w:p>
    <w:p>
      <w:pPr>
        <w:pStyle w:val="2"/>
        <w:spacing w:before="93" w:line="576" w:lineRule="exact"/>
        <w:ind w:firstLine="640" w:firstLineChars="200"/>
        <w:rPr>
          <w:rFonts w:hAnsi="仿宋_GB2312" w:cs="仿宋_GB2312"/>
          <w:bCs/>
          <w:kern w:val="2"/>
          <w:sz w:val="32"/>
          <w:szCs w:val="32"/>
        </w:rPr>
      </w:pPr>
      <w:r>
        <w:rPr>
          <w:rFonts w:hint="eastAsia" w:hAnsi="仿宋_GB2312" w:cs="仿宋_GB2312"/>
          <w:bCs/>
          <w:kern w:val="2"/>
          <w:sz w:val="32"/>
          <w:szCs w:val="32"/>
        </w:rPr>
        <w:t>8.卫生健康（类）行政事业单位医疗（款）行政单位医疗（项）：支出决算为10.04万元，完成预算100%。</w:t>
      </w:r>
    </w:p>
    <w:p>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bCs/>
          <w:sz w:val="32"/>
          <w:szCs w:val="32"/>
        </w:rPr>
        <w:t>9.住房保障支出（类）住房改革支出（款）住房公积金（项）：支出决算为19.52万元，完成预算100%。</w:t>
      </w:r>
    </w:p>
    <w:p>
      <w:pPr>
        <w:pStyle w:val="4"/>
        <w:spacing w:line="576" w:lineRule="exact"/>
        <w:ind w:firstLine="640" w:firstLineChars="200"/>
        <w:rPr>
          <w:rStyle w:val="20"/>
          <w:rFonts w:ascii="黑体" w:eastAsia="黑体"/>
          <w:b/>
          <w:bCs w:val="0"/>
        </w:rPr>
      </w:pPr>
      <w:bookmarkStart w:id="60" w:name="_Toc15377214"/>
      <w:bookmarkStart w:id="61" w:name="_Toc147678528"/>
      <w:bookmarkStart w:id="62" w:name="_Toc15396608"/>
      <w:bookmarkStart w:id="63" w:name="_Toc147676466"/>
      <w:r>
        <w:rPr>
          <w:rFonts w:hint="eastAsia" w:ascii="黑体" w:eastAsia="黑体"/>
          <w:b w:val="0"/>
        </w:rPr>
        <w:t>六、一般公共预算财政拨款基本支出决算情况说明</w:t>
      </w:r>
      <w:bookmarkEnd w:id="60"/>
      <w:bookmarkEnd w:id="61"/>
      <w:bookmarkEnd w:id="62"/>
      <w:bookmarkEnd w:id="63"/>
      <w:r>
        <w:rPr>
          <w:rStyle w:val="20"/>
          <w:rFonts w:hint="eastAsia" w:ascii="黑体" w:hAnsi="黑体" w:eastAsia="黑体"/>
          <w:b/>
          <w:bCs w:val="0"/>
        </w:rPr>
        <w:tab/>
      </w:r>
    </w:p>
    <w:p>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2022年一般公共预算财政拨款基本支出322.88万元，其中：</w:t>
      </w:r>
    </w:p>
    <w:p>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人员经费276.19万元，主要包括：基本工资、津贴补贴、奖金、机关事业单位基本养老保险缴费、职工基本医疗保险缴费、其他社会保障缴费、住房公积金、其他工资福利支出、生活补助、奖励金。</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公用经费46.69万元，主要包括：办公费、水费、电费、邮电费、物业管理费、差旅费、维修（护）费、租赁费、会议费、培训费、公务接待费、劳务费、委托业务费、工会经费、福利费、公务用车运行维护费、其他交通费用、其他商品和服务支出。</w:t>
      </w:r>
    </w:p>
    <w:p>
      <w:pPr>
        <w:pStyle w:val="4"/>
        <w:spacing w:line="576" w:lineRule="exact"/>
        <w:ind w:firstLine="640" w:firstLineChars="200"/>
        <w:rPr>
          <w:rFonts w:ascii="黑体" w:eastAsia="黑体"/>
          <w:b w:val="0"/>
        </w:rPr>
      </w:pPr>
      <w:bookmarkStart w:id="64" w:name="_Toc147676467"/>
      <w:bookmarkStart w:id="65" w:name="_Toc147678529"/>
      <w:bookmarkStart w:id="66" w:name="_Toc15377215"/>
      <w:bookmarkStart w:id="67" w:name="_Toc15396609"/>
      <w:r>
        <w:rPr>
          <w:rFonts w:hint="eastAsia" w:ascii="黑体" w:eastAsia="黑体"/>
          <w:b w:val="0"/>
        </w:rPr>
        <w:t>七、财政拨款“三公”经费支出决算情况说明</w:t>
      </w:r>
      <w:bookmarkEnd w:id="64"/>
      <w:bookmarkEnd w:id="65"/>
      <w:bookmarkEnd w:id="66"/>
      <w:bookmarkEnd w:id="67"/>
    </w:p>
    <w:p>
      <w:pPr>
        <w:spacing w:line="576" w:lineRule="exact"/>
        <w:ind w:firstLine="640" w:firstLineChars="200"/>
        <w:outlineLvl w:val="2"/>
        <w:rPr>
          <w:rFonts w:ascii="楷体_GB2312" w:hAnsi="楷体_GB2312" w:eastAsia="楷体_GB2312" w:cs="楷体_GB2312"/>
          <w:bCs/>
          <w:sz w:val="32"/>
          <w:szCs w:val="32"/>
        </w:rPr>
      </w:pPr>
      <w:bookmarkStart w:id="68" w:name="_Toc15377216"/>
      <w:bookmarkStart w:id="69" w:name="_Toc147678530"/>
      <w:r>
        <w:rPr>
          <w:rFonts w:hint="eastAsia" w:ascii="楷体_GB2312" w:hAnsi="楷体_GB2312" w:eastAsia="楷体_GB2312" w:cs="楷体_GB2312"/>
          <w:bCs/>
          <w:sz w:val="32"/>
          <w:szCs w:val="32"/>
        </w:rPr>
        <w:t>（一）“三公”经费财政拨款支出决算总体情况说明</w:t>
      </w:r>
      <w:bookmarkEnd w:id="68"/>
      <w:bookmarkEnd w:id="69"/>
    </w:p>
    <w:p>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2022年“三公”经费财政拨款支出决算为7.52万元，完成预算89.95%，较上年减少1.18万元，下降13.56%。决算数小于预算数的主要原因是严格控制“三公”经费，压缩支出。</w:t>
      </w:r>
    </w:p>
    <w:p>
      <w:pPr>
        <w:spacing w:line="576" w:lineRule="exact"/>
        <w:ind w:firstLine="640" w:firstLineChars="200"/>
        <w:outlineLvl w:val="2"/>
        <w:rPr>
          <w:rFonts w:ascii="楷体_GB2312" w:hAnsi="楷体_GB2312" w:eastAsia="楷体_GB2312" w:cs="楷体_GB2312"/>
          <w:bCs/>
          <w:sz w:val="32"/>
          <w:szCs w:val="32"/>
        </w:rPr>
      </w:pPr>
      <w:bookmarkStart w:id="70" w:name="_Toc15377217"/>
      <w:bookmarkStart w:id="71" w:name="_Toc147678531"/>
      <w:r>
        <w:rPr>
          <w:rFonts w:hint="eastAsia" w:ascii="楷体_GB2312" w:hAnsi="楷体_GB2312" w:eastAsia="楷体_GB2312" w:cs="楷体_GB2312"/>
          <w:bCs/>
          <w:sz w:val="32"/>
          <w:szCs w:val="32"/>
        </w:rPr>
        <w:t>（二）“三公”经费财政拨款支出决算具体情况说明</w:t>
      </w:r>
      <w:bookmarkEnd w:id="70"/>
      <w:bookmarkEnd w:id="71"/>
    </w:p>
    <w:p>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2022年“三公”经费财政拨款支出决算中，因公出国（境）费支出决算0万元，占0%；公务用车购置及运行维护费支出决算7.21万元，占95.88%；公务接待费支出决算0.31万元，占4.12%。具体情况如下：</w:t>
      </w:r>
    </w:p>
    <w:p>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（图7：“三公”经费财政拨款支出结构图）（饼状图）</w:t>
      </w:r>
    </w:p>
    <w:p>
      <w:pPr>
        <w:pStyle w:val="2"/>
        <w:spacing w:before="93"/>
      </w:pPr>
      <w:r>
        <w:rPr>
          <w:rFonts w:hint="eastAsia"/>
        </w:rPr>
        <w:drawing>
          <wp:anchor distT="0" distB="0" distL="114300" distR="114300" simplePos="0" relativeHeight="251666432" behindDoc="1" locked="0" layoutInCell="1" allowOverlap="1">
            <wp:simplePos x="0" y="0"/>
            <wp:positionH relativeFrom="column">
              <wp:posOffset>449580</wp:posOffset>
            </wp:positionH>
            <wp:positionV relativeFrom="paragraph">
              <wp:posOffset>136525</wp:posOffset>
            </wp:positionV>
            <wp:extent cx="4685665" cy="2905125"/>
            <wp:effectExtent l="19050" t="0" r="19685" b="0"/>
            <wp:wrapNone/>
            <wp:docPr id="16" name="对象 16"/>
            <wp:cNvGraphicFramePr>
              <a:graphicFrameLocks xmlns:a="http://schemas.openxmlformats.org/drawingml/2006/main" noChangeAspect="true"/>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anchor>
        </w:drawing>
      </w:r>
    </w:p>
    <w:p>
      <w:pPr>
        <w:pStyle w:val="2"/>
        <w:spacing w:before="93"/>
      </w:pPr>
    </w:p>
    <w:p>
      <w:pPr>
        <w:pStyle w:val="2"/>
        <w:spacing w:before="93"/>
      </w:pPr>
    </w:p>
    <w:p>
      <w:pPr>
        <w:pStyle w:val="2"/>
        <w:spacing w:before="93"/>
      </w:pPr>
    </w:p>
    <w:p>
      <w:pPr>
        <w:pStyle w:val="2"/>
        <w:spacing w:before="93"/>
      </w:pPr>
    </w:p>
    <w:p>
      <w:pPr>
        <w:pStyle w:val="2"/>
        <w:spacing w:before="93"/>
      </w:pPr>
    </w:p>
    <w:p>
      <w:pPr>
        <w:pStyle w:val="2"/>
        <w:spacing w:before="93"/>
      </w:pPr>
    </w:p>
    <w:p>
      <w:pPr>
        <w:spacing w:line="576"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1.因公出国（境）经费支出0万元，年初未安排预算，因公出国（境）支出决算较2021年无变化。</w:t>
      </w:r>
    </w:p>
    <w:p>
      <w:pPr>
        <w:spacing w:line="576"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2.公务用车购置及运行维护费支出7.21万元，完成预算96.13%。公务用车购置及运行维护费支出决算比2021年减少0.85万元，下降10.55%。主要原因是严格控制“三公”经费，压缩支出。</w:t>
      </w:r>
    </w:p>
    <w:p>
      <w:pPr>
        <w:spacing w:line="576"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其中：公务用车购置支出0万元。截至2022年12月底，单位共有公务用车3辆，其中：轿车2辆、越野车1辆。</w:t>
      </w:r>
    </w:p>
    <w:p>
      <w:pPr>
        <w:spacing w:line="576"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公务用车运行维护费支出7.21万元。主要用于质量安全监管、食品药品、医疗器械等市场监督管理事务，消费者权益保护等市场秩序执法工作所需的公务用车燃料费、维修费、过路过桥费、保险费等支出。</w:t>
      </w:r>
    </w:p>
    <w:p>
      <w:pPr>
        <w:spacing w:line="576"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3.公务接待费支出0.31万元，完成预算36.05%。公务接待费支出决算比2021年减少0.34万元，下降52.31%。主要原因是受疫情影响，相关业务检查工作接待减少。其中：</w:t>
      </w:r>
    </w:p>
    <w:p>
      <w:pPr>
        <w:spacing w:line="576"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国内公务接待支出0.31万元，主要用于执行公务、开展业务活动开支的用餐费等。国内公务接待4批次，20人次（不包括陪同人员），共计支出0.31万元，具体内容包括：上级部门各类检查调研、市州及县区市场监督管理局来我单位交流学习等。</w:t>
      </w:r>
    </w:p>
    <w:p>
      <w:pPr>
        <w:spacing w:line="576"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外事接待支出0万元。</w:t>
      </w:r>
    </w:p>
    <w:p>
      <w:pPr>
        <w:pStyle w:val="4"/>
        <w:spacing w:line="576" w:lineRule="exact"/>
        <w:ind w:firstLine="640" w:firstLineChars="200"/>
        <w:rPr>
          <w:rFonts w:ascii="黑体" w:eastAsia="黑体"/>
          <w:b w:val="0"/>
        </w:rPr>
      </w:pPr>
      <w:bookmarkStart w:id="72" w:name="_Toc15377218"/>
      <w:bookmarkStart w:id="73" w:name="_Toc147676468"/>
      <w:bookmarkStart w:id="74" w:name="_Toc147678532"/>
      <w:bookmarkStart w:id="75" w:name="_Toc15396610"/>
      <w:r>
        <w:rPr>
          <w:rFonts w:hint="eastAsia" w:ascii="黑体" w:eastAsia="黑体"/>
          <w:b w:val="0"/>
        </w:rPr>
        <w:t>八、政府性基金预算支出决算情况说明</w:t>
      </w:r>
      <w:bookmarkEnd w:id="72"/>
      <w:bookmarkEnd w:id="73"/>
      <w:bookmarkEnd w:id="74"/>
      <w:bookmarkEnd w:id="75"/>
    </w:p>
    <w:p>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2022年政府性基金预算财政拨款支出0万元。</w:t>
      </w:r>
    </w:p>
    <w:p>
      <w:pPr>
        <w:pStyle w:val="4"/>
        <w:spacing w:line="576" w:lineRule="exact"/>
        <w:ind w:firstLine="640" w:firstLineChars="200"/>
        <w:rPr>
          <w:rFonts w:ascii="黑体" w:eastAsia="黑体"/>
          <w:b w:val="0"/>
        </w:rPr>
      </w:pPr>
      <w:bookmarkStart w:id="76" w:name="_Toc15396611"/>
      <w:bookmarkStart w:id="77" w:name="_Toc147678533"/>
      <w:bookmarkStart w:id="78" w:name="_Toc147676469"/>
      <w:bookmarkStart w:id="79" w:name="_Toc15377219"/>
      <w:r>
        <w:rPr>
          <w:rFonts w:hint="eastAsia" w:ascii="黑体" w:eastAsia="黑体"/>
          <w:b w:val="0"/>
        </w:rPr>
        <w:t>九、国有资本经营预算支出决算情况说明</w:t>
      </w:r>
      <w:bookmarkEnd w:id="76"/>
      <w:bookmarkEnd w:id="77"/>
      <w:bookmarkEnd w:id="78"/>
      <w:bookmarkEnd w:id="79"/>
    </w:p>
    <w:p>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2022年国有资本经营预算财政拨款支出0万元。</w:t>
      </w:r>
    </w:p>
    <w:p>
      <w:pPr>
        <w:pStyle w:val="4"/>
        <w:spacing w:line="576" w:lineRule="exact"/>
        <w:ind w:firstLine="640" w:firstLineChars="200"/>
        <w:rPr>
          <w:rFonts w:ascii="黑体" w:eastAsia="黑体"/>
          <w:b w:val="0"/>
        </w:rPr>
      </w:pPr>
      <w:bookmarkStart w:id="80" w:name="_Toc147678534"/>
      <w:bookmarkStart w:id="81" w:name="_Toc15377221"/>
      <w:bookmarkStart w:id="82" w:name="_Toc15396612"/>
      <w:bookmarkStart w:id="83" w:name="_Toc147676470"/>
      <w:r>
        <w:rPr>
          <w:rFonts w:hint="eastAsia" w:ascii="黑体" w:eastAsia="黑体"/>
          <w:b w:val="0"/>
        </w:rPr>
        <w:t>十、其他重要事项的情况说明</w:t>
      </w:r>
      <w:bookmarkEnd w:id="80"/>
      <w:bookmarkEnd w:id="81"/>
      <w:bookmarkEnd w:id="82"/>
      <w:bookmarkEnd w:id="83"/>
    </w:p>
    <w:p>
      <w:pPr>
        <w:autoSpaceDE w:val="0"/>
        <w:autoSpaceDN w:val="0"/>
        <w:adjustRightInd w:val="0"/>
        <w:spacing w:line="576" w:lineRule="exact"/>
        <w:ind w:firstLine="640" w:firstLineChars="200"/>
        <w:jc w:val="left"/>
        <w:outlineLvl w:val="2"/>
        <w:rPr>
          <w:rFonts w:ascii="楷体_GB2312" w:hAnsi="楷体_GB2312" w:eastAsia="楷体_GB2312" w:cs="楷体_GB2312"/>
          <w:bCs/>
          <w:sz w:val="32"/>
          <w:szCs w:val="32"/>
        </w:rPr>
      </w:pPr>
      <w:bookmarkStart w:id="84" w:name="_Toc147678535"/>
      <w:bookmarkStart w:id="85" w:name="_Toc15377222"/>
      <w:r>
        <w:rPr>
          <w:rFonts w:hint="eastAsia" w:ascii="楷体_GB2312" w:hAnsi="楷体_GB2312" w:eastAsia="楷体_GB2312" w:cs="楷体_GB2312"/>
          <w:bCs/>
          <w:sz w:val="32"/>
          <w:szCs w:val="32"/>
        </w:rPr>
        <w:t>（一）机关运行经费支出情况</w:t>
      </w:r>
      <w:bookmarkEnd w:id="84"/>
      <w:bookmarkEnd w:id="85"/>
    </w:p>
    <w:p>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2022年，广元市市场监督管理局广元经开区分局机关运行经费支出46.69万元，比2021年减少3.08万元，下降6.19%。主要原因是有2名在职人员调出，日常公用经费预算减少。</w:t>
      </w:r>
    </w:p>
    <w:p>
      <w:pPr>
        <w:autoSpaceDE w:val="0"/>
        <w:autoSpaceDN w:val="0"/>
        <w:adjustRightInd w:val="0"/>
        <w:spacing w:line="576" w:lineRule="exact"/>
        <w:ind w:firstLine="640" w:firstLineChars="200"/>
        <w:jc w:val="left"/>
        <w:outlineLvl w:val="2"/>
        <w:rPr>
          <w:rFonts w:ascii="楷体_GB2312" w:hAnsi="楷体_GB2312" w:eastAsia="楷体_GB2312" w:cs="楷体_GB2312"/>
          <w:bCs/>
          <w:sz w:val="32"/>
          <w:szCs w:val="32"/>
        </w:rPr>
      </w:pPr>
      <w:bookmarkStart w:id="86" w:name="_Toc15377223"/>
      <w:bookmarkStart w:id="87" w:name="_Toc147678536"/>
      <w:r>
        <w:rPr>
          <w:rFonts w:hint="eastAsia" w:ascii="楷体_GB2312" w:hAnsi="楷体_GB2312" w:eastAsia="楷体_GB2312" w:cs="楷体_GB2312"/>
          <w:bCs/>
          <w:sz w:val="32"/>
          <w:szCs w:val="32"/>
        </w:rPr>
        <w:t>（二）政府采购支出情况</w:t>
      </w:r>
      <w:bookmarkEnd w:id="86"/>
      <w:bookmarkEnd w:id="87"/>
    </w:p>
    <w:p>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2022年，广元市市场监督管理局广元经开区分局政府采购支出总额0万元。</w:t>
      </w:r>
    </w:p>
    <w:p>
      <w:pPr>
        <w:autoSpaceDE w:val="0"/>
        <w:autoSpaceDN w:val="0"/>
        <w:adjustRightInd w:val="0"/>
        <w:spacing w:line="576" w:lineRule="exact"/>
        <w:ind w:firstLine="640" w:firstLineChars="200"/>
        <w:jc w:val="left"/>
        <w:outlineLvl w:val="2"/>
        <w:rPr>
          <w:rFonts w:ascii="楷体_GB2312" w:hAnsi="楷体_GB2312" w:eastAsia="楷体_GB2312" w:cs="楷体_GB2312"/>
          <w:bCs/>
          <w:sz w:val="32"/>
          <w:szCs w:val="32"/>
        </w:rPr>
      </w:pPr>
      <w:bookmarkStart w:id="88" w:name="_Toc147678537"/>
      <w:bookmarkStart w:id="89" w:name="_Toc15377224"/>
      <w:r>
        <w:rPr>
          <w:rFonts w:hint="eastAsia" w:ascii="楷体_GB2312" w:hAnsi="楷体_GB2312" w:eastAsia="楷体_GB2312" w:cs="楷体_GB2312"/>
          <w:bCs/>
          <w:sz w:val="32"/>
          <w:szCs w:val="32"/>
        </w:rPr>
        <w:t>（三）国有资产占有使用情况</w:t>
      </w:r>
      <w:bookmarkEnd w:id="88"/>
      <w:bookmarkEnd w:id="89"/>
    </w:p>
    <w:p>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截至2022年12月31日，广元市市场监督管理局广元经开区分局共有车辆3辆，其中：其他用车3辆，其他用车主要是用于质量安全监管、食品药品、医疗器械等市场监督管理事务，消费者权益保护等市场秩序执法工作。单价100万元以上专用设备0台（套）。</w:t>
      </w:r>
    </w:p>
    <w:p>
      <w:pPr>
        <w:autoSpaceDE w:val="0"/>
        <w:autoSpaceDN w:val="0"/>
        <w:adjustRightInd w:val="0"/>
        <w:spacing w:line="576" w:lineRule="exact"/>
        <w:ind w:firstLine="640" w:firstLineChars="200"/>
        <w:jc w:val="left"/>
        <w:outlineLvl w:val="2"/>
        <w:rPr>
          <w:rFonts w:ascii="楷体_GB2312" w:hAnsi="楷体_GB2312" w:eastAsia="楷体_GB2312" w:cs="楷体_GB2312"/>
          <w:bCs/>
          <w:sz w:val="32"/>
          <w:szCs w:val="32"/>
        </w:rPr>
      </w:pPr>
      <w:bookmarkStart w:id="90" w:name="_Toc147678538"/>
      <w:r>
        <w:rPr>
          <w:rFonts w:hint="eastAsia" w:ascii="楷体_GB2312" w:hAnsi="楷体_GB2312" w:eastAsia="楷体_GB2312" w:cs="楷体_GB2312"/>
          <w:bCs/>
          <w:sz w:val="32"/>
          <w:szCs w:val="32"/>
        </w:rPr>
        <w:t>（四）预算绩效管理情况</w:t>
      </w:r>
      <w:bookmarkEnd w:id="90"/>
    </w:p>
    <w:p>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根据预算绩效管理要求，本单位在2022年度预算编制阶段，组织对市场综合监管专项项目、市场秩序执法办案专项项目、信息化建设运行及维护项目、其他市场综合监管专项项目等15个项目开展了预算事前绩效评估，对15个项目编制了绩效目标，预算执行过程中，选取15个项目开展绩效监控，组织对15个项目开展绩效自评，绩效自评表详见第四部分附件。</w:t>
      </w:r>
    </w:p>
    <w:p>
      <w:pPr>
        <w:widowControl/>
        <w:spacing w:line="576" w:lineRule="exact"/>
        <w:ind w:firstLine="642" w:firstLineChars="200"/>
        <w:jc w:val="left"/>
        <w:rPr>
          <w:rFonts w:ascii="仿宋_GB2312" w:eastAsia="仿宋_GB2312"/>
          <w:b/>
          <w:sz w:val="32"/>
          <w:szCs w:val="32"/>
        </w:rPr>
      </w:pPr>
      <w:r>
        <w:rPr>
          <w:rFonts w:ascii="仿宋_GB2312" w:eastAsia="仿宋_GB2312"/>
          <w:b/>
          <w:sz w:val="32"/>
          <w:szCs w:val="32"/>
        </w:rPr>
        <w:br w:type="page"/>
      </w:r>
    </w:p>
    <w:p>
      <w:pPr>
        <w:pStyle w:val="3"/>
        <w:spacing w:line="600" w:lineRule="exact"/>
        <w:jc w:val="center"/>
        <w:rPr>
          <w:rFonts w:ascii="方正小标宋简体" w:hAnsi="方正小标宋简体" w:eastAsia="方正小标宋简体" w:cs="方正小标宋简体"/>
          <w:b w:val="0"/>
          <w:bCs w:val="0"/>
          <w:kern w:val="2"/>
        </w:rPr>
      </w:pPr>
      <w:bookmarkStart w:id="91" w:name="_Toc15396613"/>
      <w:bookmarkStart w:id="92" w:name="_Toc147678539"/>
      <w:bookmarkStart w:id="93" w:name="_Toc15377225"/>
      <w:bookmarkStart w:id="94" w:name="_Toc147676471"/>
      <w:r>
        <w:rPr>
          <w:rFonts w:hint="eastAsia" w:ascii="方正小标宋简体" w:hAnsi="方正小标宋简体" w:eastAsia="方正小标宋简体" w:cs="方正小标宋简体"/>
          <w:b w:val="0"/>
          <w:bCs w:val="0"/>
          <w:kern w:val="2"/>
        </w:rPr>
        <w:t>第三部分名词解释</w:t>
      </w:r>
      <w:bookmarkEnd w:id="91"/>
      <w:bookmarkEnd w:id="92"/>
      <w:bookmarkEnd w:id="93"/>
      <w:bookmarkEnd w:id="94"/>
    </w:p>
    <w:p>
      <w:pPr>
        <w:pStyle w:val="28"/>
        <w:spacing w:line="576" w:lineRule="exact"/>
        <w:ind w:firstLine="640" w:firstLineChars="200"/>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rPr>
        <w:t>1.财政拨款收入：指单位从同级财政部门取得的财政预算资金。</w:t>
      </w:r>
    </w:p>
    <w:p>
      <w:pPr>
        <w:pStyle w:val="28"/>
        <w:spacing w:line="576" w:lineRule="exact"/>
        <w:ind w:firstLine="640" w:firstLineChars="200"/>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rPr>
        <w:t>2.年初结转和结余：指以前年度尚未完成、结转到本年按有关规定继续使用的资金。</w:t>
      </w:r>
    </w:p>
    <w:p>
      <w:pPr>
        <w:pStyle w:val="28"/>
        <w:spacing w:line="576" w:lineRule="exact"/>
        <w:ind w:firstLine="640" w:firstLineChars="200"/>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rPr>
        <w:t>3.一般公共服务（类）市场监督管理事务（款）行政运行（项）：指广元市市场监督管理局广元经开区分局用于行政单位的基本支出。</w:t>
      </w:r>
    </w:p>
    <w:p>
      <w:pPr>
        <w:pStyle w:val="28"/>
        <w:spacing w:line="576" w:lineRule="exact"/>
        <w:ind w:firstLine="640" w:firstLineChars="200"/>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rPr>
        <w:t>4.一般公共服务（类）市场监督管理事务（款）一般行政管理事务（项）：指广元市市场监督管理局广元经开区分局用于未单独设置项级科目的其他项目支出。</w:t>
      </w:r>
    </w:p>
    <w:p>
      <w:pPr>
        <w:pStyle w:val="28"/>
        <w:spacing w:line="576" w:lineRule="exact"/>
        <w:ind w:firstLine="640" w:firstLineChars="200"/>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rPr>
        <w:t>5.一般公共服务（类）市场监督管理事务（款）市场主体管理（项）：指广元市市场监督管理局广元经开区分局用于市场准入、许可审批、信用监管等市场主体管理专项工作的支出。</w:t>
      </w:r>
    </w:p>
    <w:p>
      <w:pPr>
        <w:pStyle w:val="28"/>
        <w:spacing w:line="576" w:lineRule="exact"/>
        <w:ind w:firstLine="640" w:firstLineChars="200"/>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rPr>
        <w:t>6.一般公共服务（类）市场监督管理事务（款）市场秩序执法（项）：指广元市市场监督管理局广元经开区分局用于反垄断、价格监督、反不正当竞争、规范直销与打击传销、网络交易监管、广告监管、消费者权益保护、综合执法等市场秩序执法专项工作的支出。</w:t>
      </w:r>
    </w:p>
    <w:p>
      <w:pPr>
        <w:pStyle w:val="28"/>
        <w:spacing w:line="576" w:lineRule="exact"/>
        <w:ind w:firstLine="640" w:firstLineChars="200"/>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rPr>
        <w:t>7.一般公共服务（类）市场监督管理事务（款）药品事务（项）：指广元市市场监督管理局广元经开区分局用于药品（含中药、民族药）监督管理方面的支出。</w:t>
      </w:r>
    </w:p>
    <w:p>
      <w:pPr>
        <w:pStyle w:val="28"/>
        <w:spacing w:line="576" w:lineRule="exact"/>
        <w:ind w:firstLine="640" w:firstLineChars="200"/>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rPr>
        <w:t>8.一般公共服务（类）市场监督管理事务（款）其他市场监督管理事务（项）：指广元市市场监督管理局广元经开区分局用于除上述项目以外其他市场监督管理事务方面的支出。</w:t>
      </w:r>
    </w:p>
    <w:p>
      <w:pPr>
        <w:pStyle w:val="28"/>
        <w:spacing w:line="576" w:lineRule="exact"/>
        <w:ind w:firstLine="640" w:firstLineChars="200"/>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rPr>
        <w:t>9.社会保障和就业支出（类）行政事业单位养老支出（款）机关事业单位基本养老保险缴费支出（项）：指广元市市场监督管理局广元经开区分局用于实施养老保险制度由单位缴纳的基本养老保险费支出。</w:t>
      </w:r>
    </w:p>
    <w:p>
      <w:pPr>
        <w:pStyle w:val="28"/>
        <w:spacing w:line="576" w:lineRule="exact"/>
        <w:ind w:firstLine="640" w:firstLineChars="200"/>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rPr>
        <w:t>10.卫生健康支出（类）行政事业单位医疗（款）行政单位医疗（项）：指广元市市场监督管理局广元经开区分局用于行政单位基本医疗保险缴费。</w:t>
      </w:r>
    </w:p>
    <w:p>
      <w:pPr>
        <w:pStyle w:val="28"/>
        <w:spacing w:line="576" w:lineRule="exact"/>
        <w:ind w:firstLine="640" w:firstLineChars="200"/>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rPr>
        <w:t>11.住房保障支出（类）住房改革支出（款）住房公积金（项）：指广元市市场监督管理局广元经开区分局用于按规定的工资基数以及规定比例为职工缴纳的住房公积金。</w:t>
      </w:r>
    </w:p>
    <w:p>
      <w:pPr>
        <w:pStyle w:val="28"/>
        <w:spacing w:line="576" w:lineRule="exact"/>
        <w:ind w:firstLine="640" w:firstLineChars="200"/>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rPr>
        <w:t>12.基本支出：指为保障机构正常运转、完成日常工作任务而发生的人员支出和公用支出。</w:t>
      </w:r>
    </w:p>
    <w:p>
      <w:pPr>
        <w:pStyle w:val="28"/>
        <w:spacing w:line="576" w:lineRule="exact"/>
        <w:ind w:firstLine="640" w:firstLineChars="200"/>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rPr>
        <w:t>13.项目支出：指在基本支出之外为完成特定行政任务和事业发展目标所发生的支出。</w:t>
      </w:r>
    </w:p>
    <w:p>
      <w:pPr>
        <w:pStyle w:val="28"/>
        <w:spacing w:line="576" w:lineRule="exact"/>
        <w:ind w:firstLine="640" w:firstLineChars="200"/>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rPr>
        <w:t>14.“三公”经费：指单位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pStyle w:val="28"/>
        <w:spacing w:line="576" w:lineRule="exact"/>
        <w:ind w:firstLine="640" w:firstLineChars="200"/>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rPr>
        <w:t>15.机关运行经费：为保障行政单位（含参照公务员法管理的事业单位）运行用于购买货物和服务的各项资金，包括办公及印刷费、邮电费、差旅费、会议费、福利费、日常维修费、办公用房水电费、办公用房物业管理费、公务用车运行维护费以及其他费用。</w:t>
      </w:r>
    </w:p>
    <w:p>
      <w:pPr>
        <w:spacing w:line="600" w:lineRule="exact"/>
        <w:jc w:val="center"/>
        <w:outlineLvl w:val="0"/>
        <w:rPr>
          <w:rFonts w:ascii="黑体" w:hAnsi="黑体" w:eastAsia="黑体"/>
          <w:sz w:val="44"/>
          <w:szCs w:val="44"/>
        </w:rPr>
      </w:pPr>
      <w:bookmarkStart w:id="95" w:name="_Toc15396614"/>
      <w:bookmarkStart w:id="96" w:name="_Toc15377226"/>
    </w:p>
    <w:p>
      <w:pPr>
        <w:spacing w:line="600" w:lineRule="exact"/>
        <w:jc w:val="center"/>
        <w:outlineLvl w:val="0"/>
        <w:rPr>
          <w:rFonts w:ascii="黑体" w:hAnsi="黑体" w:eastAsia="黑体"/>
          <w:sz w:val="44"/>
          <w:szCs w:val="44"/>
        </w:rPr>
      </w:pPr>
    </w:p>
    <w:p>
      <w:pPr>
        <w:spacing w:line="600" w:lineRule="exact"/>
        <w:jc w:val="center"/>
        <w:outlineLvl w:val="0"/>
        <w:rPr>
          <w:rFonts w:ascii="黑体" w:hAnsi="黑体" w:eastAsia="黑体"/>
          <w:sz w:val="44"/>
          <w:szCs w:val="44"/>
        </w:rPr>
      </w:pPr>
    </w:p>
    <w:p>
      <w:pPr>
        <w:spacing w:line="600" w:lineRule="exact"/>
        <w:jc w:val="center"/>
        <w:outlineLvl w:val="0"/>
        <w:rPr>
          <w:rFonts w:ascii="黑体" w:hAnsi="黑体" w:eastAsia="黑体"/>
          <w:sz w:val="44"/>
          <w:szCs w:val="44"/>
        </w:rPr>
      </w:pPr>
    </w:p>
    <w:p>
      <w:pPr>
        <w:spacing w:line="600" w:lineRule="exact"/>
        <w:jc w:val="center"/>
        <w:outlineLvl w:val="0"/>
        <w:rPr>
          <w:rFonts w:ascii="黑体" w:hAnsi="黑体" w:eastAsia="黑体"/>
          <w:sz w:val="44"/>
          <w:szCs w:val="44"/>
        </w:rPr>
      </w:pPr>
    </w:p>
    <w:p>
      <w:pPr>
        <w:spacing w:line="600" w:lineRule="exact"/>
        <w:jc w:val="center"/>
        <w:outlineLvl w:val="0"/>
        <w:rPr>
          <w:rFonts w:ascii="黑体" w:hAnsi="黑体" w:eastAsia="黑体"/>
          <w:sz w:val="44"/>
          <w:szCs w:val="44"/>
        </w:rPr>
      </w:pPr>
    </w:p>
    <w:p>
      <w:pPr>
        <w:spacing w:line="600" w:lineRule="exact"/>
        <w:jc w:val="center"/>
        <w:outlineLvl w:val="0"/>
        <w:rPr>
          <w:rFonts w:ascii="黑体" w:hAnsi="黑体" w:eastAsia="黑体"/>
          <w:sz w:val="44"/>
          <w:szCs w:val="44"/>
        </w:rPr>
      </w:pPr>
    </w:p>
    <w:p>
      <w:pPr>
        <w:spacing w:line="600" w:lineRule="exact"/>
        <w:jc w:val="center"/>
        <w:outlineLvl w:val="0"/>
        <w:rPr>
          <w:rFonts w:ascii="黑体" w:hAnsi="黑体" w:eastAsia="黑体"/>
          <w:sz w:val="44"/>
          <w:szCs w:val="44"/>
        </w:rPr>
      </w:pPr>
    </w:p>
    <w:p>
      <w:pPr>
        <w:spacing w:line="600" w:lineRule="exact"/>
        <w:jc w:val="center"/>
        <w:outlineLvl w:val="0"/>
        <w:rPr>
          <w:rFonts w:ascii="黑体" w:hAnsi="黑体" w:eastAsia="黑体"/>
          <w:sz w:val="44"/>
          <w:szCs w:val="44"/>
        </w:rPr>
      </w:pPr>
    </w:p>
    <w:p>
      <w:pPr>
        <w:spacing w:line="600" w:lineRule="exact"/>
        <w:jc w:val="center"/>
        <w:outlineLvl w:val="0"/>
        <w:rPr>
          <w:rFonts w:ascii="黑体" w:hAnsi="黑体" w:eastAsia="黑体"/>
          <w:sz w:val="44"/>
          <w:szCs w:val="44"/>
        </w:rPr>
      </w:pPr>
    </w:p>
    <w:p>
      <w:pPr>
        <w:spacing w:line="600" w:lineRule="exact"/>
        <w:jc w:val="center"/>
        <w:outlineLvl w:val="0"/>
        <w:rPr>
          <w:rFonts w:ascii="黑体" w:hAnsi="黑体" w:eastAsia="黑体"/>
          <w:sz w:val="44"/>
          <w:szCs w:val="44"/>
        </w:rPr>
      </w:pPr>
    </w:p>
    <w:p>
      <w:pPr>
        <w:spacing w:line="600" w:lineRule="exact"/>
        <w:jc w:val="center"/>
        <w:outlineLvl w:val="0"/>
        <w:rPr>
          <w:rFonts w:ascii="黑体" w:hAnsi="黑体" w:eastAsia="黑体"/>
          <w:sz w:val="44"/>
          <w:szCs w:val="44"/>
        </w:rPr>
      </w:pPr>
    </w:p>
    <w:p>
      <w:pPr>
        <w:spacing w:line="600" w:lineRule="exact"/>
        <w:jc w:val="center"/>
        <w:outlineLvl w:val="0"/>
        <w:rPr>
          <w:rFonts w:ascii="黑体" w:hAnsi="黑体" w:eastAsia="黑体"/>
          <w:sz w:val="44"/>
          <w:szCs w:val="44"/>
        </w:rPr>
        <w:sectPr>
          <w:footerReference r:id="rId7" w:type="first"/>
          <w:headerReference r:id="rId5" w:type="default"/>
          <w:footerReference r:id="rId6" w:type="default"/>
          <w:pgSz w:w="11906" w:h="16838"/>
          <w:pgMar w:top="2098" w:right="1474" w:bottom="1984" w:left="1587" w:header="851" w:footer="992" w:gutter="0"/>
          <w:cols w:space="425" w:num="1"/>
          <w:titlePg/>
          <w:docGrid w:type="lines" w:linePitch="312" w:charSpace="0"/>
        </w:sectPr>
      </w:pPr>
    </w:p>
    <w:p>
      <w:pPr>
        <w:pStyle w:val="3"/>
        <w:spacing w:line="600" w:lineRule="exact"/>
        <w:jc w:val="center"/>
      </w:pPr>
      <w:bookmarkStart w:id="97" w:name="_Toc147678540"/>
      <w:bookmarkStart w:id="98" w:name="_Toc147676472"/>
      <w:r>
        <w:rPr>
          <w:rFonts w:hint="eastAsia" w:ascii="方正小标宋简体" w:hAnsi="方正小标宋简体" w:eastAsia="方正小标宋简体" w:cs="方正小标宋简体"/>
          <w:b w:val="0"/>
          <w:bCs w:val="0"/>
          <w:kern w:val="2"/>
        </w:rPr>
        <w:t>第四部分附件</w:t>
      </w:r>
      <w:bookmarkEnd w:id="95"/>
      <w:bookmarkEnd w:id="97"/>
      <w:bookmarkEnd w:id="98"/>
    </w:p>
    <w:p>
      <w:pPr>
        <w:spacing w:line="572" w:lineRule="exact"/>
        <w:jc w:val="left"/>
        <w:outlineLvl w:val="0"/>
        <w:rPr>
          <w:rFonts w:ascii="仿宋_GB2312" w:hAnsi="仿宋_GB2312" w:eastAsia="仿宋_GB2312" w:cs="仿宋_GB2312"/>
          <w:sz w:val="32"/>
          <w:szCs w:val="32"/>
        </w:rPr>
      </w:pPr>
      <w:bookmarkStart w:id="99" w:name="_Toc147676473"/>
      <w:bookmarkStart w:id="100" w:name="_Toc147678541"/>
      <w:r>
        <w:rPr>
          <w:rFonts w:hint="eastAsia" w:ascii="仿宋_GB2312" w:hAnsi="仿宋_GB2312" w:eastAsia="仿宋_GB2312" w:cs="仿宋_GB2312"/>
          <w:sz w:val="32"/>
          <w:szCs w:val="32"/>
        </w:rPr>
        <w:t>附表1</w:t>
      </w:r>
      <w:bookmarkEnd w:id="99"/>
      <w:bookmarkEnd w:id="100"/>
    </w:p>
    <w:tbl>
      <w:tblPr>
        <w:tblStyle w:val="15"/>
        <w:tblW w:w="13871" w:type="dxa"/>
        <w:tblInd w:w="93" w:type="dxa"/>
        <w:tblLayout w:type="autofit"/>
        <w:tblCellMar>
          <w:top w:w="0" w:type="dxa"/>
          <w:left w:w="108" w:type="dxa"/>
          <w:bottom w:w="0" w:type="dxa"/>
          <w:right w:w="108" w:type="dxa"/>
        </w:tblCellMar>
      </w:tblPr>
      <w:tblGrid>
        <w:gridCol w:w="996"/>
        <w:gridCol w:w="118"/>
        <w:gridCol w:w="1420"/>
        <w:gridCol w:w="1113"/>
        <w:gridCol w:w="1567"/>
        <w:gridCol w:w="411"/>
        <w:gridCol w:w="292"/>
        <w:gridCol w:w="818"/>
        <w:gridCol w:w="868"/>
        <w:gridCol w:w="142"/>
        <w:gridCol w:w="1213"/>
        <w:gridCol w:w="1111"/>
        <w:gridCol w:w="1111"/>
        <w:gridCol w:w="2691"/>
      </w:tblGrid>
      <w:tr>
        <w:tblPrEx>
          <w:tblCellMar>
            <w:top w:w="0" w:type="dxa"/>
            <w:left w:w="108" w:type="dxa"/>
            <w:bottom w:w="0" w:type="dxa"/>
            <w:right w:w="108" w:type="dxa"/>
          </w:tblCellMar>
        </w:tblPrEx>
        <w:trPr>
          <w:trHeight w:val="546" w:hRule="atLeast"/>
        </w:trPr>
        <w:tc>
          <w:tcPr>
            <w:tcW w:w="13871" w:type="dxa"/>
            <w:gridSpan w:val="14"/>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b/>
                <w:bCs/>
                <w:color w:val="000000"/>
                <w:kern w:val="0"/>
                <w:sz w:val="22"/>
                <w:szCs w:val="22"/>
              </w:rPr>
            </w:pPr>
            <w:r>
              <w:rPr>
                <w:rFonts w:hint="eastAsia" w:ascii="仿宋_GB2312" w:hAnsi="宋体" w:eastAsia="仿宋_GB2312" w:cs="宋体"/>
                <w:b/>
                <w:bCs/>
                <w:color w:val="000000"/>
                <w:kern w:val="0"/>
                <w:sz w:val="22"/>
                <w:szCs w:val="22"/>
              </w:rPr>
              <w:t>部门预算项目支出绩效自评表（2022年度）</w:t>
            </w:r>
          </w:p>
        </w:tc>
      </w:tr>
      <w:tr>
        <w:tblPrEx>
          <w:tblCellMar>
            <w:top w:w="0" w:type="dxa"/>
            <w:left w:w="108" w:type="dxa"/>
            <w:bottom w:w="0" w:type="dxa"/>
            <w:right w:w="108" w:type="dxa"/>
          </w:tblCellMar>
        </w:tblPrEx>
        <w:trPr>
          <w:trHeight w:val="412" w:hRule="atLeast"/>
        </w:trPr>
        <w:tc>
          <w:tcPr>
            <w:tcW w:w="253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项目名称</w:t>
            </w:r>
          </w:p>
        </w:tc>
        <w:tc>
          <w:tcPr>
            <w:tcW w:w="11337" w:type="dxa"/>
            <w:gridSpan w:val="11"/>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51000021R000000019951-工资性支出</w:t>
            </w:r>
          </w:p>
        </w:tc>
      </w:tr>
      <w:tr>
        <w:tblPrEx>
          <w:tblCellMar>
            <w:top w:w="0" w:type="dxa"/>
            <w:left w:w="108" w:type="dxa"/>
            <w:bottom w:w="0" w:type="dxa"/>
            <w:right w:w="108" w:type="dxa"/>
          </w:tblCellMar>
        </w:tblPrEx>
        <w:trPr>
          <w:trHeight w:val="492" w:hRule="atLeast"/>
        </w:trPr>
        <w:tc>
          <w:tcPr>
            <w:tcW w:w="253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主管部门</w:t>
            </w:r>
          </w:p>
        </w:tc>
        <w:tc>
          <w:tcPr>
            <w:tcW w:w="5211"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广元市市场监督管理局部门</w:t>
            </w:r>
          </w:p>
        </w:tc>
        <w:tc>
          <w:tcPr>
            <w:tcW w:w="1213" w:type="dxa"/>
            <w:tcBorders>
              <w:top w:val="nil"/>
              <w:left w:val="nil"/>
              <w:bottom w:val="nil"/>
              <w:right w:val="nil"/>
            </w:tcBorders>
            <w:shd w:val="clear" w:color="auto" w:fill="auto"/>
            <w:vAlign w:val="center"/>
          </w:tcPr>
          <w:p>
            <w:pPr>
              <w:widowControl/>
              <w:jc w:val="left"/>
              <w:rPr>
                <w:rFonts w:ascii="仿宋_GB2312" w:hAnsi="黑体" w:eastAsia="仿宋_GB2312" w:cs="宋体"/>
                <w:color w:val="000000"/>
                <w:kern w:val="0"/>
                <w:sz w:val="22"/>
                <w:szCs w:val="22"/>
              </w:rPr>
            </w:pPr>
            <w:r>
              <w:rPr>
                <w:rFonts w:hint="eastAsia" w:ascii="仿宋_GB2312" w:hAnsi="黑体" w:eastAsia="仿宋_GB2312" w:cs="宋体"/>
                <w:color w:val="000000"/>
                <w:kern w:val="0"/>
                <w:sz w:val="22"/>
                <w:szCs w:val="22"/>
              </w:rPr>
              <w:t>实施单位（盖章）</w:t>
            </w:r>
          </w:p>
        </w:tc>
        <w:tc>
          <w:tcPr>
            <w:tcW w:w="491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广元市市场监督管理局广元经开区分局</w:t>
            </w:r>
          </w:p>
        </w:tc>
      </w:tr>
      <w:tr>
        <w:tblPrEx>
          <w:tblCellMar>
            <w:top w:w="0" w:type="dxa"/>
            <w:left w:w="108" w:type="dxa"/>
            <w:bottom w:w="0" w:type="dxa"/>
            <w:right w:w="108" w:type="dxa"/>
          </w:tblCellMar>
        </w:tblPrEx>
        <w:trPr>
          <w:trHeight w:val="498" w:hRule="atLeast"/>
        </w:trPr>
        <w:tc>
          <w:tcPr>
            <w:tcW w:w="99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项目基本情况</w:t>
            </w:r>
          </w:p>
        </w:tc>
        <w:tc>
          <w:tcPr>
            <w:tcW w:w="1538" w:type="dxa"/>
            <w:gridSpan w:val="2"/>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1.项目年度目标完成情况</w:t>
            </w:r>
          </w:p>
        </w:tc>
        <w:tc>
          <w:tcPr>
            <w:tcW w:w="5211"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项目年度目标</w:t>
            </w:r>
          </w:p>
        </w:tc>
        <w:tc>
          <w:tcPr>
            <w:tcW w:w="6126"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仿宋_GB2312" w:hAnsi="黑体" w:eastAsia="仿宋_GB2312" w:cs="宋体"/>
                <w:color w:val="000000"/>
                <w:kern w:val="0"/>
                <w:sz w:val="22"/>
                <w:szCs w:val="22"/>
              </w:rPr>
            </w:pPr>
            <w:r>
              <w:rPr>
                <w:rFonts w:hint="eastAsia" w:ascii="仿宋_GB2312" w:hAnsi="黑体" w:eastAsia="仿宋_GB2312" w:cs="宋体"/>
                <w:color w:val="000000"/>
                <w:kern w:val="0"/>
                <w:sz w:val="22"/>
                <w:szCs w:val="22"/>
              </w:rPr>
              <w:t>年度目标完成情况</w:t>
            </w:r>
          </w:p>
        </w:tc>
      </w:tr>
      <w:tr>
        <w:tblPrEx>
          <w:tblCellMar>
            <w:top w:w="0" w:type="dxa"/>
            <w:left w:w="108" w:type="dxa"/>
            <w:bottom w:w="0" w:type="dxa"/>
            <w:right w:w="108" w:type="dxa"/>
          </w:tblCellMar>
        </w:tblPrEx>
        <w:trPr>
          <w:trHeight w:val="755" w:hRule="atLeast"/>
        </w:trPr>
        <w:tc>
          <w:tcPr>
            <w:tcW w:w="996"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color w:val="000000"/>
                <w:kern w:val="0"/>
                <w:sz w:val="22"/>
                <w:szCs w:val="22"/>
              </w:rPr>
            </w:pPr>
          </w:p>
        </w:tc>
        <w:tc>
          <w:tcPr>
            <w:tcW w:w="1538" w:type="dxa"/>
            <w:gridSpan w:val="2"/>
            <w:vMerge w:val="continue"/>
            <w:tcBorders>
              <w:top w:val="nil"/>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color w:val="000000"/>
                <w:kern w:val="0"/>
                <w:sz w:val="22"/>
                <w:szCs w:val="22"/>
              </w:rPr>
            </w:pPr>
          </w:p>
        </w:tc>
        <w:tc>
          <w:tcPr>
            <w:tcW w:w="5211"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严格执行相关政策，保障工资及时发放、足额发放，预算编制科学合理，减少结余资金。</w:t>
            </w:r>
          </w:p>
        </w:tc>
        <w:tc>
          <w:tcPr>
            <w:tcW w:w="6126"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仿宋_GB2312" w:hAnsi="黑体" w:eastAsia="仿宋_GB2312" w:cs="宋体"/>
                <w:color w:val="000000"/>
                <w:kern w:val="0"/>
                <w:sz w:val="22"/>
                <w:szCs w:val="22"/>
              </w:rPr>
            </w:pPr>
            <w:r>
              <w:rPr>
                <w:rFonts w:hint="eastAsia" w:ascii="仿宋_GB2312" w:hAnsi="黑体" w:eastAsia="仿宋_GB2312" w:cs="宋体"/>
                <w:color w:val="000000"/>
                <w:kern w:val="0"/>
                <w:sz w:val="22"/>
                <w:szCs w:val="22"/>
              </w:rPr>
              <w:t>保障了人员工资、保险、绩效及时足额发放。</w:t>
            </w:r>
          </w:p>
        </w:tc>
      </w:tr>
      <w:tr>
        <w:tblPrEx>
          <w:tblCellMar>
            <w:top w:w="0" w:type="dxa"/>
            <w:left w:w="108" w:type="dxa"/>
            <w:bottom w:w="0" w:type="dxa"/>
            <w:right w:w="108" w:type="dxa"/>
          </w:tblCellMar>
        </w:tblPrEx>
        <w:trPr>
          <w:trHeight w:val="827" w:hRule="atLeast"/>
        </w:trPr>
        <w:tc>
          <w:tcPr>
            <w:tcW w:w="996" w:type="dxa"/>
            <w:vMerge w:val="continue"/>
            <w:tcBorders>
              <w:top w:val="nil"/>
              <w:left w:val="single" w:color="000000" w:sz="4" w:space="0"/>
              <w:bottom w:val="single" w:color="auto" w:sz="4" w:space="0"/>
              <w:right w:val="single" w:color="000000" w:sz="4" w:space="0"/>
            </w:tcBorders>
            <w:vAlign w:val="center"/>
          </w:tcPr>
          <w:p>
            <w:pPr>
              <w:widowControl/>
              <w:jc w:val="left"/>
              <w:rPr>
                <w:rFonts w:ascii="仿宋_GB2312" w:hAnsi="宋体" w:eastAsia="仿宋_GB2312" w:cs="宋体"/>
                <w:color w:val="000000"/>
                <w:kern w:val="0"/>
                <w:sz w:val="22"/>
                <w:szCs w:val="22"/>
              </w:rPr>
            </w:pPr>
          </w:p>
        </w:tc>
        <w:tc>
          <w:tcPr>
            <w:tcW w:w="1538" w:type="dxa"/>
            <w:gridSpan w:val="2"/>
            <w:tcBorders>
              <w:top w:val="nil"/>
              <w:left w:val="nil"/>
              <w:bottom w:val="single" w:color="auto" w:sz="4" w:space="0"/>
              <w:right w:val="single" w:color="000000"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2.项目实施内容及过程概述</w:t>
            </w:r>
          </w:p>
        </w:tc>
        <w:tc>
          <w:tcPr>
            <w:tcW w:w="11337" w:type="dxa"/>
            <w:gridSpan w:val="11"/>
            <w:tcBorders>
              <w:top w:val="single" w:color="000000" w:sz="4" w:space="0"/>
              <w:left w:val="nil"/>
              <w:bottom w:val="single" w:color="auto" w:sz="4" w:space="0"/>
              <w:right w:val="single" w:color="000000"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“工资性支出”项目由财务股负责组织实施，通过制定专项工作计划方案、确定工作目标、明确组织实施措施和策略，有效地指导工作的正常有序开展。</w:t>
            </w:r>
          </w:p>
        </w:tc>
      </w:tr>
      <w:tr>
        <w:tblPrEx>
          <w:tblCellMar>
            <w:top w:w="0" w:type="dxa"/>
            <w:left w:w="108" w:type="dxa"/>
            <w:bottom w:w="0" w:type="dxa"/>
            <w:right w:w="108" w:type="dxa"/>
          </w:tblCellMar>
        </w:tblPrEx>
        <w:trPr>
          <w:trHeight w:val="492" w:hRule="atLeast"/>
        </w:trPr>
        <w:tc>
          <w:tcPr>
            <w:tcW w:w="99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预算执行情况（10分）</w:t>
            </w:r>
          </w:p>
        </w:tc>
        <w:tc>
          <w:tcPr>
            <w:tcW w:w="1538"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年度预算数（万元）</w:t>
            </w:r>
          </w:p>
        </w:tc>
        <w:tc>
          <w:tcPr>
            <w:tcW w:w="111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年初预算</w:t>
            </w:r>
          </w:p>
        </w:tc>
        <w:tc>
          <w:tcPr>
            <w:tcW w:w="156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调整后预算数</w:t>
            </w:r>
          </w:p>
        </w:tc>
        <w:tc>
          <w:tcPr>
            <w:tcW w:w="2389"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预算执行数</w:t>
            </w:r>
          </w:p>
        </w:tc>
        <w:tc>
          <w:tcPr>
            <w:tcW w:w="135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预算执行率</w:t>
            </w:r>
          </w:p>
        </w:tc>
        <w:tc>
          <w:tcPr>
            <w:tcW w:w="111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权重</w:t>
            </w:r>
          </w:p>
        </w:tc>
        <w:tc>
          <w:tcPr>
            <w:tcW w:w="111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得分</w:t>
            </w:r>
          </w:p>
        </w:tc>
        <w:tc>
          <w:tcPr>
            <w:tcW w:w="269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原因</w:t>
            </w:r>
          </w:p>
        </w:tc>
      </w:tr>
      <w:tr>
        <w:tblPrEx>
          <w:tblCellMar>
            <w:top w:w="0" w:type="dxa"/>
            <w:left w:w="108" w:type="dxa"/>
            <w:bottom w:w="0" w:type="dxa"/>
            <w:right w:w="108" w:type="dxa"/>
          </w:tblCellMar>
        </w:tblPrEx>
        <w:trPr>
          <w:trHeight w:val="512" w:hRule="atLeast"/>
        </w:trPr>
        <w:tc>
          <w:tcPr>
            <w:tcW w:w="99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1538"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总额</w:t>
            </w:r>
          </w:p>
        </w:tc>
        <w:tc>
          <w:tcPr>
            <w:tcW w:w="111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217.46</w:t>
            </w:r>
          </w:p>
        </w:tc>
        <w:tc>
          <w:tcPr>
            <w:tcW w:w="156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263.55</w:t>
            </w:r>
          </w:p>
        </w:tc>
        <w:tc>
          <w:tcPr>
            <w:tcW w:w="2389"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253.32</w:t>
            </w:r>
          </w:p>
        </w:tc>
        <w:tc>
          <w:tcPr>
            <w:tcW w:w="135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96.12%</w:t>
            </w:r>
          </w:p>
        </w:tc>
        <w:tc>
          <w:tcPr>
            <w:tcW w:w="111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w:t>
            </w:r>
          </w:p>
        </w:tc>
        <w:tc>
          <w:tcPr>
            <w:tcW w:w="111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9.6</w:t>
            </w:r>
          </w:p>
        </w:tc>
        <w:tc>
          <w:tcPr>
            <w:tcW w:w="269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MS Mincho" w:eastAsia="仿宋_GB2312" w:cs="MS Mincho"/>
                <w:iCs/>
                <w:color w:val="000000"/>
                <w:kern w:val="0"/>
                <w:sz w:val="22"/>
                <w:szCs w:val="22"/>
              </w:rPr>
            </w:pPr>
            <w:r>
              <w:rPr>
                <w:rFonts w:hint="eastAsia" w:ascii="仿宋_GB2312" w:hAnsi="黑体" w:eastAsia="仿宋_GB2312" w:cs="宋体"/>
                <w:iCs/>
                <w:color w:val="000000"/>
                <w:kern w:val="0"/>
                <w:sz w:val="22"/>
                <w:szCs w:val="22"/>
              </w:rPr>
              <w:t>调整追加</w:t>
            </w:r>
            <w:r>
              <w:rPr>
                <w:rFonts w:hint="eastAsia" w:ascii="仿宋_GB2312" w:hAnsi="MS Mincho" w:eastAsia="仿宋_GB2312" w:cs="MS Mincho"/>
                <w:iCs/>
                <w:color w:val="000000"/>
                <w:kern w:val="0"/>
                <w:sz w:val="22"/>
                <w:szCs w:val="22"/>
              </w:rPr>
              <w:t>预算46.09万元，主要是由于追加了基本工资和基础绩效奖预算。</w:t>
            </w:r>
          </w:p>
        </w:tc>
      </w:tr>
      <w:tr>
        <w:tblPrEx>
          <w:tblCellMar>
            <w:top w:w="0" w:type="dxa"/>
            <w:left w:w="108" w:type="dxa"/>
            <w:bottom w:w="0" w:type="dxa"/>
            <w:right w:w="108" w:type="dxa"/>
          </w:tblCellMar>
        </w:tblPrEx>
        <w:trPr>
          <w:trHeight w:val="492" w:hRule="atLeast"/>
        </w:trPr>
        <w:tc>
          <w:tcPr>
            <w:tcW w:w="99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1538"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其中：财政资金</w:t>
            </w:r>
          </w:p>
        </w:tc>
        <w:tc>
          <w:tcPr>
            <w:tcW w:w="111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217.46</w:t>
            </w:r>
          </w:p>
        </w:tc>
        <w:tc>
          <w:tcPr>
            <w:tcW w:w="156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263.55</w:t>
            </w:r>
          </w:p>
        </w:tc>
        <w:tc>
          <w:tcPr>
            <w:tcW w:w="2389"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253.32</w:t>
            </w:r>
          </w:p>
        </w:tc>
        <w:tc>
          <w:tcPr>
            <w:tcW w:w="135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96.12%</w:t>
            </w:r>
          </w:p>
        </w:tc>
        <w:tc>
          <w:tcPr>
            <w:tcW w:w="111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111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269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黑体" w:eastAsia="仿宋_GB2312" w:cs="宋体"/>
                <w:iCs/>
                <w:color w:val="000000"/>
                <w:kern w:val="0"/>
                <w:sz w:val="22"/>
                <w:szCs w:val="22"/>
              </w:rPr>
            </w:pPr>
          </w:p>
        </w:tc>
      </w:tr>
      <w:tr>
        <w:tblPrEx>
          <w:tblCellMar>
            <w:top w:w="0" w:type="dxa"/>
            <w:left w:w="108" w:type="dxa"/>
            <w:bottom w:w="0" w:type="dxa"/>
            <w:right w:w="108" w:type="dxa"/>
          </w:tblCellMar>
        </w:tblPrEx>
        <w:trPr>
          <w:trHeight w:val="492" w:hRule="atLeast"/>
        </w:trPr>
        <w:tc>
          <w:tcPr>
            <w:tcW w:w="99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1538"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财政专户管理资金</w:t>
            </w:r>
          </w:p>
        </w:tc>
        <w:tc>
          <w:tcPr>
            <w:tcW w:w="111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0.00</w:t>
            </w:r>
          </w:p>
        </w:tc>
        <w:tc>
          <w:tcPr>
            <w:tcW w:w="156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0.00</w:t>
            </w:r>
          </w:p>
        </w:tc>
        <w:tc>
          <w:tcPr>
            <w:tcW w:w="2389"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0.00</w:t>
            </w:r>
          </w:p>
        </w:tc>
        <w:tc>
          <w:tcPr>
            <w:tcW w:w="135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0.00%</w:t>
            </w:r>
          </w:p>
        </w:tc>
        <w:tc>
          <w:tcPr>
            <w:tcW w:w="111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111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269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黑体" w:eastAsia="仿宋_GB2312" w:cs="宋体"/>
                <w:iCs/>
                <w:color w:val="000000"/>
                <w:kern w:val="0"/>
                <w:sz w:val="22"/>
                <w:szCs w:val="22"/>
              </w:rPr>
            </w:pPr>
          </w:p>
        </w:tc>
      </w:tr>
      <w:tr>
        <w:tblPrEx>
          <w:tblCellMar>
            <w:top w:w="0" w:type="dxa"/>
            <w:left w:w="108" w:type="dxa"/>
            <w:bottom w:w="0" w:type="dxa"/>
            <w:right w:w="108" w:type="dxa"/>
          </w:tblCellMar>
        </w:tblPrEx>
        <w:trPr>
          <w:trHeight w:val="608" w:hRule="atLeast"/>
        </w:trPr>
        <w:tc>
          <w:tcPr>
            <w:tcW w:w="99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1538"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单位资金</w:t>
            </w:r>
          </w:p>
        </w:tc>
        <w:tc>
          <w:tcPr>
            <w:tcW w:w="111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0.00</w:t>
            </w:r>
          </w:p>
        </w:tc>
        <w:tc>
          <w:tcPr>
            <w:tcW w:w="156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0.00</w:t>
            </w:r>
          </w:p>
        </w:tc>
        <w:tc>
          <w:tcPr>
            <w:tcW w:w="2389"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0.00</w:t>
            </w:r>
          </w:p>
        </w:tc>
        <w:tc>
          <w:tcPr>
            <w:tcW w:w="135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0.00%</w:t>
            </w:r>
          </w:p>
        </w:tc>
        <w:tc>
          <w:tcPr>
            <w:tcW w:w="111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111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269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黑体" w:eastAsia="仿宋_GB2312" w:cs="宋体"/>
                <w:iCs/>
                <w:color w:val="000000"/>
                <w:kern w:val="0"/>
                <w:sz w:val="22"/>
                <w:szCs w:val="22"/>
              </w:rPr>
            </w:pPr>
          </w:p>
        </w:tc>
      </w:tr>
      <w:tr>
        <w:tblPrEx>
          <w:tblCellMar>
            <w:top w:w="0" w:type="dxa"/>
            <w:left w:w="108" w:type="dxa"/>
            <w:bottom w:w="0" w:type="dxa"/>
            <w:right w:w="108" w:type="dxa"/>
          </w:tblCellMar>
        </w:tblPrEx>
        <w:trPr>
          <w:trHeight w:val="576" w:hRule="atLeast"/>
        </w:trPr>
        <w:tc>
          <w:tcPr>
            <w:tcW w:w="99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1538"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其他资金</w:t>
            </w:r>
          </w:p>
        </w:tc>
        <w:tc>
          <w:tcPr>
            <w:tcW w:w="111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c>
          <w:tcPr>
            <w:tcW w:w="156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c>
          <w:tcPr>
            <w:tcW w:w="2389"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c>
          <w:tcPr>
            <w:tcW w:w="135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c>
          <w:tcPr>
            <w:tcW w:w="111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111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269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黑体" w:eastAsia="仿宋_GB2312" w:cs="宋体"/>
                <w:iCs/>
                <w:color w:val="000000"/>
                <w:kern w:val="0"/>
                <w:sz w:val="22"/>
                <w:szCs w:val="22"/>
              </w:rPr>
            </w:pPr>
          </w:p>
        </w:tc>
      </w:tr>
      <w:tr>
        <w:tblPrEx>
          <w:tblCellMar>
            <w:top w:w="0" w:type="dxa"/>
            <w:left w:w="108" w:type="dxa"/>
            <w:bottom w:w="0" w:type="dxa"/>
            <w:right w:w="108" w:type="dxa"/>
          </w:tblCellMar>
        </w:tblPrEx>
        <w:trPr>
          <w:trHeight w:val="296" w:hRule="atLeast"/>
        </w:trPr>
        <w:tc>
          <w:tcPr>
            <w:tcW w:w="99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绩效指标（90分）</w:t>
            </w:r>
          </w:p>
        </w:tc>
        <w:tc>
          <w:tcPr>
            <w:tcW w:w="1538"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一级指标</w:t>
            </w:r>
          </w:p>
        </w:tc>
        <w:tc>
          <w:tcPr>
            <w:tcW w:w="111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二级指标</w:t>
            </w:r>
          </w:p>
        </w:tc>
        <w:tc>
          <w:tcPr>
            <w:tcW w:w="156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三级指标</w:t>
            </w:r>
          </w:p>
        </w:tc>
        <w:tc>
          <w:tcPr>
            <w:tcW w:w="703"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指标性质</w:t>
            </w:r>
          </w:p>
        </w:tc>
        <w:tc>
          <w:tcPr>
            <w:tcW w:w="81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指标值</w:t>
            </w:r>
          </w:p>
        </w:tc>
        <w:tc>
          <w:tcPr>
            <w:tcW w:w="8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度量单位</w:t>
            </w:r>
          </w:p>
        </w:tc>
        <w:tc>
          <w:tcPr>
            <w:tcW w:w="135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完成值</w:t>
            </w:r>
          </w:p>
        </w:tc>
        <w:tc>
          <w:tcPr>
            <w:tcW w:w="111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权重</w:t>
            </w:r>
          </w:p>
        </w:tc>
        <w:tc>
          <w:tcPr>
            <w:tcW w:w="111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得分</w:t>
            </w:r>
          </w:p>
        </w:tc>
        <w:tc>
          <w:tcPr>
            <w:tcW w:w="269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未完成原因分析</w:t>
            </w:r>
          </w:p>
        </w:tc>
      </w:tr>
      <w:tr>
        <w:tblPrEx>
          <w:tblCellMar>
            <w:top w:w="0" w:type="dxa"/>
            <w:left w:w="108" w:type="dxa"/>
            <w:bottom w:w="0" w:type="dxa"/>
            <w:right w:w="108" w:type="dxa"/>
          </w:tblCellMar>
        </w:tblPrEx>
        <w:trPr>
          <w:trHeight w:val="479" w:hRule="atLeast"/>
        </w:trPr>
        <w:tc>
          <w:tcPr>
            <w:tcW w:w="996" w:type="dxa"/>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ascii="仿宋_GB2312" w:hAnsi="宋体" w:eastAsia="仿宋_GB2312" w:cs="宋体"/>
                <w:color w:val="000000"/>
                <w:kern w:val="0"/>
                <w:sz w:val="22"/>
                <w:szCs w:val="22"/>
              </w:rPr>
            </w:pPr>
          </w:p>
        </w:tc>
        <w:tc>
          <w:tcPr>
            <w:tcW w:w="1538" w:type="dxa"/>
            <w:gridSpan w:val="2"/>
            <w:vMerge w:val="restart"/>
            <w:tcBorders>
              <w:top w:val="single" w:color="auto"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产出指标</w:t>
            </w:r>
          </w:p>
        </w:tc>
        <w:tc>
          <w:tcPr>
            <w:tcW w:w="1113" w:type="dxa"/>
            <w:vMerge w:val="restart"/>
            <w:tcBorders>
              <w:top w:val="single" w:color="auto"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数量指标</w:t>
            </w:r>
          </w:p>
        </w:tc>
        <w:tc>
          <w:tcPr>
            <w:tcW w:w="1567" w:type="dxa"/>
            <w:tcBorders>
              <w:top w:val="single" w:color="auto" w:sz="4" w:space="0"/>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足额保障率</w:t>
            </w:r>
          </w:p>
        </w:tc>
        <w:tc>
          <w:tcPr>
            <w:tcW w:w="703" w:type="dxa"/>
            <w:gridSpan w:val="2"/>
            <w:tcBorders>
              <w:top w:val="single" w:color="auto" w:sz="4" w:space="0"/>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818" w:type="dxa"/>
            <w:tcBorders>
              <w:top w:val="single" w:color="auto" w:sz="4" w:space="0"/>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100</w:t>
            </w:r>
          </w:p>
        </w:tc>
        <w:tc>
          <w:tcPr>
            <w:tcW w:w="868" w:type="dxa"/>
            <w:tcBorders>
              <w:top w:val="single" w:color="auto" w:sz="4" w:space="0"/>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1354" w:type="dxa"/>
            <w:gridSpan w:val="2"/>
            <w:tcBorders>
              <w:top w:val="single" w:color="auto" w:sz="4" w:space="0"/>
              <w:left w:val="nil"/>
              <w:bottom w:val="single" w:color="000000" w:sz="4" w:space="0"/>
              <w:right w:val="single" w:color="000000"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100</w:t>
            </w:r>
          </w:p>
        </w:tc>
        <w:tc>
          <w:tcPr>
            <w:tcW w:w="1111" w:type="dxa"/>
            <w:tcBorders>
              <w:top w:val="single" w:color="auto" w:sz="4" w:space="0"/>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22.5</w:t>
            </w:r>
          </w:p>
        </w:tc>
        <w:tc>
          <w:tcPr>
            <w:tcW w:w="1111" w:type="dxa"/>
            <w:tcBorders>
              <w:top w:val="single" w:color="auto" w:sz="4" w:space="0"/>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22.5</w:t>
            </w:r>
          </w:p>
        </w:tc>
        <w:tc>
          <w:tcPr>
            <w:tcW w:w="2690" w:type="dxa"/>
            <w:tcBorders>
              <w:top w:val="single" w:color="auto" w:sz="4" w:space="0"/>
              <w:left w:val="nil"/>
              <w:bottom w:val="single" w:color="000000" w:sz="4" w:space="0"/>
              <w:right w:val="single" w:color="000000"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r>
      <w:tr>
        <w:tblPrEx>
          <w:tblCellMar>
            <w:top w:w="0" w:type="dxa"/>
            <w:left w:w="108" w:type="dxa"/>
            <w:bottom w:w="0" w:type="dxa"/>
            <w:right w:w="108" w:type="dxa"/>
          </w:tblCellMar>
        </w:tblPrEx>
        <w:trPr>
          <w:trHeight w:val="532" w:hRule="atLeast"/>
        </w:trPr>
        <w:tc>
          <w:tcPr>
            <w:tcW w:w="996" w:type="dxa"/>
            <w:vMerge w:val="continue"/>
            <w:tcBorders>
              <w:top w:val="nil"/>
              <w:left w:val="single" w:color="auto" w:sz="4" w:space="0"/>
              <w:bottom w:val="single" w:color="000000" w:sz="4" w:space="0"/>
              <w:right w:val="single" w:color="000000" w:sz="4" w:space="0"/>
            </w:tcBorders>
            <w:vAlign w:val="center"/>
          </w:tcPr>
          <w:p>
            <w:pPr>
              <w:widowControl/>
              <w:jc w:val="left"/>
              <w:rPr>
                <w:rFonts w:ascii="仿宋_GB2312" w:hAnsi="宋体" w:eastAsia="仿宋_GB2312" w:cs="宋体"/>
                <w:color w:val="000000"/>
                <w:kern w:val="0"/>
                <w:sz w:val="22"/>
                <w:szCs w:val="22"/>
              </w:rPr>
            </w:pPr>
          </w:p>
        </w:tc>
        <w:tc>
          <w:tcPr>
            <w:tcW w:w="1538" w:type="dxa"/>
            <w:gridSpan w:val="2"/>
            <w:vMerge w:val="continue"/>
            <w:tcBorders>
              <w:top w:val="nil"/>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color w:val="000000"/>
                <w:kern w:val="0"/>
                <w:sz w:val="22"/>
                <w:szCs w:val="22"/>
              </w:rPr>
            </w:pPr>
          </w:p>
        </w:tc>
        <w:tc>
          <w:tcPr>
            <w:tcW w:w="1113"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color w:val="000000"/>
                <w:kern w:val="0"/>
                <w:sz w:val="22"/>
                <w:szCs w:val="22"/>
              </w:rPr>
            </w:pPr>
          </w:p>
        </w:tc>
        <w:tc>
          <w:tcPr>
            <w:tcW w:w="1567"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科目调整次数</w:t>
            </w:r>
          </w:p>
        </w:tc>
        <w:tc>
          <w:tcPr>
            <w:tcW w:w="703"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818"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w:t>
            </w:r>
          </w:p>
        </w:tc>
        <w:tc>
          <w:tcPr>
            <w:tcW w:w="868"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次</w:t>
            </w:r>
          </w:p>
        </w:tc>
        <w:tc>
          <w:tcPr>
            <w:tcW w:w="1354"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0</w:t>
            </w:r>
          </w:p>
        </w:tc>
        <w:tc>
          <w:tcPr>
            <w:tcW w:w="1111"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22.5</w:t>
            </w:r>
          </w:p>
        </w:tc>
        <w:tc>
          <w:tcPr>
            <w:tcW w:w="1111"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22.5</w:t>
            </w:r>
          </w:p>
        </w:tc>
        <w:tc>
          <w:tcPr>
            <w:tcW w:w="2690"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r>
      <w:tr>
        <w:tblPrEx>
          <w:tblCellMar>
            <w:top w:w="0" w:type="dxa"/>
            <w:left w:w="108" w:type="dxa"/>
            <w:bottom w:w="0" w:type="dxa"/>
            <w:right w:w="108" w:type="dxa"/>
          </w:tblCellMar>
        </w:tblPrEx>
        <w:trPr>
          <w:trHeight w:val="580" w:hRule="atLeast"/>
        </w:trPr>
        <w:tc>
          <w:tcPr>
            <w:tcW w:w="996" w:type="dxa"/>
            <w:vMerge w:val="continue"/>
            <w:tcBorders>
              <w:top w:val="nil"/>
              <w:left w:val="single" w:color="auto" w:sz="4" w:space="0"/>
              <w:bottom w:val="single" w:color="000000" w:sz="4" w:space="0"/>
              <w:right w:val="single" w:color="000000" w:sz="4" w:space="0"/>
            </w:tcBorders>
            <w:vAlign w:val="center"/>
          </w:tcPr>
          <w:p>
            <w:pPr>
              <w:widowControl/>
              <w:jc w:val="left"/>
              <w:rPr>
                <w:rFonts w:ascii="仿宋_GB2312" w:hAnsi="宋体" w:eastAsia="仿宋_GB2312" w:cs="宋体"/>
                <w:color w:val="000000"/>
                <w:kern w:val="0"/>
                <w:sz w:val="22"/>
                <w:szCs w:val="22"/>
              </w:rPr>
            </w:pPr>
          </w:p>
        </w:tc>
        <w:tc>
          <w:tcPr>
            <w:tcW w:w="1538" w:type="dxa"/>
            <w:gridSpan w:val="2"/>
            <w:vMerge w:val="continue"/>
            <w:tcBorders>
              <w:top w:val="nil"/>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color w:val="000000"/>
                <w:kern w:val="0"/>
                <w:sz w:val="22"/>
                <w:szCs w:val="22"/>
              </w:rPr>
            </w:pPr>
          </w:p>
        </w:tc>
        <w:tc>
          <w:tcPr>
            <w:tcW w:w="1113"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时效指标</w:t>
            </w:r>
          </w:p>
        </w:tc>
        <w:tc>
          <w:tcPr>
            <w:tcW w:w="1567"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按时发放率</w:t>
            </w:r>
          </w:p>
        </w:tc>
        <w:tc>
          <w:tcPr>
            <w:tcW w:w="703"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818"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100</w:t>
            </w:r>
          </w:p>
        </w:tc>
        <w:tc>
          <w:tcPr>
            <w:tcW w:w="868"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1354"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100</w:t>
            </w:r>
          </w:p>
        </w:tc>
        <w:tc>
          <w:tcPr>
            <w:tcW w:w="1111"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22.5</w:t>
            </w:r>
          </w:p>
        </w:tc>
        <w:tc>
          <w:tcPr>
            <w:tcW w:w="1111"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22.5</w:t>
            </w:r>
          </w:p>
        </w:tc>
        <w:tc>
          <w:tcPr>
            <w:tcW w:w="2690"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r>
      <w:tr>
        <w:tblPrEx>
          <w:tblCellMar>
            <w:top w:w="0" w:type="dxa"/>
            <w:left w:w="108" w:type="dxa"/>
            <w:bottom w:w="0" w:type="dxa"/>
            <w:right w:w="108" w:type="dxa"/>
          </w:tblCellMar>
        </w:tblPrEx>
        <w:trPr>
          <w:trHeight w:val="985" w:hRule="atLeast"/>
        </w:trPr>
        <w:tc>
          <w:tcPr>
            <w:tcW w:w="996" w:type="dxa"/>
            <w:vMerge w:val="continue"/>
            <w:tcBorders>
              <w:top w:val="nil"/>
              <w:left w:val="single" w:color="auto" w:sz="4" w:space="0"/>
              <w:bottom w:val="single" w:color="000000" w:sz="4" w:space="0"/>
              <w:right w:val="single" w:color="000000" w:sz="4" w:space="0"/>
            </w:tcBorders>
            <w:vAlign w:val="center"/>
          </w:tcPr>
          <w:p>
            <w:pPr>
              <w:widowControl/>
              <w:jc w:val="left"/>
              <w:rPr>
                <w:rFonts w:ascii="仿宋_GB2312" w:hAnsi="宋体" w:eastAsia="仿宋_GB2312" w:cs="宋体"/>
                <w:color w:val="000000"/>
                <w:kern w:val="0"/>
                <w:sz w:val="22"/>
                <w:szCs w:val="22"/>
              </w:rPr>
            </w:pPr>
          </w:p>
        </w:tc>
        <w:tc>
          <w:tcPr>
            <w:tcW w:w="1538"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效益指标</w:t>
            </w:r>
          </w:p>
        </w:tc>
        <w:tc>
          <w:tcPr>
            <w:tcW w:w="1113"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经济效益指标</w:t>
            </w:r>
          </w:p>
        </w:tc>
        <w:tc>
          <w:tcPr>
            <w:tcW w:w="1567"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结余率（计算方法为：结余数/预算数）</w:t>
            </w:r>
          </w:p>
        </w:tc>
        <w:tc>
          <w:tcPr>
            <w:tcW w:w="703"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818"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5</w:t>
            </w:r>
          </w:p>
        </w:tc>
        <w:tc>
          <w:tcPr>
            <w:tcW w:w="868"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1354"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3.92</w:t>
            </w:r>
          </w:p>
        </w:tc>
        <w:tc>
          <w:tcPr>
            <w:tcW w:w="1111"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22.5</w:t>
            </w:r>
          </w:p>
        </w:tc>
        <w:tc>
          <w:tcPr>
            <w:tcW w:w="1111"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22.5</w:t>
            </w:r>
          </w:p>
        </w:tc>
        <w:tc>
          <w:tcPr>
            <w:tcW w:w="2690"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r>
      <w:tr>
        <w:tblPrEx>
          <w:tblCellMar>
            <w:top w:w="0" w:type="dxa"/>
            <w:left w:w="108" w:type="dxa"/>
            <w:bottom w:w="0" w:type="dxa"/>
            <w:right w:w="108" w:type="dxa"/>
          </w:tblCellMar>
        </w:tblPrEx>
        <w:trPr>
          <w:trHeight w:val="513" w:hRule="atLeast"/>
        </w:trPr>
        <w:tc>
          <w:tcPr>
            <w:tcW w:w="8958"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合计</w:t>
            </w:r>
          </w:p>
        </w:tc>
        <w:tc>
          <w:tcPr>
            <w:tcW w:w="1111"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100</w:t>
            </w:r>
          </w:p>
        </w:tc>
        <w:tc>
          <w:tcPr>
            <w:tcW w:w="1111"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99.6</w:t>
            </w:r>
          </w:p>
        </w:tc>
        <w:tc>
          <w:tcPr>
            <w:tcW w:w="2690" w:type="dxa"/>
            <w:tcBorders>
              <w:top w:val="nil"/>
              <w:left w:val="nil"/>
              <w:bottom w:val="single" w:color="000000" w:sz="4" w:space="0"/>
              <w:right w:val="single" w:color="000000"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　</w:t>
            </w:r>
          </w:p>
        </w:tc>
      </w:tr>
      <w:tr>
        <w:tblPrEx>
          <w:tblCellMar>
            <w:top w:w="0" w:type="dxa"/>
            <w:left w:w="108" w:type="dxa"/>
            <w:bottom w:w="0" w:type="dxa"/>
            <w:right w:w="108" w:type="dxa"/>
          </w:tblCellMar>
        </w:tblPrEx>
        <w:trPr>
          <w:trHeight w:val="482" w:hRule="atLeast"/>
        </w:trPr>
        <w:tc>
          <w:tcPr>
            <w:tcW w:w="1114" w:type="dxa"/>
            <w:gridSpan w:val="2"/>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评价结论</w:t>
            </w:r>
          </w:p>
        </w:tc>
        <w:tc>
          <w:tcPr>
            <w:tcW w:w="12757" w:type="dxa"/>
            <w:gridSpan w:val="12"/>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“工资性支出”项目按时顺利开展，</w:t>
            </w:r>
            <w:r>
              <w:rPr>
                <w:rFonts w:hint="eastAsia" w:ascii="仿宋_GB2312" w:hAnsi="黑体" w:eastAsia="仿宋_GB2312" w:cs="宋体"/>
                <w:color w:val="000000"/>
                <w:kern w:val="0"/>
                <w:sz w:val="22"/>
                <w:szCs w:val="22"/>
              </w:rPr>
              <w:t>保障了人员工资、保险、绩效及时足额发放，自评得分99.6分。</w:t>
            </w:r>
          </w:p>
        </w:tc>
      </w:tr>
      <w:tr>
        <w:tblPrEx>
          <w:tblCellMar>
            <w:top w:w="0" w:type="dxa"/>
            <w:left w:w="108" w:type="dxa"/>
            <w:bottom w:w="0" w:type="dxa"/>
            <w:right w:w="108" w:type="dxa"/>
          </w:tblCellMar>
        </w:tblPrEx>
        <w:trPr>
          <w:trHeight w:val="560" w:hRule="atLeast"/>
        </w:trPr>
        <w:tc>
          <w:tcPr>
            <w:tcW w:w="1114" w:type="dxa"/>
            <w:gridSpan w:val="2"/>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存在问题</w:t>
            </w:r>
          </w:p>
        </w:tc>
        <w:tc>
          <w:tcPr>
            <w:tcW w:w="12757" w:type="dxa"/>
            <w:gridSpan w:val="12"/>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预算执行效率未达100%，预算执行存在一定偏差。</w:t>
            </w:r>
          </w:p>
        </w:tc>
      </w:tr>
      <w:tr>
        <w:tblPrEx>
          <w:tblCellMar>
            <w:top w:w="0" w:type="dxa"/>
            <w:left w:w="108" w:type="dxa"/>
            <w:bottom w:w="0" w:type="dxa"/>
            <w:right w:w="108" w:type="dxa"/>
          </w:tblCellMar>
        </w:tblPrEx>
        <w:trPr>
          <w:trHeight w:val="571" w:hRule="atLeast"/>
        </w:trPr>
        <w:tc>
          <w:tcPr>
            <w:tcW w:w="1114" w:type="dxa"/>
            <w:gridSpan w:val="2"/>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改进措施</w:t>
            </w:r>
          </w:p>
        </w:tc>
        <w:tc>
          <w:tcPr>
            <w:tcW w:w="12757" w:type="dxa"/>
            <w:gridSpan w:val="12"/>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仿宋_GB2312" w:hAnsi="微软雅黑" w:eastAsia="仿宋_GB2312" w:cs="宋体"/>
                <w:iCs/>
                <w:color w:val="000000"/>
                <w:kern w:val="0"/>
                <w:sz w:val="22"/>
                <w:szCs w:val="22"/>
              </w:rPr>
            </w:pPr>
            <w:r>
              <w:rPr>
                <w:rFonts w:hint="eastAsia" w:ascii="仿宋_GB2312" w:hAnsi="仿宋_GB2312" w:eastAsia="仿宋_GB2312" w:cs="仿宋_GB2312"/>
                <w:kern w:val="21"/>
                <w:sz w:val="22"/>
                <w:szCs w:val="22"/>
              </w:rPr>
              <w:t>加强预算资金管理，加大对预算编制与执行的监督管理力度，提高预算资金使用效率。</w:t>
            </w:r>
          </w:p>
        </w:tc>
      </w:tr>
      <w:tr>
        <w:tblPrEx>
          <w:tblCellMar>
            <w:top w:w="0" w:type="dxa"/>
            <w:left w:w="108" w:type="dxa"/>
            <w:bottom w:w="0" w:type="dxa"/>
            <w:right w:w="108" w:type="dxa"/>
          </w:tblCellMar>
        </w:tblPrEx>
        <w:trPr>
          <w:trHeight w:val="468" w:hRule="atLeast"/>
        </w:trPr>
        <w:tc>
          <w:tcPr>
            <w:tcW w:w="562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黑体" w:hAnsi="黑体" w:cs="宋体"/>
                <w:color w:val="000000"/>
                <w:kern w:val="0"/>
                <w:sz w:val="22"/>
                <w:szCs w:val="22"/>
              </w:rPr>
            </w:pPr>
            <w:r>
              <w:rPr>
                <w:rFonts w:ascii="黑体" w:hAnsi="黑体" w:cs="宋体"/>
                <w:color w:val="000000"/>
                <w:kern w:val="0"/>
                <w:sz w:val="22"/>
                <w:szCs w:val="22"/>
              </w:rPr>
              <w:t>项目负责人：</w:t>
            </w:r>
            <w:r>
              <w:rPr>
                <w:rFonts w:hint="eastAsia" w:ascii="黑体" w:hAnsi="黑体" w:cs="宋体"/>
                <w:color w:val="000000"/>
                <w:kern w:val="0"/>
                <w:sz w:val="22"/>
                <w:szCs w:val="22"/>
              </w:rPr>
              <w:t>廖红</w:t>
            </w:r>
          </w:p>
        </w:tc>
        <w:tc>
          <w:tcPr>
            <w:tcW w:w="8246" w:type="dxa"/>
            <w:gridSpan w:val="8"/>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黑体" w:hAnsi="黑体" w:cs="宋体"/>
                <w:color w:val="000000"/>
                <w:kern w:val="0"/>
                <w:sz w:val="22"/>
                <w:szCs w:val="22"/>
              </w:rPr>
            </w:pPr>
            <w:r>
              <w:rPr>
                <w:rFonts w:ascii="黑体" w:hAnsi="黑体" w:cs="宋体"/>
                <w:color w:val="000000"/>
                <w:kern w:val="0"/>
                <w:sz w:val="22"/>
                <w:szCs w:val="22"/>
              </w:rPr>
              <w:t>财务负责人：</w:t>
            </w:r>
            <w:r>
              <w:rPr>
                <w:rFonts w:hint="eastAsia" w:ascii="黑体" w:hAnsi="黑体" w:cs="宋体"/>
                <w:color w:val="000000"/>
                <w:kern w:val="0"/>
                <w:sz w:val="22"/>
                <w:szCs w:val="22"/>
              </w:rPr>
              <w:t>岳林</w:t>
            </w:r>
          </w:p>
        </w:tc>
      </w:tr>
    </w:tbl>
    <w:p>
      <w:pPr>
        <w:pStyle w:val="2"/>
        <w:spacing w:before="93"/>
      </w:pPr>
    </w:p>
    <w:p>
      <w:pPr>
        <w:pStyle w:val="2"/>
        <w:spacing w:before="93"/>
        <w:rPr>
          <w:sz w:val="32"/>
          <w:szCs w:val="32"/>
        </w:rPr>
      </w:pPr>
      <w:r>
        <w:rPr>
          <w:rFonts w:hint="eastAsia"/>
          <w:sz w:val="32"/>
          <w:szCs w:val="32"/>
        </w:rPr>
        <w:t>附表2</w:t>
      </w:r>
    </w:p>
    <w:tbl>
      <w:tblPr>
        <w:tblStyle w:val="15"/>
        <w:tblW w:w="14049" w:type="dxa"/>
        <w:tblInd w:w="93" w:type="dxa"/>
        <w:tblLayout w:type="autofit"/>
        <w:tblCellMar>
          <w:top w:w="0" w:type="dxa"/>
          <w:left w:w="108" w:type="dxa"/>
          <w:bottom w:w="0" w:type="dxa"/>
          <w:right w:w="108" w:type="dxa"/>
        </w:tblCellMar>
      </w:tblPr>
      <w:tblGrid>
        <w:gridCol w:w="677"/>
        <w:gridCol w:w="1997"/>
        <w:gridCol w:w="1501"/>
        <w:gridCol w:w="1825"/>
        <w:gridCol w:w="514"/>
        <w:gridCol w:w="203"/>
        <w:gridCol w:w="1236"/>
        <w:gridCol w:w="851"/>
        <w:gridCol w:w="1239"/>
        <w:gridCol w:w="656"/>
        <w:gridCol w:w="656"/>
        <w:gridCol w:w="2694"/>
      </w:tblGrid>
      <w:tr>
        <w:tblPrEx>
          <w:tblCellMar>
            <w:top w:w="0" w:type="dxa"/>
            <w:left w:w="108" w:type="dxa"/>
            <w:bottom w:w="0" w:type="dxa"/>
            <w:right w:w="108" w:type="dxa"/>
          </w:tblCellMar>
        </w:tblPrEx>
        <w:trPr>
          <w:trHeight w:val="640" w:hRule="atLeast"/>
        </w:trPr>
        <w:tc>
          <w:tcPr>
            <w:tcW w:w="14049" w:type="dxa"/>
            <w:gridSpan w:val="1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b/>
                <w:bCs/>
                <w:color w:val="000000"/>
                <w:kern w:val="0"/>
                <w:sz w:val="22"/>
                <w:szCs w:val="22"/>
              </w:rPr>
            </w:pPr>
            <w:r>
              <w:rPr>
                <w:rFonts w:hint="eastAsia" w:ascii="仿宋_GB2312" w:hAnsi="宋体" w:eastAsia="仿宋_GB2312" w:cs="宋体"/>
                <w:b/>
                <w:bCs/>
                <w:color w:val="000000"/>
                <w:kern w:val="0"/>
                <w:sz w:val="22"/>
                <w:szCs w:val="22"/>
              </w:rPr>
              <w:t>部门预算项目支出绩效自评表（2022年度）</w:t>
            </w:r>
          </w:p>
        </w:tc>
      </w:tr>
      <w:tr>
        <w:tblPrEx>
          <w:tblCellMar>
            <w:top w:w="0" w:type="dxa"/>
            <w:left w:w="108" w:type="dxa"/>
            <w:bottom w:w="0" w:type="dxa"/>
            <w:right w:w="108" w:type="dxa"/>
          </w:tblCellMar>
        </w:tblPrEx>
        <w:trPr>
          <w:trHeight w:val="569" w:hRule="atLeast"/>
        </w:trPr>
        <w:tc>
          <w:tcPr>
            <w:tcW w:w="26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项目名称</w:t>
            </w:r>
          </w:p>
        </w:tc>
        <w:tc>
          <w:tcPr>
            <w:tcW w:w="11375"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51000021R000000019956-离退休费支出</w:t>
            </w:r>
          </w:p>
        </w:tc>
      </w:tr>
      <w:tr>
        <w:tblPrEx>
          <w:tblCellMar>
            <w:top w:w="0" w:type="dxa"/>
            <w:left w:w="108" w:type="dxa"/>
            <w:bottom w:w="0" w:type="dxa"/>
            <w:right w:w="108" w:type="dxa"/>
          </w:tblCellMar>
        </w:tblPrEx>
        <w:trPr>
          <w:trHeight w:val="514" w:hRule="atLeast"/>
        </w:trPr>
        <w:tc>
          <w:tcPr>
            <w:tcW w:w="26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主管部门</w:t>
            </w:r>
          </w:p>
        </w:tc>
        <w:tc>
          <w:tcPr>
            <w:tcW w:w="6130"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广元市市场监督管理局部门</w:t>
            </w:r>
          </w:p>
        </w:tc>
        <w:tc>
          <w:tcPr>
            <w:tcW w:w="1239" w:type="dxa"/>
            <w:tcBorders>
              <w:top w:val="nil"/>
              <w:left w:val="nil"/>
              <w:bottom w:val="nil"/>
              <w:right w:val="nil"/>
            </w:tcBorders>
            <w:shd w:val="clear" w:color="auto" w:fill="auto"/>
            <w:vAlign w:val="center"/>
          </w:tcPr>
          <w:p>
            <w:pPr>
              <w:widowControl/>
              <w:jc w:val="left"/>
              <w:rPr>
                <w:rFonts w:ascii="仿宋_GB2312" w:hAnsi="黑体" w:eastAsia="仿宋_GB2312" w:cs="宋体"/>
                <w:color w:val="000000"/>
                <w:kern w:val="0"/>
                <w:sz w:val="22"/>
                <w:szCs w:val="22"/>
              </w:rPr>
            </w:pPr>
            <w:r>
              <w:rPr>
                <w:rFonts w:hint="eastAsia" w:ascii="仿宋_GB2312" w:hAnsi="黑体" w:eastAsia="仿宋_GB2312" w:cs="宋体"/>
                <w:color w:val="000000"/>
                <w:kern w:val="0"/>
                <w:sz w:val="22"/>
                <w:szCs w:val="22"/>
              </w:rPr>
              <w:t>实施单位（盖章）</w:t>
            </w:r>
          </w:p>
        </w:tc>
        <w:tc>
          <w:tcPr>
            <w:tcW w:w="400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广元市市场监督管理局广元经开区分局</w:t>
            </w:r>
          </w:p>
        </w:tc>
      </w:tr>
      <w:tr>
        <w:tblPrEx>
          <w:tblCellMar>
            <w:top w:w="0" w:type="dxa"/>
            <w:left w:w="108" w:type="dxa"/>
            <w:bottom w:w="0" w:type="dxa"/>
            <w:right w:w="108" w:type="dxa"/>
          </w:tblCellMar>
        </w:tblPrEx>
        <w:trPr>
          <w:trHeight w:val="482" w:hRule="atLeast"/>
        </w:trPr>
        <w:tc>
          <w:tcPr>
            <w:tcW w:w="677"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项目基本情况</w:t>
            </w:r>
          </w:p>
        </w:tc>
        <w:tc>
          <w:tcPr>
            <w:tcW w:w="1997"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1.项目年度目标完成情况</w:t>
            </w:r>
          </w:p>
        </w:tc>
        <w:tc>
          <w:tcPr>
            <w:tcW w:w="6130"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项目年度目标</w:t>
            </w:r>
          </w:p>
        </w:tc>
        <w:tc>
          <w:tcPr>
            <w:tcW w:w="5245"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仿宋_GB2312" w:hAnsi="黑体" w:eastAsia="仿宋_GB2312" w:cs="宋体"/>
                <w:color w:val="000000"/>
                <w:kern w:val="0"/>
                <w:sz w:val="22"/>
                <w:szCs w:val="22"/>
              </w:rPr>
            </w:pPr>
            <w:r>
              <w:rPr>
                <w:rFonts w:hint="eastAsia" w:ascii="仿宋_GB2312" w:hAnsi="黑体" w:eastAsia="仿宋_GB2312" w:cs="宋体"/>
                <w:color w:val="000000"/>
                <w:kern w:val="0"/>
                <w:sz w:val="22"/>
                <w:szCs w:val="22"/>
              </w:rPr>
              <w:t>年度目标完成情况</w:t>
            </w:r>
          </w:p>
        </w:tc>
      </w:tr>
      <w:tr>
        <w:tblPrEx>
          <w:tblCellMar>
            <w:top w:w="0" w:type="dxa"/>
            <w:left w:w="108" w:type="dxa"/>
            <w:bottom w:w="0" w:type="dxa"/>
            <w:right w:w="108" w:type="dxa"/>
          </w:tblCellMar>
        </w:tblPrEx>
        <w:trPr>
          <w:trHeight w:val="709" w:hRule="atLeast"/>
        </w:trPr>
        <w:tc>
          <w:tcPr>
            <w:tcW w:w="677"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color w:val="000000"/>
                <w:kern w:val="0"/>
                <w:sz w:val="22"/>
                <w:szCs w:val="22"/>
              </w:rPr>
            </w:pPr>
          </w:p>
        </w:tc>
        <w:tc>
          <w:tcPr>
            <w:tcW w:w="1997"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color w:val="000000"/>
                <w:kern w:val="0"/>
                <w:sz w:val="22"/>
                <w:szCs w:val="22"/>
              </w:rPr>
            </w:pPr>
          </w:p>
        </w:tc>
        <w:tc>
          <w:tcPr>
            <w:tcW w:w="6130"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严格执行相关政策，保障工资及时发放、足额发放，预算编制科学合理，减少结余资金。</w:t>
            </w:r>
          </w:p>
        </w:tc>
        <w:tc>
          <w:tcPr>
            <w:tcW w:w="5245"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仿宋_GB2312" w:hAnsi="黑体" w:eastAsia="仿宋_GB2312" w:cs="宋体"/>
                <w:color w:val="000000"/>
                <w:kern w:val="0"/>
                <w:sz w:val="22"/>
                <w:szCs w:val="22"/>
              </w:rPr>
            </w:pPr>
            <w:r>
              <w:rPr>
                <w:rFonts w:hint="eastAsia" w:ascii="仿宋_GB2312" w:hAnsi="黑体" w:eastAsia="仿宋_GB2312" w:cs="宋体"/>
                <w:color w:val="000000"/>
                <w:kern w:val="0"/>
                <w:sz w:val="22"/>
                <w:szCs w:val="22"/>
              </w:rPr>
              <w:t>按时、足额发放了4名退休人员的生活补助。</w:t>
            </w:r>
          </w:p>
        </w:tc>
      </w:tr>
      <w:tr>
        <w:tblPrEx>
          <w:tblCellMar>
            <w:top w:w="0" w:type="dxa"/>
            <w:left w:w="108" w:type="dxa"/>
            <w:bottom w:w="0" w:type="dxa"/>
            <w:right w:w="108" w:type="dxa"/>
          </w:tblCellMar>
        </w:tblPrEx>
        <w:trPr>
          <w:trHeight w:val="694" w:hRule="atLeast"/>
        </w:trPr>
        <w:tc>
          <w:tcPr>
            <w:tcW w:w="677" w:type="dxa"/>
            <w:vMerge w:val="continue"/>
            <w:tcBorders>
              <w:top w:val="nil"/>
              <w:left w:val="single" w:color="000000" w:sz="4" w:space="0"/>
              <w:bottom w:val="single" w:color="auto" w:sz="4" w:space="0"/>
              <w:right w:val="single" w:color="000000" w:sz="4" w:space="0"/>
            </w:tcBorders>
            <w:vAlign w:val="center"/>
          </w:tcPr>
          <w:p>
            <w:pPr>
              <w:widowControl/>
              <w:jc w:val="left"/>
              <w:rPr>
                <w:rFonts w:ascii="仿宋_GB2312" w:hAnsi="宋体" w:eastAsia="仿宋_GB2312" w:cs="宋体"/>
                <w:color w:val="000000"/>
                <w:kern w:val="0"/>
                <w:sz w:val="22"/>
                <w:szCs w:val="22"/>
              </w:rPr>
            </w:pPr>
          </w:p>
        </w:tc>
        <w:tc>
          <w:tcPr>
            <w:tcW w:w="1997" w:type="dxa"/>
            <w:tcBorders>
              <w:top w:val="nil"/>
              <w:left w:val="nil"/>
              <w:bottom w:val="single" w:color="auto" w:sz="4" w:space="0"/>
              <w:right w:val="single" w:color="000000"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2.项目实施内容及过程概述</w:t>
            </w:r>
          </w:p>
        </w:tc>
        <w:tc>
          <w:tcPr>
            <w:tcW w:w="11375" w:type="dxa"/>
            <w:gridSpan w:val="10"/>
            <w:tcBorders>
              <w:top w:val="single" w:color="000000" w:sz="4" w:space="0"/>
              <w:left w:val="nil"/>
              <w:bottom w:val="single" w:color="auto" w:sz="4" w:space="0"/>
              <w:right w:val="single" w:color="000000"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“离退休费支出”项目由财务股负责组织实施，通过制定专项工作计划方案、确定工作目标、明确组织实施措施和策略，有效地指导工作的正常有序开展。</w:t>
            </w:r>
          </w:p>
        </w:tc>
      </w:tr>
      <w:tr>
        <w:tblPrEx>
          <w:tblCellMar>
            <w:top w:w="0" w:type="dxa"/>
            <w:left w:w="108" w:type="dxa"/>
            <w:bottom w:w="0" w:type="dxa"/>
            <w:right w:w="108" w:type="dxa"/>
          </w:tblCellMar>
        </w:tblPrEx>
        <w:trPr>
          <w:trHeight w:val="360" w:hRule="atLeast"/>
        </w:trPr>
        <w:tc>
          <w:tcPr>
            <w:tcW w:w="67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预算执行情况（10分）</w:t>
            </w:r>
          </w:p>
        </w:tc>
        <w:tc>
          <w:tcPr>
            <w:tcW w:w="199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年度预算数（万元）</w:t>
            </w:r>
          </w:p>
        </w:tc>
        <w:tc>
          <w:tcPr>
            <w:tcW w:w="150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年初预算</w:t>
            </w:r>
          </w:p>
        </w:tc>
        <w:tc>
          <w:tcPr>
            <w:tcW w:w="18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调整后预算数</w:t>
            </w:r>
          </w:p>
        </w:tc>
        <w:tc>
          <w:tcPr>
            <w:tcW w:w="2804"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预算执行数</w:t>
            </w:r>
          </w:p>
        </w:tc>
        <w:tc>
          <w:tcPr>
            <w:tcW w:w="123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预算执行率</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权重</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得分</w:t>
            </w:r>
          </w:p>
        </w:tc>
        <w:tc>
          <w:tcPr>
            <w:tcW w:w="269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原因</w:t>
            </w:r>
          </w:p>
        </w:tc>
      </w:tr>
      <w:tr>
        <w:tblPrEx>
          <w:tblCellMar>
            <w:top w:w="0" w:type="dxa"/>
            <w:left w:w="108" w:type="dxa"/>
            <w:bottom w:w="0" w:type="dxa"/>
            <w:right w:w="108" w:type="dxa"/>
          </w:tblCellMar>
        </w:tblPrEx>
        <w:trPr>
          <w:trHeight w:val="387" w:hRule="atLeast"/>
        </w:trPr>
        <w:tc>
          <w:tcPr>
            <w:tcW w:w="67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199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总额</w:t>
            </w:r>
          </w:p>
        </w:tc>
        <w:tc>
          <w:tcPr>
            <w:tcW w:w="150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5.60</w:t>
            </w:r>
          </w:p>
        </w:tc>
        <w:tc>
          <w:tcPr>
            <w:tcW w:w="18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5.60</w:t>
            </w:r>
          </w:p>
        </w:tc>
        <w:tc>
          <w:tcPr>
            <w:tcW w:w="2804"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5.60</w:t>
            </w:r>
          </w:p>
        </w:tc>
        <w:tc>
          <w:tcPr>
            <w:tcW w:w="123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100.00%</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　</w:t>
            </w:r>
          </w:p>
        </w:tc>
        <w:tc>
          <w:tcPr>
            <w:tcW w:w="269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黑体" w:eastAsia="仿宋_GB2312" w:cs="宋体"/>
                <w:iCs/>
                <w:color w:val="000000"/>
                <w:kern w:val="0"/>
                <w:sz w:val="22"/>
                <w:szCs w:val="22"/>
              </w:rPr>
            </w:pPr>
            <w:r>
              <w:rPr>
                <w:rFonts w:hint="eastAsia" w:ascii="仿宋_GB2312" w:hAnsi="黑体" w:eastAsia="仿宋_GB2312" w:cs="宋体"/>
                <w:iCs/>
                <w:color w:val="000000"/>
                <w:kern w:val="0"/>
                <w:sz w:val="22"/>
                <w:szCs w:val="22"/>
              </w:rPr>
              <w:t>无。</w:t>
            </w:r>
          </w:p>
        </w:tc>
      </w:tr>
      <w:tr>
        <w:tblPrEx>
          <w:tblCellMar>
            <w:top w:w="0" w:type="dxa"/>
            <w:left w:w="108" w:type="dxa"/>
            <w:bottom w:w="0" w:type="dxa"/>
            <w:right w:w="108" w:type="dxa"/>
          </w:tblCellMar>
        </w:tblPrEx>
        <w:trPr>
          <w:trHeight w:val="627" w:hRule="atLeast"/>
        </w:trPr>
        <w:tc>
          <w:tcPr>
            <w:tcW w:w="67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199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其中：财政资金</w:t>
            </w:r>
          </w:p>
        </w:tc>
        <w:tc>
          <w:tcPr>
            <w:tcW w:w="150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5.60</w:t>
            </w:r>
          </w:p>
        </w:tc>
        <w:tc>
          <w:tcPr>
            <w:tcW w:w="18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5.60</w:t>
            </w:r>
          </w:p>
        </w:tc>
        <w:tc>
          <w:tcPr>
            <w:tcW w:w="2804"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5.60</w:t>
            </w:r>
          </w:p>
        </w:tc>
        <w:tc>
          <w:tcPr>
            <w:tcW w:w="123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100.00%</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269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黑体" w:eastAsia="仿宋_GB2312" w:cs="宋体"/>
                <w:iCs/>
                <w:color w:val="000000"/>
                <w:kern w:val="0"/>
                <w:sz w:val="22"/>
                <w:szCs w:val="22"/>
              </w:rPr>
            </w:pPr>
          </w:p>
        </w:tc>
      </w:tr>
      <w:tr>
        <w:tblPrEx>
          <w:tblCellMar>
            <w:top w:w="0" w:type="dxa"/>
            <w:left w:w="108" w:type="dxa"/>
            <w:bottom w:w="0" w:type="dxa"/>
            <w:right w:w="108" w:type="dxa"/>
          </w:tblCellMar>
        </w:tblPrEx>
        <w:trPr>
          <w:trHeight w:val="447" w:hRule="atLeast"/>
        </w:trPr>
        <w:tc>
          <w:tcPr>
            <w:tcW w:w="67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199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财政专户管理资金</w:t>
            </w:r>
          </w:p>
        </w:tc>
        <w:tc>
          <w:tcPr>
            <w:tcW w:w="150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0.00</w:t>
            </w:r>
          </w:p>
        </w:tc>
        <w:tc>
          <w:tcPr>
            <w:tcW w:w="18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0.00</w:t>
            </w:r>
          </w:p>
        </w:tc>
        <w:tc>
          <w:tcPr>
            <w:tcW w:w="2804"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0.00</w:t>
            </w:r>
          </w:p>
        </w:tc>
        <w:tc>
          <w:tcPr>
            <w:tcW w:w="123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0.00%</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269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黑体" w:eastAsia="仿宋_GB2312" w:cs="宋体"/>
                <w:iCs/>
                <w:color w:val="000000"/>
                <w:kern w:val="0"/>
                <w:sz w:val="22"/>
                <w:szCs w:val="22"/>
              </w:rPr>
            </w:pPr>
          </w:p>
        </w:tc>
      </w:tr>
      <w:tr>
        <w:tblPrEx>
          <w:tblCellMar>
            <w:top w:w="0" w:type="dxa"/>
            <w:left w:w="108" w:type="dxa"/>
            <w:bottom w:w="0" w:type="dxa"/>
            <w:right w:w="108" w:type="dxa"/>
          </w:tblCellMar>
        </w:tblPrEx>
        <w:trPr>
          <w:trHeight w:val="515" w:hRule="atLeast"/>
        </w:trPr>
        <w:tc>
          <w:tcPr>
            <w:tcW w:w="67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199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单位资金</w:t>
            </w:r>
          </w:p>
        </w:tc>
        <w:tc>
          <w:tcPr>
            <w:tcW w:w="150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0.00</w:t>
            </w:r>
          </w:p>
        </w:tc>
        <w:tc>
          <w:tcPr>
            <w:tcW w:w="18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0.00</w:t>
            </w:r>
          </w:p>
        </w:tc>
        <w:tc>
          <w:tcPr>
            <w:tcW w:w="2804"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0.00</w:t>
            </w:r>
          </w:p>
        </w:tc>
        <w:tc>
          <w:tcPr>
            <w:tcW w:w="123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0.00%</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269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黑体" w:eastAsia="仿宋_GB2312" w:cs="宋体"/>
                <w:iCs/>
                <w:color w:val="000000"/>
                <w:kern w:val="0"/>
                <w:sz w:val="22"/>
                <w:szCs w:val="22"/>
              </w:rPr>
            </w:pPr>
          </w:p>
        </w:tc>
      </w:tr>
      <w:tr>
        <w:tblPrEx>
          <w:tblCellMar>
            <w:top w:w="0" w:type="dxa"/>
            <w:left w:w="108" w:type="dxa"/>
            <w:bottom w:w="0" w:type="dxa"/>
            <w:right w:w="108" w:type="dxa"/>
          </w:tblCellMar>
        </w:tblPrEx>
        <w:trPr>
          <w:trHeight w:val="566" w:hRule="atLeast"/>
        </w:trPr>
        <w:tc>
          <w:tcPr>
            <w:tcW w:w="67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199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其他资金</w:t>
            </w:r>
          </w:p>
        </w:tc>
        <w:tc>
          <w:tcPr>
            <w:tcW w:w="150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c>
          <w:tcPr>
            <w:tcW w:w="18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c>
          <w:tcPr>
            <w:tcW w:w="2804"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c>
          <w:tcPr>
            <w:tcW w:w="123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269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黑体" w:eastAsia="仿宋_GB2312" w:cs="宋体"/>
                <w:iCs/>
                <w:color w:val="000000"/>
                <w:kern w:val="0"/>
                <w:sz w:val="22"/>
                <w:szCs w:val="22"/>
              </w:rPr>
            </w:pPr>
          </w:p>
        </w:tc>
      </w:tr>
      <w:tr>
        <w:tblPrEx>
          <w:tblCellMar>
            <w:top w:w="0" w:type="dxa"/>
            <w:left w:w="108" w:type="dxa"/>
            <w:bottom w:w="0" w:type="dxa"/>
            <w:right w:w="108" w:type="dxa"/>
          </w:tblCellMar>
        </w:tblPrEx>
        <w:trPr>
          <w:trHeight w:val="702" w:hRule="atLeast"/>
        </w:trPr>
        <w:tc>
          <w:tcPr>
            <w:tcW w:w="67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绩效指标（90分）</w:t>
            </w:r>
          </w:p>
        </w:tc>
        <w:tc>
          <w:tcPr>
            <w:tcW w:w="199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一级指标</w:t>
            </w:r>
          </w:p>
        </w:tc>
        <w:tc>
          <w:tcPr>
            <w:tcW w:w="150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二级指标</w:t>
            </w:r>
          </w:p>
        </w:tc>
        <w:tc>
          <w:tcPr>
            <w:tcW w:w="18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三级指标</w:t>
            </w:r>
          </w:p>
        </w:tc>
        <w:tc>
          <w:tcPr>
            <w:tcW w:w="71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指标性质</w:t>
            </w:r>
          </w:p>
        </w:tc>
        <w:tc>
          <w:tcPr>
            <w:tcW w:w="123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指标值</w:t>
            </w:r>
          </w:p>
        </w:tc>
        <w:tc>
          <w:tcPr>
            <w:tcW w:w="85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度量单位</w:t>
            </w:r>
          </w:p>
        </w:tc>
        <w:tc>
          <w:tcPr>
            <w:tcW w:w="123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完成值</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权重</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得分</w:t>
            </w:r>
          </w:p>
        </w:tc>
        <w:tc>
          <w:tcPr>
            <w:tcW w:w="269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未完成原因分析</w:t>
            </w:r>
          </w:p>
        </w:tc>
      </w:tr>
      <w:tr>
        <w:tblPrEx>
          <w:tblCellMar>
            <w:top w:w="0" w:type="dxa"/>
            <w:left w:w="108" w:type="dxa"/>
            <w:bottom w:w="0" w:type="dxa"/>
            <w:right w:w="108" w:type="dxa"/>
          </w:tblCellMar>
        </w:tblPrEx>
        <w:trPr>
          <w:trHeight w:val="561" w:hRule="atLeast"/>
        </w:trPr>
        <w:tc>
          <w:tcPr>
            <w:tcW w:w="677" w:type="dxa"/>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ascii="仿宋_GB2312" w:hAnsi="宋体" w:eastAsia="仿宋_GB2312" w:cs="宋体"/>
                <w:color w:val="000000"/>
                <w:kern w:val="0"/>
                <w:sz w:val="22"/>
                <w:szCs w:val="22"/>
              </w:rPr>
            </w:pPr>
          </w:p>
        </w:tc>
        <w:tc>
          <w:tcPr>
            <w:tcW w:w="1997" w:type="dxa"/>
            <w:vMerge w:val="restart"/>
            <w:tcBorders>
              <w:top w:val="single" w:color="auto"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产出指标</w:t>
            </w:r>
          </w:p>
        </w:tc>
        <w:tc>
          <w:tcPr>
            <w:tcW w:w="1501" w:type="dxa"/>
            <w:vMerge w:val="restart"/>
            <w:tcBorders>
              <w:top w:val="single" w:color="auto"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数量指标</w:t>
            </w:r>
          </w:p>
        </w:tc>
        <w:tc>
          <w:tcPr>
            <w:tcW w:w="1825" w:type="dxa"/>
            <w:tcBorders>
              <w:top w:val="single" w:color="auto" w:sz="4" w:space="0"/>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足额保障率</w:t>
            </w:r>
          </w:p>
        </w:tc>
        <w:tc>
          <w:tcPr>
            <w:tcW w:w="717" w:type="dxa"/>
            <w:gridSpan w:val="2"/>
            <w:tcBorders>
              <w:top w:val="single" w:color="auto" w:sz="4" w:space="0"/>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1236" w:type="dxa"/>
            <w:tcBorders>
              <w:top w:val="single" w:color="auto" w:sz="4" w:space="0"/>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100</w:t>
            </w:r>
          </w:p>
        </w:tc>
        <w:tc>
          <w:tcPr>
            <w:tcW w:w="851" w:type="dxa"/>
            <w:tcBorders>
              <w:top w:val="single" w:color="auto" w:sz="4" w:space="0"/>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1239" w:type="dxa"/>
            <w:tcBorders>
              <w:top w:val="single" w:color="auto" w:sz="4" w:space="0"/>
              <w:left w:val="nil"/>
              <w:bottom w:val="single" w:color="000000" w:sz="4" w:space="0"/>
              <w:right w:val="single" w:color="000000"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100</w:t>
            </w:r>
          </w:p>
        </w:tc>
        <w:tc>
          <w:tcPr>
            <w:tcW w:w="656" w:type="dxa"/>
            <w:tcBorders>
              <w:top w:val="single" w:color="auto" w:sz="4" w:space="0"/>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22.5</w:t>
            </w:r>
          </w:p>
        </w:tc>
        <w:tc>
          <w:tcPr>
            <w:tcW w:w="656" w:type="dxa"/>
            <w:tcBorders>
              <w:top w:val="single" w:color="auto" w:sz="4" w:space="0"/>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22.5　</w:t>
            </w:r>
          </w:p>
        </w:tc>
        <w:tc>
          <w:tcPr>
            <w:tcW w:w="2694" w:type="dxa"/>
            <w:tcBorders>
              <w:top w:val="single" w:color="auto" w:sz="4" w:space="0"/>
              <w:left w:val="nil"/>
              <w:bottom w:val="single" w:color="000000" w:sz="4" w:space="0"/>
              <w:right w:val="single" w:color="000000"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r>
      <w:tr>
        <w:tblPrEx>
          <w:tblCellMar>
            <w:top w:w="0" w:type="dxa"/>
            <w:left w:w="108" w:type="dxa"/>
            <w:bottom w:w="0" w:type="dxa"/>
            <w:right w:w="108" w:type="dxa"/>
          </w:tblCellMar>
        </w:tblPrEx>
        <w:trPr>
          <w:trHeight w:val="710" w:hRule="atLeast"/>
        </w:trPr>
        <w:tc>
          <w:tcPr>
            <w:tcW w:w="677" w:type="dxa"/>
            <w:vMerge w:val="continue"/>
            <w:tcBorders>
              <w:top w:val="nil"/>
              <w:left w:val="single" w:color="auto" w:sz="4" w:space="0"/>
              <w:bottom w:val="single" w:color="000000" w:sz="4" w:space="0"/>
              <w:right w:val="single" w:color="000000" w:sz="4" w:space="0"/>
            </w:tcBorders>
            <w:vAlign w:val="center"/>
          </w:tcPr>
          <w:p>
            <w:pPr>
              <w:widowControl/>
              <w:jc w:val="left"/>
              <w:rPr>
                <w:rFonts w:ascii="仿宋_GB2312" w:hAnsi="宋体" w:eastAsia="仿宋_GB2312" w:cs="宋体"/>
                <w:color w:val="000000"/>
                <w:kern w:val="0"/>
                <w:sz w:val="22"/>
                <w:szCs w:val="22"/>
              </w:rPr>
            </w:pPr>
          </w:p>
        </w:tc>
        <w:tc>
          <w:tcPr>
            <w:tcW w:w="1997"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color w:val="000000"/>
                <w:kern w:val="0"/>
                <w:sz w:val="22"/>
                <w:szCs w:val="22"/>
              </w:rPr>
            </w:pPr>
          </w:p>
        </w:tc>
        <w:tc>
          <w:tcPr>
            <w:tcW w:w="1501"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color w:val="000000"/>
                <w:kern w:val="0"/>
                <w:sz w:val="22"/>
                <w:szCs w:val="22"/>
              </w:rPr>
            </w:pPr>
          </w:p>
        </w:tc>
        <w:tc>
          <w:tcPr>
            <w:tcW w:w="1825"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科目调整次数</w:t>
            </w:r>
          </w:p>
        </w:tc>
        <w:tc>
          <w:tcPr>
            <w:tcW w:w="71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1236"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w:t>
            </w:r>
          </w:p>
        </w:tc>
        <w:tc>
          <w:tcPr>
            <w:tcW w:w="851"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次</w:t>
            </w:r>
          </w:p>
        </w:tc>
        <w:tc>
          <w:tcPr>
            <w:tcW w:w="1239"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0</w:t>
            </w:r>
          </w:p>
        </w:tc>
        <w:tc>
          <w:tcPr>
            <w:tcW w:w="656"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22.5</w:t>
            </w:r>
          </w:p>
        </w:tc>
        <w:tc>
          <w:tcPr>
            <w:tcW w:w="656"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22.5　</w:t>
            </w:r>
          </w:p>
        </w:tc>
        <w:tc>
          <w:tcPr>
            <w:tcW w:w="2694"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r>
      <w:tr>
        <w:tblPrEx>
          <w:tblCellMar>
            <w:top w:w="0" w:type="dxa"/>
            <w:left w:w="108" w:type="dxa"/>
            <w:bottom w:w="0" w:type="dxa"/>
            <w:right w:w="108" w:type="dxa"/>
          </w:tblCellMar>
        </w:tblPrEx>
        <w:trPr>
          <w:trHeight w:val="690" w:hRule="atLeast"/>
        </w:trPr>
        <w:tc>
          <w:tcPr>
            <w:tcW w:w="677" w:type="dxa"/>
            <w:vMerge w:val="continue"/>
            <w:tcBorders>
              <w:top w:val="nil"/>
              <w:left w:val="single" w:color="auto" w:sz="4" w:space="0"/>
              <w:bottom w:val="single" w:color="000000" w:sz="4" w:space="0"/>
              <w:right w:val="single" w:color="000000" w:sz="4" w:space="0"/>
            </w:tcBorders>
            <w:vAlign w:val="center"/>
          </w:tcPr>
          <w:p>
            <w:pPr>
              <w:widowControl/>
              <w:jc w:val="left"/>
              <w:rPr>
                <w:rFonts w:ascii="仿宋_GB2312" w:hAnsi="宋体" w:eastAsia="仿宋_GB2312" w:cs="宋体"/>
                <w:color w:val="000000"/>
                <w:kern w:val="0"/>
                <w:sz w:val="22"/>
                <w:szCs w:val="22"/>
              </w:rPr>
            </w:pPr>
          </w:p>
        </w:tc>
        <w:tc>
          <w:tcPr>
            <w:tcW w:w="1997"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color w:val="000000"/>
                <w:kern w:val="0"/>
                <w:sz w:val="22"/>
                <w:szCs w:val="22"/>
              </w:rPr>
            </w:pPr>
          </w:p>
        </w:tc>
        <w:tc>
          <w:tcPr>
            <w:tcW w:w="1501"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时效指标</w:t>
            </w:r>
          </w:p>
        </w:tc>
        <w:tc>
          <w:tcPr>
            <w:tcW w:w="1825"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按时发放率</w:t>
            </w:r>
          </w:p>
        </w:tc>
        <w:tc>
          <w:tcPr>
            <w:tcW w:w="71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1236"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100</w:t>
            </w:r>
          </w:p>
        </w:tc>
        <w:tc>
          <w:tcPr>
            <w:tcW w:w="851"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1239"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100</w:t>
            </w:r>
          </w:p>
        </w:tc>
        <w:tc>
          <w:tcPr>
            <w:tcW w:w="656"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22.5</w:t>
            </w:r>
          </w:p>
        </w:tc>
        <w:tc>
          <w:tcPr>
            <w:tcW w:w="656"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22.5　</w:t>
            </w:r>
          </w:p>
        </w:tc>
        <w:tc>
          <w:tcPr>
            <w:tcW w:w="2694"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r>
      <w:tr>
        <w:tblPrEx>
          <w:tblCellMar>
            <w:top w:w="0" w:type="dxa"/>
            <w:left w:w="108" w:type="dxa"/>
            <w:bottom w:w="0" w:type="dxa"/>
            <w:right w:w="108" w:type="dxa"/>
          </w:tblCellMar>
        </w:tblPrEx>
        <w:trPr>
          <w:trHeight w:val="1138" w:hRule="atLeast"/>
        </w:trPr>
        <w:tc>
          <w:tcPr>
            <w:tcW w:w="677" w:type="dxa"/>
            <w:vMerge w:val="continue"/>
            <w:tcBorders>
              <w:top w:val="nil"/>
              <w:left w:val="single" w:color="auto" w:sz="4" w:space="0"/>
              <w:bottom w:val="single" w:color="000000" w:sz="4" w:space="0"/>
              <w:right w:val="single" w:color="000000" w:sz="4" w:space="0"/>
            </w:tcBorders>
            <w:vAlign w:val="center"/>
          </w:tcPr>
          <w:p>
            <w:pPr>
              <w:widowControl/>
              <w:jc w:val="left"/>
              <w:rPr>
                <w:rFonts w:ascii="仿宋_GB2312" w:hAnsi="宋体" w:eastAsia="仿宋_GB2312" w:cs="宋体"/>
                <w:color w:val="000000"/>
                <w:kern w:val="0"/>
                <w:sz w:val="22"/>
                <w:szCs w:val="22"/>
              </w:rPr>
            </w:pPr>
          </w:p>
        </w:tc>
        <w:tc>
          <w:tcPr>
            <w:tcW w:w="1997"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效益指标</w:t>
            </w:r>
          </w:p>
        </w:tc>
        <w:tc>
          <w:tcPr>
            <w:tcW w:w="1501"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经济效益指标</w:t>
            </w:r>
          </w:p>
        </w:tc>
        <w:tc>
          <w:tcPr>
            <w:tcW w:w="1825"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结余率（计算方法为：结余数/预算数）</w:t>
            </w:r>
          </w:p>
        </w:tc>
        <w:tc>
          <w:tcPr>
            <w:tcW w:w="71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1236"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5</w:t>
            </w:r>
          </w:p>
        </w:tc>
        <w:tc>
          <w:tcPr>
            <w:tcW w:w="851"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1239"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0</w:t>
            </w:r>
          </w:p>
        </w:tc>
        <w:tc>
          <w:tcPr>
            <w:tcW w:w="656"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22.5</w:t>
            </w:r>
          </w:p>
        </w:tc>
        <w:tc>
          <w:tcPr>
            <w:tcW w:w="656"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22.5　</w:t>
            </w:r>
          </w:p>
        </w:tc>
        <w:tc>
          <w:tcPr>
            <w:tcW w:w="2694"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r>
      <w:tr>
        <w:tblPrEx>
          <w:tblCellMar>
            <w:top w:w="0" w:type="dxa"/>
            <w:left w:w="108" w:type="dxa"/>
            <w:bottom w:w="0" w:type="dxa"/>
            <w:right w:w="108" w:type="dxa"/>
          </w:tblCellMar>
        </w:tblPrEx>
        <w:trPr>
          <w:trHeight w:val="470" w:hRule="atLeast"/>
        </w:trPr>
        <w:tc>
          <w:tcPr>
            <w:tcW w:w="10043"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合计</w:t>
            </w:r>
          </w:p>
        </w:tc>
        <w:tc>
          <w:tcPr>
            <w:tcW w:w="656"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100</w:t>
            </w:r>
          </w:p>
        </w:tc>
        <w:tc>
          <w:tcPr>
            <w:tcW w:w="656" w:type="dxa"/>
            <w:tcBorders>
              <w:top w:val="nil"/>
              <w:left w:val="nil"/>
              <w:bottom w:val="single" w:color="000000" w:sz="4" w:space="0"/>
              <w:right w:val="single" w:color="000000"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100</w:t>
            </w:r>
          </w:p>
        </w:tc>
        <w:tc>
          <w:tcPr>
            <w:tcW w:w="2694" w:type="dxa"/>
            <w:tcBorders>
              <w:top w:val="nil"/>
              <w:left w:val="nil"/>
              <w:bottom w:val="single" w:color="000000" w:sz="4" w:space="0"/>
              <w:right w:val="single" w:color="000000"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　</w:t>
            </w:r>
          </w:p>
        </w:tc>
      </w:tr>
      <w:tr>
        <w:tblPrEx>
          <w:tblCellMar>
            <w:top w:w="0" w:type="dxa"/>
            <w:left w:w="108" w:type="dxa"/>
            <w:bottom w:w="0" w:type="dxa"/>
            <w:right w:w="108" w:type="dxa"/>
          </w:tblCellMar>
        </w:tblPrEx>
        <w:trPr>
          <w:trHeight w:val="704" w:hRule="atLeast"/>
        </w:trPr>
        <w:tc>
          <w:tcPr>
            <w:tcW w:w="677"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评价结论</w:t>
            </w:r>
          </w:p>
        </w:tc>
        <w:tc>
          <w:tcPr>
            <w:tcW w:w="13372" w:type="dxa"/>
            <w:gridSpan w:val="11"/>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“离退休费支出”项目按时顺利开展，</w:t>
            </w:r>
            <w:r>
              <w:rPr>
                <w:rFonts w:hint="eastAsia" w:ascii="仿宋_GB2312" w:hAnsi="黑体" w:eastAsia="仿宋_GB2312" w:cs="宋体"/>
                <w:color w:val="000000"/>
                <w:kern w:val="0"/>
                <w:sz w:val="22"/>
                <w:szCs w:val="22"/>
              </w:rPr>
              <w:t>保障了4名退休人员的生活补助按时足额发放，自评得分100分。</w:t>
            </w:r>
          </w:p>
        </w:tc>
      </w:tr>
      <w:tr>
        <w:tblPrEx>
          <w:tblCellMar>
            <w:top w:w="0" w:type="dxa"/>
            <w:left w:w="108" w:type="dxa"/>
            <w:bottom w:w="0" w:type="dxa"/>
            <w:right w:w="108" w:type="dxa"/>
          </w:tblCellMar>
        </w:tblPrEx>
        <w:trPr>
          <w:trHeight w:val="574" w:hRule="atLeast"/>
        </w:trPr>
        <w:tc>
          <w:tcPr>
            <w:tcW w:w="677"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存在问题</w:t>
            </w:r>
          </w:p>
        </w:tc>
        <w:tc>
          <w:tcPr>
            <w:tcW w:w="13372" w:type="dxa"/>
            <w:gridSpan w:val="11"/>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无。</w:t>
            </w:r>
          </w:p>
        </w:tc>
      </w:tr>
      <w:tr>
        <w:tblPrEx>
          <w:tblCellMar>
            <w:top w:w="0" w:type="dxa"/>
            <w:left w:w="108" w:type="dxa"/>
            <w:bottom w:w="0" w:type="dxa"/>
            <w:right w:w="108" w:type="dxa"/>
          </w:tblCellMar>
        </w:tblPrEx>
        <w:trPr>
          <w:trHeight w:val="634" w:hRule="atLeast"/>
        </w:trPr>
        <w:tc>
          <w:tcPr>
            <w:tcW w:w="677"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改进措施</w:t>
            </w:r>
          </w:p>
        </w:tc>
        <w:tc>
          <w:tcPr>
            <w:tcW w:w="13372" w:type="dxa"/>
            <w:gridSpan w:val="11"/>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无。</w:t>
            </w:r>
          </w:p>
        </w:tc>
      </w:tr>
      <w:tr>
        <w:tblPrEx>
          <w:tblCellMar>
            <w:top w:w="0" w:type="dxa"/>
            <w:left w:w="108" w:type="dxa"/>
            <w:bottom w:w="0" w:type="dxa"/>
            <w:right w:w="108" w:type="dxa"/>
          </w:tblCellMar>
        </w:tblPrEx>
        <w:trPr>
          <w:trHeight w:val="618" w:hRule="atLeast"/>
        </w:trPr>
        <w:tc>
          <w:tcPr>
            <w:tcW w:w="651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仿宋_GB2312" w:hAnsi="黑体" w:eastAsia="仿宋_GB2312" w:cs="宋体"/>
                <w:color w:val="000000"/>
                <w:kern w:val="0"/>
                <w:sz w:val="22"/>
                <w:szCs w:val="22"/>
              </w:rPr>
            </w:pPr>
            <w:r>
              <w:rPr>
                <w:rFonts w:hint="eastAsia" w:ascii="仿宋_GB2312" w:hAnsi="黑体" w:eastAsia="仿宋_GB2312" w:cs="宋体"/>
                <w:color w:val="000000"/>
                <w:kern w:val="0"/>
                <w:sz w:val="22"/>
                <w:szCs w:val="22"/>
              </w:rPr>
              <w:t>项目负责人：廖红</w:t>
            </w:r>
          </w:p>
        </w:tc>
        <w:tc>
          <w:tcPr>
            <w:tcW w:w="7535"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仿宋_GB2312" w:hAnsi="黑体" w:eastAsia="仿宋_GB2312" w:cs="宋体"/>
                <w:color w:val="000000"/>
                <w:kern w:val="0"/>
                <w:sz w:val="22"/>
                <w:szCs w:val="22"/>
              </w:rPr>
            </w:pPr>
            <w:r>
              <w:rPr>
                <w:rFonts w:hint="eastAsia" w:ascii="仿宋_GB2312" w:hAnsi="黑体" w:eastAsia="仿宋_GB2312" w:cs="宋体"/>
                <w:color w:val="000000"/>
                <w:kern w:val="0"/>
                <w:sz w:val="22"/>
                <w:szCs w:val="22"/>
              </w:rPr>
              <w:t>财务负责人：岳林</w:t>
            </w:r>
          </w:p>
        </w:tc>
      </w:tr>
    </w:tbl>
    <w:p>
      <w:pPr>
        <w:pStyle w:val="2"/>
        <w:spacing w:before="93"/>
      </w:pPr>
    </w:p>
    <w:p>
      <w:pPr>
        <w:pStyle w:val="2"/>
        <w:spacing w:before="93"/>
      </w:pPr>
    </w:p>
    <w:p>
      <w:pPr>
        <w:pStyle w:val="2"/>
        <w:spacing w:before="93"/>
        <w:rPr>
          <w:sz w:val="32"/>
          <w:szCs w:val="28"/>
        </w:rPr>
      </w:pPr>
      <w:r>
        <w:rPr>
          <w:rFonts w:hint="eastAsia"/>
          <w:sz w:val="32"/>
          <w:szCs w:val="28"/>
        </w:rPr>
        <w:t>附表3</w:t>
      </w:r>
    </w:p>
    <w:tbl>
      <w:tblPr>
        <w:tblStyle w:val="15"/>
        <w:tblW w:w="14049" w:type="dxa"/>
        <w:tblInd w:w="93" w:type="dxa"/>
        <w:tblLayout w:type="autofit"/>
        <w:tblCellMar>
          <w:top w:w="0" w:type="dxa"/>
          <w:left w:w="108" w:type="dxa"/>
          <w:bottom w:w="0" w:type="dxa"/>
          <w:right w:w="108" w:type="dxa"/>
        </w:tblCellMar>
      </w:tblPr>
      <w:tblGrid>
        <w:gridCol w:w="679"/>
        <w:gridCol w:w="1997"/>
        <w:gridCol w:w="1500"/>
        <w:gridCol w:w="1825"/>
        <w:gridCol w:w="516"/>
        <w:gridCol w:w="161"/>
        <w:gridCol w:w="1275"/>
        <w:gridCol w:w="851"/>
        <w:gridCol w:w="145"/>
        <w:gridCol w:w="1095"/>
        <w:gridCol w:w="656"/>
        <w:gridCol w:w="656"/>
        <w:gridCol w:w="2693"/>
      </w:tblGrid>
      <w:tr>
        <w:tblPrEx>
          <w:tblCellMar>
            <w:top w:w="0" w:type="dxa"/>
            <w:left w:w="108" w:type="dxa"/>
            <w:bottom w:w="0" w:type="dxa"/>
            <w:right w:w="108" w:type="dxa"/>
          </w:tblCellMar>
        </w:tblPrEx>
        <w:trPr>
          <w:trHeight w:val="640" w:hRule="atLeast"/>
        </w:trPr>
        <w:tc>
          <w:tcPr>
            <w:tcW w:w="14049" w:type="dxa"/>
            <w:gridSpan w:val="1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b/>
                <w:bCs/>
                <w:color w:val="000000"/>
                <w:kern w:val="0"/>
                <w:sz w:val="22"/>
                <w:szCs w:val="22"/>
              </w:rPr>
            </w:pPr>
            <w:r>
              <w:rPr>
                <w:rFonts w:hint="eastAsia" w:ascii="仿宋_GB2312" w:hAnsi="宋体" w:eastAsia="仿宋_GB2312" w:cs="宋体"/>
                <w:b/>
                <w:bCs/>
                <w:color w:val="000000"/>
                <w:kern w:val="0"/>
                <w:sz w:val="22"/>
                <w:szCs w:val="22"/>
              </w:rPr>
              <w:t>部门预算项目支出绩效自评表（2022年度）</w:t>
            </w:r>
          </w:p>
        </w:tc>
      </w:tr>
      <w:tr>
        <w:tblPrEx>
          <w:tblCellMar>
            <w:top w:w="0" w:type="dxa"/>
            <w:left w:w="108" w:type="dxa"/>
            <w:bottom w:w="0" w:type="dxa"/>
            <w:right w:w="108" w:type="dxa"/>
          </w:tblCellMar>
        </w:tblPrEx>
        <w:trPr>
          <w:trHeight w:val="565" w:hRule="atLeast"/>
        </w:trPr>
        <w:tc>
          <w:tcPr>
            <w:tcW w:w="267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项目名称</w:t>
            </w:r>
          </w:p>
        </w:tc>
        <w:tc>
          <w:tcPr>
            <w:tcW w:w="11373" w:type="dxa"/>
            <w:gridSpan w:val="11"/>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51000021R000000019958-其他支出</w:t>
            </w:r>
          </w:p>
        </w:tc>
      </w:tr>
      <w:tr>
        <w:tblPrEx>
          <w:tblCellMar>
            <w:top w:w="0" w:type="dxa"/>
            <w:left w:w="108" w:type="dxa"/>
            <w:bottom w:w="0" w:type="dxa"/>
            <w:right w:w="108" w:type="dxa"/>
          </w:tblCellMar>
        </w:tblPrEx>
        <w:trPr>
          <w:trHeight w:val="514" w:hRule="atLeast"/>
        </w:trPr>
        <w:tc>
          <w:tcPr>
            <w:tcW w:w="267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主管部门</w:t>
            </w:r>
          </w:p>
        </w:tc>
        <w:tc>
          <w:tcPr>
            <w:tcW w:w="6128"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广元市市场监督管理局部门</w:t>
            </w:r>
          </w:p>
        </w:tc>
        <w:tc>
          <w:tcPr>
            <w:tcW w:w="1240" w:type="dxa"/>
            <w:gridSpan w:val="2"/>
            <w:tcBorders>
              <w:top w:val="nil"/>
              <w:left w:val="nil"/>
              <w:bottom w:val="nil"/>
              <w:right w:val="nil"/>
            </w:tcBorders>
            <w:shd w:val="clear" w:color="auto" w:fill="auto"/>
            <w:vAlign w:val="center"/>
          </w:tcPr>
          <w:p>
            <w:pPr>
              <w:widowControl/>
              <w:jc w:val="left"/>
              <w:rPr>
                <w:rFonts w:ascii="仿宋_GB2312" w:hAnsi="黑体" w:eastAsia="仿宋_GB2312" w:cs="宋体"/>
                <w:color w:val="000000"/>
                <w:kern w:val="0"/>
                <w:sz w:val="22"/>
                <w:szCs w:val="22"/>
              </w:rPr>
            </w:pPr>
            <w:r>
              <w:rPr>
                <w:rFonts w:hint="eastAsia" w:ascii="仿宋_GB2312" w:hAnsi="黑体" w:eastAsia="仿宋_GB2312" w:cs="宋体"/>
                <w:color w:val="000000"/>
                <w:kern w:val="0"/>
                <w:sz w:val="22"/>
                <w:szCs w:val="22"/>
              </w:rPr>
              <w:t>实施单位（盖章）</w:t>
            </w:r>
          </w:p>
        </w:tc>
        <w:tc>
          <w:tcPr>
            <w:tcW w:w="400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广元市市场监督管理局广元经开区分局</w:t>
            </w:r>
          </w:p>
        </w:tc>
      </w:tr>
      <w:tr>
        <w:tblPrEx>
          <w:tblCellMar>
            <w:top w:w="0" w:type="dxa"/>
            <w:left w:w="108" w:type="dxa"/>
            <w:bottom w:w="0" w:type="dxa"/>
            <w:right w:w="108" w:type="dxa"/>
          </w:tblCellMar>
        </w:tblPrEx>
        <w:trPr>
          <w:trHeight w:val="482" w:hRule="atLeast"/>
        </w:trPr>
        <w:tc>
          <w:tcPr>
            <w:tcW w:w="67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项目基本情况</w:t>
            </w:r>
          </w:p>
        </w:tc>
        <w:tc>
          <w:tcPr>
            <w:tcW w:w="1997"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1.项目年度目标完成情况</w:t>
            </w:r>
          </w:p>
        </w:tc>
        <w:tc>
          <w:tcPr>
            <w:tcW w:w="6128"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项目年度目标</w:t>
            </w:r>
          </w:p>
        </w:tc>
        <w:tc>
          <w:tcPr>
            <w:tcW w:w="5245"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仿宋_GB2312" w:hAnsi="黑体" w:eastAsia="仿宋_GB2312" w:cs="宋体"/>
                <w:color w:val="000000"/>
                <w:kern w:val="0"/>
                <w:sz w:val="22"/>
                <w:szCs w:val="22"/>
              </w:rPr>
            </w:pPr>
            <w:r>
              <w:rPr>
                <w:rFonts w:hint="eastAsia" w:ascii="仿宋_GB2312" w:hAnsi="黑体" w:eastAsia="仿宋_GB2312" w:cs="宋体"/>
                <w:color w:val="000000"/>
                <w:kern w:val="0"/>
                <w:sz w:val="22"/>
                <w:szCs w:val="22"/>
              </w:rPr>
              <w:t>年度目标完成情况</w:t>
            </w:r>
          </w:p>
        </w:tc>
      </w:tr>
      <w:tr>
        <w:tblPrEx>
          <w:tblCellMar>
            <w:top w:w="0" w:type="dxa"/>
            <w:left w:w="108" w:type="dxa"/>
            <w:bottom w:w="0" w:type="dxa"/>
            <w:right w:w="108" w:type="dxa"/>
          </w:tblCellMar>
        </w:tblPrEx>
        <w:trPr>
          <w:trHeight w:val="709" w:hRule="atLeast"/>
        </w:trPr>
        <w:tc>
          <w:tcPr>
            <w:tcW w:w="679"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color w:val="000000"/>
                <w:kern w:val="0"/>
                <w:sz w:val="22"/>
                <w:szCs w:val="22"/>
              </w:rPr>
            </w:pPr>
          </w:p>
        </w:tc>
        <w:tc>
          <w:tcPr>
            <w:tcW w:w="1997"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color w:val="000000"/>
                <w:kern w:val="0"/>
                <w:sz w:val="22"/>
                <w:szCs w:val="22"/>
              </w:rPr>
            </w:pPr>
          </w:p>
        </w:tc>
        <w:tc>
          <w:tcPr>
            <w:tcW w:w="6128"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严格执行相关政策，保障工资及时发放、足额发放，预算编制科学合理，减少结余资金。</w:t>
            </w:r>
          </w:p>
        </w:tc>
        <w:tc>
          <w:tcPr>
            <w:tcW w:w="5245"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仿宋_GB2312" w:hAnsi="黑体" w:eastAsia="仿宋_GB2312" w:cs="宋体"/>
                <w:color w:val="000000"/>
                <w:kern w:val="0"/>
                <w:sz w:val="22"/>
                <w:szCs w:val="22"/>
              </w:rPr>
            </w:pPr>
            <w:r>
              <w:rPr>
                <w:rFonts w:hint="eastAsia" w:ascii="仿宋_GB2312" w:hAnsi="黑体" w:eastAsia="仿宋_GB2312" w:cs="宋体"/>
                <w:color w:val="000000"/>
                <w:kern w:val="0"/>
                <w:sz w:val="22"/>
                <w:szCs w:val="22"/>
              </w:rPr>
              <w:t>保障了1名遗属人员的生活补助及时足额发放。</w:t>
            </w:r>
          </w:p>
        </w:tc>
      </w:tr>
      <w:tr>
        <w:tblPrEx>
          <w:tblCellMar>
            <w:top w:w="0" w:type="dxa"/>
            <w:left w:w="108" w:type="dxa"/>
            <w:bottom w:w="0" w:type="dxa"/>
            <w:right w:w="108" w:type="dxa"/>
          </w:tblCellMar>
        </w:tblPrEx>
        <w:trPr>
          <w:trHeight w:val="694" w:hRule="atLeast"/>
        </w:trPr>
        <w:tc>
          <w:tcPr>
            <w:tcW w:w="679" w:type="dxa"/>
            <w:vMerge w:val="continue"/>
            <w:tcBorders>
              <w:top w:val="nil"/>
              <w:left w:val="single" w:color="000000" w:sz="4" w:space="0"/>
              <w:bottom w:val="single" w:color="auto" w:sz="4" w:space="0"/>
              <w:right w:val="single" w:color="000000" w:sz="4" w:space="0"/>
            </w:tcBorders>
            <w:vAlign w:val="center"/>
          </w:tcPr>
          <w:p>
            <w:pPr>
              <w:widowControl/>
              <w:jc w:val="left"/>
              <w:rPr>
                <w:rFonts w:ascii="仿宋_GB2312" w:hAnsi="宋体" w:eastAsia="仿宋_GB2312" w:cs="宋体"/>
                <w:color w:val="000000"/>
                <w:kern w:val="0"/>
                <w:sz w:val="22"/>
                <w:szCs w:val="22"/>
              </w:rPr>
            </w:pPr>
          </w:p>
        </w:tc>
        <w:tc>
          <w:tcPr>
            <w:tcW w:w="1997" w:type="dxa"/>
            <w:tcBorders>
              <w:top w:val="nil"/>
              <w:left w:val="nil"/>
              <w:bottom w:val="single" w:color="auto" w:sz="4" w:space="0"/>
              <w:right w:val="single" w:color="000000"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2.项目实施内容及过程概述</w:t>
            </w:r>
          </w:p>
        </w:tc>
        <w:tc>
          <w:tcPr>
            <w:tcW w:w="11373" w:type="dxa"/>
            <w:gridSpan w:val="11"/>
            <w:tcBorders>
              <w:top w:val="single" w:color="000000" w:sz="4" w:space="0"/>
              <w:left w:val="nil"/>
              <w:bottom w:val="single" w:color="auto" w:sz="4" w:space="0"/>
              <w:right w:val="single" w:color="000000"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“其他支出”项目由财务股负责组织实施，通过制定专项工作计划方案、确定工作目标、明确组织实施措施和策略，有效地指导工作的正常有序开展。</w:t>
            </w:r>
          </w:p>
        </w:tc>
      </w:tr>
      <w:tr>
        <w:tblPrEx>
          <w:tblCellMar>
            <w:top w:w="0" w:type="dxa"/>
            <w:left w:w="108" w:type="dxa"/>
            <w:bottom w:w="0" w:type="dxa"/>
            <w:right w:w="108" w:type="dxa"/>
          </w:tblCellMar>
        </w:tblPrEx>
        <w:trPr>
          <w:trHeight w:val="360" w:hRule="atLeast"/>
        </w:trPr>
        <w:tc>
          <w:tcPr>
            <w:tcW w:w="67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预算执行情况（10分）</w:t>
            </w:r>
          </w:p>
        </w:tc>
        <w:tc>
          <w:tcPr>
            <w:tcW w:w="199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年度预算数（万元）</w:t>
            </w:r>
          </w:p>
        </w:tc>
        <w:tc>
          <w:tcPr>
            <w:tcW w:w="15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年初预算</w:t>
            </w:r>
          </w:p>
        </w:tc>
        <w:tc>
          <w:tcPr>
            <w:tcW w:w="18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调整后预算数</w:t>
            </w:r>
          </w:p>
        </w:tc>
        <w:tc>
          <w:tcPr>
            <w:tcW w:w="2948"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预算执行数</w:t>
            </w:r>
          </w:p>
        </w:tc>
        <w:tc>
          <w:tcPr>
            <w:tcW w:w="109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预算执行率</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权重</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得分</w:t>
            </w:r>
          </w:p>
        </w:tc>
        <w:tc>
          <w:tcPr>
            <w:tcW w:w="269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原因</w:t>
            </w:r>
          </w:p>
        </w:tc>
      </w:tr>
      <w:tr>
        <w:tblPrEx>
          <w:tblCellMar>
            <w:top w:w="0" w:type="dxa"/>
            <w:left w:w="108" w:type="dxa"/>
            <w:bottom w:w="0" w:type="dxa"/>
            <w:right w:w="108" w:type="dxa"/>
          </w:tblCellMar>
        </w:tblPrEx>
        <w:trPr>
          <w:trHeight w:val="476"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199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总额</w:t>
            </w:r>
          </w:p>
        </w:tc>
        <w:tc>
          <w:tcPr>
            <w:tcW w:w="15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0.92</w:t>
            </w:r>
          </w:p>
        </w:tc>
        <w:tc>
          <w:tcPr>
            <w:tcW w:w="18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0.92</w:t>
            </w:r>
          </w:p>
        </w:tc>
        <w:tc>
          <w:tcPr>
            <w:tcW w:w="2948"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0.92</w:t>
            </w:r>
          </w:p>
        </w:tc>
        <w:tc>
          <w:tcPr>
            <w:tcW w:w="109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100.00%</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w:t>
            </w:r>
          </w:p>
        </w:tc>
        <w:tc>
          <w:tcPr>
            <w:tcW w:w="2693"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黑体" w:eastAsia="仿宋_GB2312" w:cs="宋体"/>
                <w:iCs/>
                <w:color w:val="000000"/>
                <w:kern w:val="0"/>
                <w:sz w:val="22"/>
                <w:szCs w:val="22"/>
              </w:rPr>
            </w:pPr>
            <w:r>
              <w:rPr>
                <w:rFonts w:hint="eastAsia" w:ascii="仿宋_GB2312" w:hAnsi="黑体" w:eastAsia="仿宋_GB2312" w:cs="宋体"/>
                <w:iCs/>
                <w:color w:val="000000"/>
                <w:kern w:val="0"/>
                <w:sz w:val="22"/>
                <w:szCs w:val="22"/>
              </w:rPr>
              <w:t>无。</w:t>
            </w:r>
          </w:p>
        </w:tc>
      </w:tr>
      <w:tr>
        <w:tblPrEx>
          <w:tblCellMar>
            <w:top w:w="0" w:type="dxa"/>
            <w:left w:w="108" w:type="dxa"/>
            <w:bottom w:w="0" w:type="dxa"/>
            <w:right w:w="108" w:type="dxa"/>
          </w:tblCellMar>
        </w:tblPrEx>
        <w:trPr>
          <w:trHeight w:val="568"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199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其中：财政资金</w:t>
            </w:r>
          </w:p>
        </w:tc>
        <w:tc>
          <w:tcPr>
            <w:tcW w:w="15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0.92</w:t>
            </w:r>
          </w:p>
        </w:tc>
        <w:tc>
          <w:tcPr>
            <w:tcW w:w="18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0.92</w:t>
            </w:r>
          </w:p>
        </w:tc>
        <w:tc>
          <w:tcPr>
            <w:tcW w:w="2948"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0.92</w:t>
            </w:r>
          </w:p>
        </w:tc>
        <w:tc>
          <w:tcPr>
            <w:tcW w:w="109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100.00%</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269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黑体" w:eastAsia="仿宋_GB2312" w:cs="宋体"/>
                <w:iCs/>
                <w:color w:val="000000"/>
                <w:kern w:val="0"/>
                <w:sz w:val="22"/>
                <w:szCs w:val="22"/>
              </w:rPr>
            </w:pPr>
          </w:p>
        </w:tc>
      </w:tr>
      <w:tr>
        <w:tblPrEx>
          <w:tblCellMar>
            <w:top w:w="0" w:type="dxa"/>
            <w:left w:w="108" w:type="dxa"/>
            <w:bottom w:w="0" w:type="dxa"/>
            <w:right w:w="108" w:type="dxa"/>
          </w:tblCellMar>
        </w:tblPrEx>
        <w:trPr>
          <w:trHeight w:val="548"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199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财政专户管理资金</w:t>
            </w:r>
          </w:p>
        </w:tc>
        <w:tc>
          <w:tcPr>
            <w:tcW w:w="15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0.00</w:t>
            </w:r>
          </w:p>
        </w:tc>
        <w:tc>
          <w:tcPr>
            <w:tcW w:w="18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0.00</w:t>
            </w:r>
          </w:p>
        </w:tc>
        <w:tc>
          <w:tcPr>
            <w:tcW w:w="2948"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0.00</w:t>
            </w:r>
          </w:p>
        </w:tc>
        <w:tc>
          <w:tcPr>
            <w:tcW w:w="109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0.00%</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269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黑体" w:eastAsia="仿宋_GB2312" w:cs="宋体"/>
                <w:iCs/>
                <w:color w:val="000000"/>
                <w:kern w:val="0"/>
                <w:sz w:val="22"/>
                <w:szCs w:val="22"/>
              </w:rPr>
            </w:pPr>
          </w:p>
        </w:tc>
      </w:tr>
      <w:tr>
        <w:tblPrEx>
          <w:tblCellMar>
            <w:top w:w="0" w:type="dxa"/>
            <w:left w:w="108" w:type="dxa"/>
            <w:bottom w:w="0" w:type="dxa"/>
            <w:right w:w="108" w:type="dxa"/>
          </w:tblCellMar>
        </w:tblPrEx>
        <w:trPr>
          <w:trHeight w:val="556"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199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单位资金</w:t>
            </w:r>
          </w:p>
        </w:tc>
        <w:tc>
          <w:tcPr>
            <w:tcW w:w="15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0.00</w:t>
            </w:r>
          </w:p>
        </w:tc>
        <w:tc>
          <w:tcPr>
            <w:tcW w:w="18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0.00</w:t>
            </w:r>
          </w:p>
        </w:tc>
        <w:tc>
          <w:tcPr>
            <w:tcW w:w="2948"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0.00</w:t>
            </w:r>
          </w:p>
        </w:tc>
        <w:tc>
          <w:tcPr>
            <w:tcW w:w="109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0.00%</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269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黑体" w:eastAsia="仿宋_GB2312" w:cs="宋体"/>
                <w:iCs/>
                <w:color w:val="000000"/>
                <w:kern w:val="0"/>
                <w:sz w:val="22"/>
                <w:szCs w:val="22"/>
              </w:rPr>
            </w:pPr>
          </w:p>
        </w:tc>
      </w:tr>
      <w:tr>
        <w:tblPrEx>
          <w:tblCellMar>
            <w:top w:w="0" w:type="dxa"/>
            <w:left w:w="108" w:type="dxa"/>
            <w:bottom w:w="0" w:type="dxa"/>
            <w:right w:w="108" w:type="dxa"/>
          </w:tblCellMar>
        </w:tblPrEx>
        <w:trPr>
          <w:trHeight w:val="379"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199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其他资金</w:t>
            </w:r>
          </w:p>
        </w:tc>
        <w:tc>
          <w:tcPr>
            <w:tcW w:w="15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c>
          <w:tcPr>
            <w:tcW w:w="18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c>
          <w:tcPr>
            <w:tcW w:w="2948"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c>
          <w:tcPr>
            <w:tcW w:w="109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269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黑体" w:eastAsia="仿宋_GB2312" w:cs="宋体"/>
                <w:iCs/>
                <w:color w:val="000000"/>
                <w:kern w:val="0"/>
                <w:sz w:val="22"/>
                <w:szCs w:val="22"/>
              </w:rPr>
            </w:pPr>
          </w:p>
        </w:tc>
      </w:tr>
      <w:tr>
        <w:tblPrEx>
          <w:tblCellMar>
            <w:top w:w="0" w:type="dxa"/>
            <w:left w:w="108" w:type="dxa"/>
            <w:bottom w:w="0" w:type="dxa"/>
            <w:right w:w="108" w:type="dxa"/>
          </w:tblCellMar>
        </w:tblPrEx>
        <w:trPr>
          <w:trHeight w:val="561" w:hRule="atLeast"/>
        </w:trPr>
        <w:tc>
          <w:tcPr>
            <w:tcW w:w="67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绩效指标（90分）</w:t>
            </w:r>
          </w:p>
        </w:tc>
        <w:tc>
          <w:tcPr>
            <w:tcW w:w="199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一级指标</w:t>
            </w:r>
          </w:p>
        </w:tc>
        <w:tc>
          <w:tcPr>
            <w:tcW w:w="15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二级指标</w:t>
            </w:r>
          </w:p>
        </w:tc>
        <w:tc>
          <w:tcPr>
            <w:tcW w:w="18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三级指标</w:t>
            </w:r>
          </w:p>
        </w:tc>
        <w:tc>
          <w:tcPr>
            <w:tcW w:w="67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指标性质</w:t>
            </w:r>
          </w:p>
        </w:tc>
        <w:tc>
          <w:tcPr>
            <w:tcW w:w="127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指标值</w:t>
            </w:r>
          </w:p>
        </w:tc>
        <w:tc>
          <w:tcPr>
            <w:tcW w:w="996"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度量单位</w:t>
            </w:r>
          </w:p>
        </w:tc>
        <w:tc>
          <w:tcPr>
            <w:tcW w:w="109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完成值</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权重</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得分</w:t>
            </w:r>
          </w:p>
        </w:tc>
        <w:tc>
          <w:tcPr>
            <w:tcW w:w="269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未完成原因分析</w:t>
            </w:r>
          </w:p>
        </w:tc>
      </w:tr>
      <w:tr>
        <w:tblPrEx>
          <w:tblCellMar>
            <w:top w:w="0" w:type="dxa"/>
            <w:left w:w="108" w:type="dxa"/>
            <w:bottom w:w="0" w:type="dxa"/>
            <w:right w:w="108" w:type="dxa"/>
          </w:tblCellMar>
        </w:tblPrEx>
        <w:trPr>
          <w:trHeight w:val="338"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199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产出指标</w:t>
            </w:r>
          </w:p>
        </w:tc>
        <w:tc>
          <w:tcPr>
            <w:tcW w:w="150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数量指标</w:t>
            </w:r>
          </w:p>
        </w:tc>
        <w:tc>
          <w:tcPr>
            <w:tcW w:w="18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足额保障率</w:t>
            </w:r>
          </w:p>
        </w:tc>
        <w:tc>
          <w:tcPr>
            <w:tcW w:w="67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127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100</w:t>
            </w:r>
          </w:p>
        </w:tc>
        <w:tc>
          <w:tcPr>
            <w:tcW w:w="996"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109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100　</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22.5</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22.5　</w:t>
            </w:r>
          </w:p>
        </w:tc>
        <w:tc>
          <w:tcPr>
            <w:tcW w:w="269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r>
      <w:tr>
        <w:tblPrEx>
          <w:tblCellMar>
            <w:top w:w="0" w:type="dxa"/>
            <w:left w:w="108" w:type="dxa"/>
            <w:bottom w:w="0" w:type="dxa"/>
            <w:right w:w="108" w:type="dxa"/>
          </w:tblCellMar>
        </w:tblPrEx>
        <w:trPr>
          <w:trHeight w:val="637"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199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15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18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科目调整次数</w:t>
            </w:r>
          </w:p>
        </w:tc>
        <w:tc>
          <w:tcPr>
            <w:tcW w:w="67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127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w:t>
            </w:r>
          </w:p>
        </w:tc>
        <w:tc>
          <w:tcPr>
            <w:tcW w:w="996"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次</w:t>
            </w:r>
          </w:p>
        </w:tc>
        <w:tc>
          <w:tcPr>
            <w:tcW w:w="109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0　</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22.5</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22.5　</w:t>
            </w:r>
          </w:p>
        </w:tc>
        <w:tc>
          <w:tcPr>
            <w:tcW w:w="269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r>
      <w:tr>
        <w:tblPrEx>
          <w:tblCellMar>
            <w:top w:w="0" w:type="dxa"/>
            <w:left w:w="108" w:type="dxa"/>
            <w:bottom w:w="0" w:type="dxa"/>
            <w:right w:w="108" w:type="dxa"/>
          </w:tblCellMar>
        </w:tblPrEx>
        <w:trPr>
          <w:trHeight w:val="561" w:hRule="atLeast"/>
        </w:trPr>
        <w:tc>
          <w:tcPr>
            <w:tcW w:w="679" w:type="dxa"/>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ascii="仿宋_GB2312" w:hAnsi="宋体" w:eastAsia="仿宋_GB2312" w:cs="宋体"/>
                <w:color w:val="000000"/>
                <w:kern w:val="0"/>
                <w:sz w:val="22"/>
                <w:szCs w:val="22"/>
              </w:rPr>
            </w:pPr>
          </w:p>
        </w:tc>
        <w:tc>
          <w:tcPr>
            <w:tcW w:w="1997" w:type="dxa"/>
            <w:vMerge w:val="continue"/>
            <w:tcBorders>
              <w:top w:val="single" w:color="auto" w:sz="4" w:space="0"/>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color w:val="000000"/>
                <w:kern w:val="0"/>
                <w:sz w:val="22"/>
                <w:szCs w:val="22"/>
              </w:rPr>
            </w:pPr>
          </w:p>
        </w:tc>
        <w:tc>
          <w:tcPr>
            <w:tcW w:w="1500" w:type="dxa"/>
            <w:tcBorders>
              <w:top w:val="single" w:color="auto" w:sz="4" w:space="0"/>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时效指标</w:t>
            </w:r>
          </w:p>
        </w:tc>
        <w:tc>
          <w:tcPr>
            <w:tcW w:w="1825" w:type="dxa"/>
            <w:tcBorders>
              <w:top w:val="single" w:color="auto" w:sz="4" w:space="0"/>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按时发放率</w:t>
            </w:r>
          </w:p>
        </w:tc>
        <w:tc>
          <w:tcPr>
            <w:tcW w:w="677" w:type="dxa"/>
            <w:gridSpan w:val="2"/>
            <w:tcBorders>
              <w:top w:val="single" w:color="auto" w:sz="4" w:space="0"/>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1275" w:type="dxa"/>
            <w:tcBorders>
              <w:top w:val="single" w:color="auto" w:sz="4" w:space="0"/>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100</w:t>
            </w:r>
          </w:p>
        </w:tc>
        <w:tc>
          <w:tcPr>
            <w:tcW w:w="996" w:type="dxa"/>
            <w:gridSpan w:val="2"/>
            <w:tcBorders>
              <w:top w:val="single" w:color="auto" w:sz="4" w:space="0"/>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1095" w:type="dxa"/>
            <w:tcBorders>
              <w:top w:val="single" w:color="auto" w:sz="4" w:space="0"/>
              <w:left w:val="nil"/>
              <w:bottom w:val="single" w:color="000000" w:sz="4" w:space="0"/>
              <w:right w:val="single" w:color="000000"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100　</w:t>
            </w:r>
          </w:p>
        </w:tc>
        <w:tc>
          <w:tcPr>
            <w:tcW w:w="656" w:type="dxa"/>
            <w:tcBorders>
              <w:top w:val="single" w:color="auto" w:sz="4" w:space="0"/>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22.5</w:t>
            </w:r>
          </w:p>
        </w:tc>
        <w:tc>
          <w:tcPr>
            <w:tcW w:w="656" w:type="dxa"/>
            <w:tcBorders>
              <w:top w:val="single" w:color="auto" w:sz="4" w:space="0"/>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22.5　</w:t>
            </w:r>
          </w:p>
        </w:tc>
        <w:tc>
          <w:tcPr>
            <w:tcW w:w="2693" w:type="dxa"/>
            <w:tcBorders>
              <w:top w:val="single" w:color="auto" w:sz="4" w:space="0"/>
              <w:left w:val="nil"/>
              <w:bottom w:val="single" w:color="000000" w:sz="4" w:space="0"/>
              <w:right w:val="single" w:color="000000"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r>
      <w:tr>
        <w:tblPrEx>
          <w:tblCellMar>
            <w:top w:w="0" w:type="dxa"/>
            <w:left w:w="108" w:type="dxa"/>
            <w:bottom w:w="0" w:type="dxa"/>
            <w:right w:w="108" w:type="dxa"/>
          </w:tblCellMar>
        </w:tblPrEx>
        <w:trPr>
          <w:trHeight w:val="454" w:hRule="atLeast"/>
        </w:trPr>
        <w:tc>
          <w:tcPr>
            <w:tcW w:w="679" w:type="dxa"/>
            <w:vMerge w:val="continue"/>
            <w:tcBorders>
              <w:top w:val="nil"/>
              <w:left w:val="single" w:color="auto" w:sz="4" w:space="0"/>
              <w:bottom w:val="single" w:color="000000" w:sz="4" w:space="0"/>
              <w:right w:val="single" w:color="000000" w:sz="4" w:space="0"/>
            </w:tcBorders>
            <w:vAlign w:val="center"/>
          </w:tcPr>
          <w:p>
            <w:pPr>
              <w:widowControl/>
              <w:jc w:val="left"/>
              <w:rPr>
                <w:rFonts w:ascii="仿宋_GB2312" w:hAnsi="宋体" w:eastAsia="仿宋_GB2312" w:cs="宋体"/>
                <w:color w:val="000000"/>
                <w:kern w:val="0"/>
                <w:sz w:val="22"/>
                <w:szCs w:val="22"/>
              </w:rPr>
            </w:pPr>
          </w:p>
        </w:tc>
        <w:tc>
          <w:tcPr>
            <w:tcW w:w="1997"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效益指标</w:t>
            </w:r>
          </w:p>
        </w:tc>
        <w:tc>
          <w:tcPr>
            <w:tcW w:w="1500"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经济效益指标</w:t>
            </w:r>
          </w:p>
        </w:tc>
        <w:tc>
          <w:tcPr>
            <w:tcW w:w="1825"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结余率（计算方法为：结余数/预算数）</w:t>
            </w:r>
          </w:p>
        </w:tc>
        <w:tc>
          <w:tcPr>
            <w:tcW w:w="67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1275"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5</w:t>
            </w:r>
          </w:p>
        </w:tc>
        <w:tc>
          <w:tcPr>
            <w:tcW w:w="996"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1095"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0　</w:t>
            </w:r>
          </w:p>
        </w:tc>
        <w:tc>
          <w:tcPr>
            <w:tcW w:w="656"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22.5</w:t>
            </w:r>
          </w:p>
        </w:tc>
        <w:tc>
          <w:tcPr>
            <w:tcW w:w="656"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22.5　</w:t>
            </w:r>
          </w:p>
        </w:tc>
        <w:tc>
          <w:tcPr>
            <w:tcW w:w="2693"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r>
      <w:tr>
        <w:tblPrEx>
          <w:tblCellMar>
            <w:top w:w="0" w:type="dxa"/>
            <w:left w:w="108" w:type="dxa"/>
            <w:bottom w:w="0" w:type="dxa"/>
            <w:right w:w="108" w:type="dxa"/>
          </w:tblCellMar>
        </w:tblPrEx>
        <w:trPr>
          <w:trHeight w:val="610" w:hRule="atLeast"/>
        </w:trPr>
        <w:tc>
          <w:tcPr>
            <w:tcW w:w="10044"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合计</w:t>
            </w:r>
          </w:p>
        </w:tc>
        <w:tc>
          <w:tcPr>
            <w:tcW w:w="656"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100</w:t>
            </w:r>
          </w:p>
        </w:tc>
        <w:tc>
          <w:tcPr>
            <w:tcW w:w="656" w:type="dxa"/>
            <w:tcBorders>
              <w:top w:val="nil"/>
              <w:left w:val="nil"/>
              <w:bottom w:val="single" w:color="000000" w:sz="4" w:space="0"/>
              <w:right w:val="single" w:color="000000"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100</w:t>
            </w:r>
          </w:p>
        </w:tc>
        <w:tc>
          <w:tcPr>
            <w:tcW w:w="2693" w:type="dxa"/>
            <w:tcBorders>
              <w:top w:val="nil"/>
              <w:left w:val="nil"/>
              <w:bottom w:val="single" w:color="000000" w:sz="4" w:space="0"/>
              <w:right w:val="single" w:color="000000"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　</w:t>
            </w:r>
          </w:p>
        </w:tc>
      </w:tr>
      <w:tr>
        <w:tblPrEx>
          <w:tblCellMar>
            <w:top w:w="0" w:type="dxa"/>
            <w:left w:w="108" w:type="dxa"/>
            <w:bottom w:w="0" w:type="dxa"/>
            <w:right w:w="108" w:type="dxa"/>
          </w:tblCellMar>
        </w:tblPrEx>
        <w:trPr>
          <w:trHeight w:val="604" w:hRule="atLeast"/>
        </w:trPr>
        <w:tc>
          <w:tcPr>
            <w:tcW w:w="679"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评价结论</w:t>
            </w:r>
          </w:p>
        </w:tc>
        <w:tc>
          <w:tcPr>
            <w:tcW w:w="13370" w:type="dxa"/>
            <w:gridSpan w:val="12"/>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“其他支出”项目按时顺利开展，</w:t>
            </w:r>
            <w:r>
              <w:rPr>
                <w:rFonts w:hint="eastAsia" w:ascii="仿宋_GB2312" w:hAnsi="黑体" w:eastAsia="仿宋_GB2312" w:cs="宋体"/>
                <w:color w:val="000000"/>
                <w:kern w:val="0"/>
                <w:sz w:val="22"/>
                <w:szCs w:val="22"/>
              </w:rPr>
              <w:t>保障了1名遗属人员的生活补助及时足额发放，自评得分100分。</w:t>
            </w:r>
          </w:p>
        </w:tc>
      </w:tr>
      <w:tr>
        <w:tblPrEx>
          <w:tblCellMar>
            <w:top w:w="0" w:type="dxa"/>
            <w:left w:w="108" w:type="dxa"/>
            <w:bottom w:w="0" w:type="dxa"/>
            <w:right w:w="108" w:type="dxa"/>
          </w:tblCellMar>
        </w:tblPrEx>
        <w:trPr>
          <w:trHeight w:val="574" w:hRule="atLeast"/>
        </w:trPr>
        <w:tc>
          <w:tcPr>
            <w:tcW w:w="679"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存在问题</w:t>
            </w:r>
          </w:p>
        </w:tc>
        <w:tc>
          <w:tcPr>
            <w:tcW w:w="13370" w:type="dxa"/>
            <w:gridSpan w:val="12"/>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无。</w:t>
            </w:r>
          </w:p>
        </w:tc>
      </w:tr>
      <w:tr>
        <w:tblPrEx>
          <w:tblCellMar>
            <w:top w:w="0" w:type="dxa"/>
            <w:left w:w="108" w:type="dxa"/>
            <w:bottom w:w="0" w:type="dxa"/>
            <w:right w:w="108" w:type="dxa"/>
          </w:tblCellMar>
        </w:tblPrEx>
        <w:trPr>
          <w:trHeight w:val="634" w:hRule="atLeast"/>
        </w:trPr>
        <w:tc>
          <w:tcPr>
            <w:tcW w:w="679"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改进措施</w:t>
            </w:r>
          </w:p>
        </w:tc>
        <w:tc>
          <w:tcPr>
            <w:tcW w:w="13370" w:type="dxa"/>
            <w:gridSpan w:val="12"/>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无。</w:t>
            </w:r>
          </w:p>
        </w:tc>
      </w:tr>
      <w:tr>
        <w:tblPrEx>
          <w:tblCellMar>
            <w:top w:w="0" w:type="dxa"/>
            <w:left w:w="108" w:type="dxa"/>
            <w:bottom w:w="0" w:type="dxa"/>
            <w:right w:w="108" w:type="dxa"/>
          </w:tblCellMar>
        </w:tblPrEx>
        <w:trPr>
          <w:trHeight w:val="610" w:hRule="atLeast"/>
        </w:trPr>
        <w:tc>
          <w:tcPr>
            <w:tcW w:w="651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仿宋_GB2312" w:hAnsi="黑体" w:eastAsia="仿宋_GB2312" w:cs="宋体"/>
                <w:color w:val="000000"/>
                <w:kern w:val="0"/>
                <w:sz w:val="22"/>
                <w:szCs w:val="22"/>
              </w:rPr>
            </w:pPr>
            <w:r>
              <w:rPr>
                <w:rFonts w:hint="eastAsia" w:ascii="仿宋_GB2312" w:hAnsi="黑体" w:eastAsia="仿宋_GB2312" w:cs="宋体"/>
                <w:color w:val="000000"/>
                <w:kern w:val="0"/>
                <w:sz w:val="22"/>
                <w:szCs w:val="22"/>
              </w:rPr>
              <w:t>项目负责人：廖红</w:t>
            </w:r>
          </w:p>
        </w:tc>
        <w:tc>
          <w:tcPr>
            <w:tcW w:w="7532" w:type="dxa"/>
            <w:gridSpan w:val="8"/>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仿宋_GB2312" w:hAnsi="黑体" w:eastAsia="仿宋_GB2312" w:cs="宋体"/>
                <w:color w:val="000000"/>
                <w:kern w:val="0"/>
                <w:sz w:val="22"/>
                <w:szCs w:val="22"/>
              </w:rPr>
            </w:pPr>
            <w:r>
              <w:rPr>
                <w:rFonts w:hint="eastAsia" w:ascii="仿宋_GB2312" w:hAnsi="黑体" w:eastAsia="仿宋_GB2312" w:cs="宋体"/>
                <w:color w:val="000000"/>
                <w:kern w:val="0"/>
                <w:sz w:val="22"/>
                <w:szCs w:val="22"/>
              </w:rPr>
              <w:t>财务负责人：岳林</w:t>
            </w:r>
          </w:p>
        </w:tc>
      </w:tr>
    </w:tbl>
    <w:p>
      <w:pPr>
        <w:pStyle w:val="2"/>
        <w:spacing w:before="93"/>
      </w:pPr>
    </w:p>
    <w:p>
      <w:pPr>
        <w:pStyle w:val="2"/>
        <w:spacing w:before="93"/>
      </w:pPr>
    </w:p>
    <w:p>
      <w:pPr>
        <w:pStyle w:val="2"/>
        <w:spacing w:before="93"/>
      </w:pPr>
    </w:p>
    <w:p>
      <w:pPr>
        <w:pStyle w:val="2"/>
        <w:spacing w:before="93"/>
        <w:rPr>
          <w:sz w:val="32"/>
          <w:szCs w:val="28"/>
        </w:rPr>
      </w:pPr>
      <w:r>
        <w:rPr>
          <w:rFonts w:hint="eastAsia"/>
          <w:sz w:val="32"/>
          <w:szCs w:val="28"/>
        </w:rPr>
        <w:t>附表4</w:t>
      </w:r>
    </w:p>
    <w:tbl>
      <w:tblPr>
        <w:tblStyle w:val="15"/>
        <w:tblW w:w="14049" w:type="dxa"/>
        <w:tblInd w:w="93" w:type="dxa"/>
        <w:tblLayout w:type="autofit"/>
        <w:tblCellMar>
          <w:top w:w="0" w:type="dxa"/>
          <w:left w:w="108" w:type="dxa"/>
          <w:bottom w:w="0" w:type="dxa"/>
          <w:right w:w="108" w:type="dxa"/>
        </w:tblCellMar>
      </w:tblPr>
      <w:tblGrid>
        <w:gridCol w:w="678"/>
        <w:gridCol w:w="1993"/>
        <w:gridCol w:w="1504"/>
        <w:gridCol w:w="1833"/>
        <w:gridCol w:w="516"/>
        <w:gridCol w:w="154"/>
        <w:gridCol w:w="1134"/>
        <w:gridCol w:w="992"/>
        <w:gridCol w:w="1134"/>
        <w:gridCol w:w="110"/>
        <w:gridCol w:w="656"/>
        <w:gridCol w:w="793"/>
        <w:gridCol w:w="2552"/>
      </w:tblGrid>
      <w:tr>
        <w:tblPrEx>
          <w:tblCellMar>
            <w:top w:w="0" w:type="dxa"/>
            <w:left w:w="108" w:type="dxa"/>
            <w:bottom w:w="0" w:type="dxa"/>
            <w:right w:w="108" w:type="dxa"/>
          </w:tblCellMar>
        </w:tblPrEx>
        <w:trPr>
          <w:trHeight w:val="640" w:hRule="atLeast"/>
        </w:trPr>
        <w:tc>
          <w:tcPr>
            <w:tcW w:w="14049" w:type="dxa"/>
            <w:gridSpan w:val="1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b/>
                <w:bCs/>
                <w:color w:val="000000"/>
                <w:kern w:val="0"/>
                <w:sz w:val="22"/>
                <w:szCs w:val="22"/>
              </w:rPr>
            </w:pPr>
            <w:r>
              <w:rPr>
                <w:rFonts w:hint="eastAsia" w:ascii="仿宋_GB2312" w:hAnsi="宋体" w:eastAsia="仿宋_GB2312" w:cs="宋体"/>
                <w:b/>
                <w:bCs/>
                <w:color w:val="000000"/>
                <w:kern w:val="0"/>
                <w:sz w:val="22"/>
                <w:szCs w:val="22"/>
              </w:rPr>
              <w:t>部门预算项目支出绩效自评表（2022年度）</w:t>
            </w:r>
          </w:p>
        </w:tc>
      </w:tr>
      <w:tr>
        <w:tblPrEx>
          <w:tblCellMar>
            <w:top w:w="0" w:type="dxa"/>
            <w:left w:w="108" w:type="dxa"/>
            <w:bottom w:w="0" w:type="dxa"/>
            <w:right w:w="108" w:type="dxa"/>
          </w:tblCellMar>
        </w:tblPrEx>
        <w:trPr>
          <w:trHeight w:val="565" w:hRule="atLeast"/>
        </w:trPr>
        <w:tc>
          <w:tcPr>
            <w:tcW w:w="267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项目名称</w:t>
            </w:r>
          </w:p>
        </w:tc>
        <w:tc>
          <w:tcPr>
            <w:tcW w:w="11378" w:type="dxa"/>
            <w:gridSpan w:val="11"/>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51000021Y000000011490-定额公用经费</w:t>
            </w:r>
          </w:p>
        </w:tc>
      </w:tr>
      <w:tr>
        <w:tblPrEx>
          <w:tblCellMar>
            <w:top w:w="0" w:type="dxa"/>
            <w:left w:w="108" w:type="dxa"/>
            <w:bottom w:w="0" w:type="dxa"/>
            <w:right w:w="108" w:type="dxa"/>
          </w:tblCellMar>
        </w:tblPrEx>
        <w:trPr>
          <w:trHeight w:val="514" w:hRule="atLeast"/>
        </w:trPr>
        <w:tc>
          <w:tcPr>
            <w:tcW w:w="267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主管部门</w:t>
            </w:r>
          </w:p>
        </w:tc>
        <w:tc>
          <w:tcPr>
            <w:tcW w:w="6133"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广元市市场监督管理局部门</w:t>
            </w:r>
          </w:p>
        </w:tc>
        <w:tc>
          <w:tcPr>
            <w:tcW w:w="1244" w:type="dxa"/>
            <w:gridSpan w:val="2"/>
            <w:tcBorders>
              <w:top w:val="nil"/>
              <w:left w:val="nil"/>
              <w:bottom w:val="nil"/>
              <w:right w:val="nil"/>
            </w:tcBorders>
            <w:shd w:val="clear" w:color="auto" w:fill="auto"/>
            <w:vAlign w:val="center"/>
          </w:tcPr>
          <w:p>
            <w:pPr>
              <w:widowControl/>
              <w:jc w:val="left"/>
              <w:rPr>
                <w:rFonts w:ascii="仿宋_GB2312" w:hAnsi="黑体" w:eastAsia="仿宋_GB2312" w:cs="宋体"/>
                <w:color w:val="000000"/>
                <w:kern w:val="0"/>
                <w:sz w:val="22"/>
                <w:szCs w:val="22"/>
              </w:rPr>
            </w:pPr>
            <w:r>
              <w:rPr>
                <w:rFonts w:hint="eastAsia" w:ascii="仿宋_GB2312" w:hAnsi="黑体" w:eastAsia="仿宋_GB2312" w:cs="宋体"/>
                <w:color w:val="000000"/>
                <w:kern w:val="0"/>
                <w:sz w:val="22"/>
                <w:szCs w:val="22"/>
              </w:rPr>
              <w:t>实施单位（盖章）</w:t>
            </w:r>
          </w:p>
        </w:tc>
        <w:tc>
          <w:tcPr>
            <w:tcW w:w="400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广元市市场监督管理局广元经开区分局</w:t>
            </w:r>
          </w:p>
        </w:tc>
      </w:tr>
      <w:tr>
        <w:tblPrEx>
          <w:tblCellMar>
            <w:top w:w="0" w:type="dxa"/>
            <w:left w:w="108" w:type="dxa"/>
            <w:bottom w:w="0" w:type="dxa"/>
            <w:right w:w="108" w:type="dxa"/>
          </w:tblCellMar>
        </w:tblPrEx>
        <w:trPr>
          <w:trHeight w:val="624" w:hRule="atLeast"/>
        </w:trPr>
        <w:tc>
          <w:tcPr>
            <w:tcW w:w="678"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项目基本情况</w:t>
            </w:r>
          </w:p>
        </w:tc>
        <w:tc>
          <w:tcPr>
            <w:tcW w:w="1993"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1.项目年度目标完成情况</w:t>
            </w:r>
          </w:p>
        </w:tc>
        <w:tc>
          <w:tcPr>
            <w:tcW w:w="6133"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项目年度目标</w:t>
            </w:r>
          </w:p>
        </w:tc>
        <w:tc>
          <w:tcPr>
            <w:tcW w:w="5245"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仿宋_GB2312" w:hAnsi="黑体" w:eastAsia="仿宋_GB2312" w:cs="宋体"/>
                <w:color w:val="000000"/>
                <w:kern w:val="0"/>
                <w:sz w:val="22"/>
                <w:szCs w:val="22"/>
              </w:rPr>
            </w:pPr>
            <w:r>
              <w:rPr>
                <w:rFonts w:hint="eastAsia" w:ascii="仿宋_GB2312" w:hAnsi="黑体" w:eastAsia="仿宋_GB2312" w:cs="宋体"/>
                <w:color w:val="000000"/>
                <w:kern w:val="0"/>
                <w:sz w:val="22"/>
                <w:szCs w:val="22"/>
              </w:rPr>
              <w:t>年度目标完成情况</w:t>
            </w:r>
          </w:p>
        </w:tc>
      </w:tr>
      <w:tr>
        <w:tblPrEx>
          <w:tblCellMar>
            <w:top w:w="0" w:type="dxa"/>
            <w:left w:w="108" w:type="dxa"/>
            <w:bottom w:w="0" w:type="dxa"/>
            <w:right w:w="108" w:type="dxa"/>
          </w:tblCellMar>
        </w:tblPrEx>
        <w:trPr>
          <w:trHeight w:val="709" w:hRule="atLeast"/>
        </w:trPr>
        <w:tc>
          <w:tcPr>
            <w:tcW w:w="678"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color w:val="000000"/>
                <w:kern w:val="0"/>
                <w:sz w:val="22"/>
                <w:szCs w:val="22"/>
              </w:rPr>
            </w:pPr>
          </w:p>
        </w:tc>
        <w:tc>
          <w:tcPr>
            <w:tcW w:w="1993"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color w:val="000000"/>
                <w:kern w:val="0"/>
                <w:sz w:val="22"/>
                <w:szCs w:val="22"/>
              </w:rPr>
            </w:pPr>
          </w:p>
        </w:tc>
        <w:tc>
          <w:tcPr>
            <w:tcW w:w="6133"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保障单位日常运转，提高预算编制质量，严格执行预算。</w:t>
            </w:r>
          </w:p>
        </w:tc>
        <w:tc>
          <w:tcPr>
            <w:tcW w:w="5245"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仿宋_GB2312" w:hAnsi="黑体" w:eastAsia="仿宋_GB2312" w:cs="宋体"/>
                <w:color w:val="000000"/>
                <w:kern w:val="0"/>
                <w:sz w:val="22"/>
                <w:szCs w:val="22"/>
              </w:rPr>
            </w:pPr>
            <w:r>
              <w:rPr>
                <w:rFonts w:hint="eastAsia" w:ascii="仿宋_GB2312" w:hAnsi="仿宋_GB2312" w:eastAsia="仿宋_GB2312" w:cs="仿宋_GB2312"/>
                <w:sz w:val="22"/>
                <w:szCs w:val="22"/>
              </w:rPr>
              <w:t>保障了分局机关及3个基层所的办公正常运行支出。</w:t>
            </w:r>
          </w:p>
        </w:tc>
      </w:tr>
      <w:tr>
        <w:tblPrEx>
          <w:tblCellMar>
            <w:top w:w="0" w:type="dxa"/>
            <w:left w:w="108" w:type="dxa"/>
            <w:bottom w:w="0" w:type="dxa"/>
            <w:right w:w="108" w:type="dxa"/>
          </w:tblCellMar>
        </w:tblPrEx>
        <w:trPr>
          <w:trHeight w:val="694" w:hRule="atLeast"/>
        </w:trPr>
        <w:tc>
          <w:tcPr>
            <w:tcW w:w="678" w:type="dxa"/>
            <w:vMerge w:val="continue"/>
            <w:tcBorders>
              <w:top w:val="nil"/>
              <w:left w:val="single" w:color="000000" w:sz="4" w:space="0"/>
              <w:bottom w:val="single" w:color="auto" w:sz="4" w:space="0"/>
              <w:right w:val="single" w:color="000000" w:sz="4" w:space="0"/>
            </w:tcBorders>
            <w:vAlign w:val="center"/>
          </w:tcPr>
          <w:p>
            <w:pPr>
              <w:widowControl/>
              <w:jc w:val="left"/>
              <w:rPr>
                <w:rFonts w:ascii="仿宋_GB2312" w:hAnsi="宋体" w:eastAsia="仿宋_GB2312" w:cs="宋体"/>
                <w:color w:val="000000"/>
                <w:kern w:val="0"/>
                <w:sz w:val="22"/>
                <w:szCs w:val="22"/>
              </w:rPr>
            </w:pPr>
          </w:p>
        </w:tc>
        <w:tc>
          <w:tcPr>
            <w:tcW w:w="1993" w:type="dxa"/>
            <w:tcBorders>
              <w:top w:val="nil"/>
              <w:left w:val="nil"/>
              <w:bottom w:val="single" w:color="auto" w:sz="4" w:space="0"/>
              <w:right w:val="single" w:color="000000"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2.项目实施内容及过程概述</w:t>
            </w:r>
          </w:p>
        </w:tc>
        <w:tc>
          <w:tcPr>
            <w:tcW w:w="11378" w:type="dxa"/>
            <w:gridSpan w:val="11"/>
            <w:tcBorders>
              <w:top w:val="single" w:color="000000" w:sz="4" w:space="0"/>
              <w:left w:val="nil"/>
              <w:bottom w:val="single" w:color="auto" w:sz="4" w:space="0"/>
              <w:right w:val="single" w:color="000000"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“定额公用经费”项目由财务股负责组织实施，通过制定专项工作计划方案、确定工作目标、明确组织实施措施和策略，有效地指导工作的正常有序开展。</w:t>
            </w:r>
          </w:p>
        </w:tc>
      </w:tr>
      <w:tr>
        <w:tblPrEx>
          <w:tblCellMar>
            <w:top w:w="0" w:type="dxa"/>
            <w:left w:w="108" w:type="dxa"/>
            <w:bottom w:w="0" w:type="dxa"/>
            <w:right w:w="108" w:type="dxa"/>
          </w:tblCellMar>
        </w:tblPrEx>
        <w:trPr>
          <w:trHeight w:val="360" w:hRule="atLeast"/>
        </w:trPr>
        <w:tc>
          <w:tcPr>
            <w:tcW w:w="67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预算执行情况（10分）</w:t>
            </w:r>
          </w:p>
        </w:tc>
        <w:tc>
          <w:tcPr>
            <w:tcW w:w="199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年度预算数（万元）</w:t>
            </w:r>
          </w:p>
        </w:tc>
        <w:tc>
          <w:tcPr>
            <w:tcW w:w="150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年初预算</w:t>
            </w:r>
          </w:p>
        </w:tc>
        <w:tc>
          <w:tcPr>
            <w:tcW w:w="183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调整后预算数</w:t>
            </w:r>
          </w:p>
        </w:tc>
        <w:tc>
          <w:tcPr>
            <w:tcW w:w="2796"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预算执行数</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预算执行率</w:t>
            </w:r>
          </w:p>
        </w:tc>
        <w:tc>
          <w:tcPr>
            <w:tcW w:w="766"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权重</w:t>
            </w:r>
          </w:p>
        </w:tc>
        <w:tc>
          <w:tcPr>
            <w:tcW w:w="79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得分</w:t>
            </w:r>
          </w:p>
        </w:tc>
        <w:tc>
          <w:tcPr>
            <w:tcW w:w="255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原因</w:t>
            </w:r>
          </w:p>
        </w:tc>
      </w:tr>
      <w:tr>
        <w:tblPrEx>
          <w:tblCellMar>
            <w:top w:w="0" w:type="dxa"/>
            <w:left w:w="108" w:type="dxa"/>
            <w:bottom w:w="0" w:type="dxa"/>
            <w:right w:w="108" w:type="dxa"/>
          </w:tblCellMar>
        </w:tblPrEx>
        <w:trPr>
          <w:trHeight w:val="491" w:hRule="atLeast"/>
        </w:trPr>
        <w:tc>
          <w:tcPr>
            <w:tcW w:w="67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199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总额</w:t>
            </w:r>
          </w:p>
        </w:tc>
        <w:tc>
          <w:tcPr>
            <w:tcW w:w="150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25.50</w:t>
            </w:r>
          </w:p>
        </w:tc>
        <w:tc>
          <w:tcPr>
            <w:tcW w:w="183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25.20</w:t>
            </w:r>
          </w:p>
        </w:tc>
        <w:tc>
          <w:tcPr>
            <w:tcW w:w="2796"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25.20</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100.00%</w:t>
            </w:r>
          </w:p>
        </w:tc>
        <w:tc>
          <w:tcPr>
            <w:tcW w:w="766"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w:t>
            </w:r>
          </w:p>
        </w:tc>
        <w:tc>
          <w:tcPr>
            <w:tcW w:w="79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w:t>
            </w:r>
          </w:p>
        </w:tc>
        <w:tc>
          <w:tcPr>
            <w:tcW w:w="2552"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黑体" w:eastAsia="仿宋_GB2312" w:cs="宋体"/>
                <w:iCs/>
                <w:color w:val="000000"/>
                <w:kern w:val="0"/>
                <w:sz w:val="22"/>
                <w:szCs w:val="22"/>
              </w:rPr>
            </w:pPr>
            <w:r>
              <w:rPr>
                <w:rFonts w:hint="eastAsia" w:ascii="仿宋_GB2312" w:hAnsi="黑体" w:eastAsia="仿宋_GB2312" w:cs="宋体"/>
                <w:iCs/>
                <w:color w:val="000000"/>
                <w:kern w:val="0"/>
                <w:sz w:val="22"/>
                <w:szCs w:val="22"/>
              </w:rPr>
              <w:t>追减原因：严格落实“过紧日子”要求，压减三公经费支出。</w:t>
            </w:r>
          </w:p>
        </w:tc>
      </w:tr>
      <w:tr>
        <w:tblPrEx>
          <w:tblCellMar>
            <w:top w:w="0" w:type="dxa"/>
            <w:left w:w="108" w:type="dxa"/>
            <w:bottom w:w="0" w:type="dxa"/>
            <w:right w:w="108" w:type="dxa"/>
          </w:tblCellMar>
        </w:tblPrEx>
        <w:trPr>
          <w:trHeight w:val="541" w:hRule="atLeast"/>
        </w:trPr>
        <w:tc>
          <w:tcPr>
            <w:tcW w:w="67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199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其中：财政资金</w:t>
            </w:r>
          </w:p>
        </w:tc>
        <w:tc>
          <w:tcPr>
            <w:tcW w:w="150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25.50</w:t>
            </w:r>
          </w:p>
        </w:tc>
        <w:tc>
          <w:tcPr>
            <w:tcW w:w="183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25.20</w:t>
            </w:r>
          </w:p>
        </w:tc>
        <w:tc>
          <w:tcPr>
            <w:tcW w:w="2796"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25.20</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100.00%</w:t>
            </w:r>
          </w:p>
        </w:tc>
        <w:tc>
          <w:tcPr>
            <w:tcW w:w="766"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79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255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黑体" w:eastAsia="仿宋_GB2312" w:cs="宋体"/>
                <w:iCs/>
                <w:color w:val="000000"/>
                <w:kern w:val="0"/>
                <w:sz w:val="22"/>
                <w:szCs w:val="22"/>
              </w:rPr>
            </w:pPr>
          </w:p>
        </w:tc>
      </w:tr>
      <w:tr>
        <w:tblPrEx>
          <w:tblCellMar>
            <w:top w:w="0" w:type="dxa"/>
            <w:left w:w="108" w:type="dxa"/>
            <w:bottom w:w="0" w:type="dxa"/>
            <w:right w:w="108" w:type="dxa"/>
          </w:tblCellMar>
        </w:tblPrEx>
        <w:trPr>
          <w:trHeight w:val="564" w:hRule="atLeast"/>
        </w:trPr>
        <w:tc>
          <w:tcPr>
            <w:tcW w:w="67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199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财政专户管理资金</w:t>
            </w:r>
          </w:p>
        </w:tc>
        <w:tc>
          <w:tcPr>
            <w:tcW w:w="150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0.00</w:t>
            </w:r>
          </w:p>
        </w:tc>
        <w:tc>
          <w:tcPr>
            <w:tcW w:w="183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0.00</w:t>
            </w:r>
          </w:p>
        </w:tc>
        <w:tc>
          <w:tcPr>
            <w:tcW w:w="2796"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0.00</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0.00%</w:t>
            </w:r>
          </w:p>
        </w:tc>
        <w:tc>
          <w:tcPr>
            <w:tcW w:w="766"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79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255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黑体" w:eastAsia="仿宋_GB2312" w:cs="宋体"/>
                <w:iCs/>
                <w:color w:val="000000"/>
                <w:kern w:val="0"/>
                <w:sz w:val="22"/>
                <w:szCs w:val="22"/>
              </w:rPr>
            </w:pPr>
          </w:p>
        </w:tc>
      </w:tr>
      <w:tr>
        <w:tblPrEx>
          <w:tblCellMar>
            <w:top w:w="0" w:type="dxa"/>
            <w:left w:w="108" w:type="dxa"/>
            <w:bottom w:w="0" w:type="dxa"/>
            <w:right w:w="108" w:type="dxa"/>
          </w:tblCellMar>
        </w:tblPrEx>
        <w:trPr>
          <w:trHeight w:val="557" w:hRule="atLeast"/>
        </w:trPr>
        <w:tc>
          <w:tcPr>
            <w:tcW w:w="67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199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单位资金</w:t>
            </w:r>
          </w:p>
        </w:tc>
        <w:tc>
          <w:tcPr>
            <w:tcW w:w="150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0.00</w:t>
            </w:r>
          </w:p>
        </w:tc>
        <w:tc>
          <w:tcPr>
            <w:tcW w:w="183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0.00</w:t>
            </w:r>
          </w:p>
        </w:tc>
        <w:tc>
          <w:tcPr>
            <w:tcW w:w="2796"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0.00</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0.00%</w:t>
            </w:r>
          </w:p>
        </w:tc>
        <w:tc>
          <w:tcPr>
            <w:tcW w:w="766"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79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255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黑体" w:eastAsia="仿宋_GB2312" w:cs="宋体"/>
                <w:iCs/>
                <w:color w:val="000000"/>
                <w:kern w:val="0"/>
                <w:sz w:val="22"/>
                <w:szCs w:val="22"/>
              </w:rPr>
            </w:pPr>
          </w:p>
        </w:tc>
      </w:tr>
      <w:tr>
        <w:tblPrEx>
          <w:tblCellMar>
            <w:top w:w="0" w:type="dxa"/>
            <w:left w:w="108" w:type="dxa"/>
            <w:bottom w:w="0" w:type="dxa"/>
            <w:right w:w="108" w:type="dxa"/>
          </w:tblCellMar>
        </w:tblPrEx>
        <w:trPr>
          <w:trHeight w:val="565" w:hRule="atLeast"/>
        </w:trPr>
        <w:tc>
          <w:tcPr>
            <w:tcW w:w="67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199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其他资金</w:t>
            </w:r>
          </w:p>
        </w:tc>
        <w:tc>
          <w:tcPr>
            <w:tcW w:w="150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c>
          <w:tcPr>
            <w:tcW w:w="183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c>
          <w:tcPr>
            <w:tcW w:w="2796"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c>
          <w:tcPr>
            <w:tcW w:w="766"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79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255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黑体" w:eastAsia="仿宋_GB2312" w:cs="宋体"/>
                <w:iCs/>
                <w:color w:val="000000"/>
                <w:kern w:val="0"/>
                <w:sz w:val="22"/>
                <w:szCs w:val="22"/>
              </w:rPr>
            </w:pPr>
          </w:p>
        </w:tc>
      </w:tr>
      <w:tr>
        <w:tblPrEx>
          <w:tblCellMar>
            <w:top w:w="0" w:type="dxa"/>
            <w:left w:w="108" w:type="dxa"/>
            <w:bottom w:w="0" w:type="dxa"/>
            <w:right w:w="108" w:type="dxa"/>
          </w:tblCellMar>
        </w:tblPrEx>
        <w:trPr>
          <w:trHeight w:val="454" w:hRule="atLeast"/>
        </w:trPr>
        <w:tc>
          <w:tcPr>
            <w:tcW w:w="67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绩效指标（90分）</w:t>
            </w:r>
          </w:p>
        </w:tc>
        <w:tc>
          <w:tcPr>
            <w:tcW w:w="199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一级指标</w:t>
            </w:r>
          </w:p>
        </w:tc>
        <w:tc>
          <w:tcPr>
            <w:tcW w:w="150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二级指标</w:t>
            </w:r>
          </w:p>
        </w:tc>
        <w:tc>
          <w:tcPr>
            <w:tcW w:w="183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三级指标</w:t>
            </w:r>
          </w:p>
        </w:tc>
        <w:tc>
          <w:tcPr>
            <w:tcW w:w="67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指标性质</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指标值</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度量单位</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完成值</w:t>
            </w:r>
          </w:p>
        </w:tc>
        <w:tc>
          <w:tcPr>
            <w:tcW w:w="766"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权重</w:t>
            </w:r>
          </w:p>
        </w:tc>
        <w:tc>
          <w:tcPr>
            <w:tcW w:w="79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得分</w:t>
            </w:r>
          </w:p>
        </w:tc>
        <w:tc>
          <w:tcPr>
            <w:tcW w:w="255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未完成原因分析</w:t>
            </w:r>
          </w:p>
        </w:tc>
      </w:tr>
      <w:tr>
        <w:tblPrEx>
          <w:tblCellMar>
            <w:top w:w="0" w:type="dxa"/>
            <w:left w:w="108" w:type="dxa"/>
            <w:bottom w:w="0" w:type="dxa"/>
            <w:right w:w="108" w:type="dxa"/>
          </w:tblCellMar>
        </w:tblPrEx>
        <w:trPr>
          <w:trHeight w:val="640" w:hRule="atLeast"/>
        </w:trPr>
        <w:tc>
          <w:tcPr>
            <w:tcW w:w="67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1993"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产出指标</w:t>
            </w:r>
          </w:p>
        </w:tc>
        <w:tc>
          <w:tcPr>
            <w:tcW w:w="150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数量指标</w:t>
            </w:r>
          </w:p>
        </w:tc>
        <w:tc>
          <w:tcPr>
            <w:tcW w:w="183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科目调整次数</w:t>
            </w:r>
          </w:p>
        </w:tc>
        <w:tc>
          <w:tcPr>
            <w:tcW w:w="67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w:t>
            </w:r>
          </w:p>
        </w:tc>
        <w:tc>
          <w:tcPr>
            <w:tcW w:w="9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次</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0　</w:t>
            </w:r>
          </w:p>
        </w:tc>
        <w:tc>
          <w:tcPr>
            <w:tcW w:w="766"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22.5</w:t>
            </w:r>
          </w:p>
        </w:tc>
        <w:tc>
          <w:tcPr>
            <w:tcW w:w="79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22.5　</w:t>
            </w:r>
          </w:p>
        </w:tc>
        <w:tc>
          <w:tcPr>
            <w:tcW w:w="255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r>
      <w:tr>
        <w:tblPrEx>
          <w:tblCellMar>
            <w:top w:w="0" w:type="dxa"/>
            <w:left w:w="108" w:type="dxa"/>
            <w:bottom w:w="0" w:type="dxa"/>
            <w:right w:w="108" w:type="dxa"/>
          </w:tblCellMar>
        </w:tblPrEx>
        <w:trPr>
          <w:trHeight w:val="679" w:hRule="atLeast"/>
        </w:trPr>
        <w:tc>
          <w:tcPr>
            <w:tcW w:w="678" w:type="dxa"/>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ascii="仿宋_GB2312" w:hAnsi="宋体" w:eastAsia="仿宋_GB2312" w:cs="宋体"/>
                <w:color w:val="000000"/>
                <w:kern w:val="0"/>
                <w:sz w:val="22"/>
                <w:szCs w:val="22"/>
              </w:rPr>
            </w:pPr>
          </w:p>
        </w:tc>
        <w:tc>
          <w:tcPr>
            <w:tcW w:w="1993" w:type="dxa"/>
            <w:vMerge w:val="continue"/>
            <w:tcBorders>
              <w:top w:val="single" w:color="auto" w:sz="4" w:space="0"/>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color w:val="000000"/>
                <w:kern w:val="0"/>
                <w:sz w:val="22"/>
                <w:szCs w:val="22"/>
              </w:rPr>
            </w:pPr>
          </w:p>
        </w:tc>
        <w:tc>
          <w:tcPr>
            <w:tcW w:w="1504" w:type="dxa"/>
            <w:tcBorders>
              <w:top w:val="single" w:color="auto" w:sz="4" w:space="0"/>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质量指标</w:t>
            </w:r>
          </w:p>
        </w:tc>
        <w:tc>
          <w:tcPr>
            <w:tcW w:w="1833" w:type="dxa"/>
            <w:tcBorders>
              <w:top w:val="single" w:color="auto" w:sz="4" w:space="0"/>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预算编制准确率（计算方法为：</w:t>
            </w:r>
            <w:r>
              <w:rPr>
                <w:rFonts w:hint="eastAsia" w:ascii="仿宋_GB2312" w:hAnsi="宋体" w:cs="宋体"/>
                <w:color w:val="000000"/>
                <w:kern w:val="0"/>
                <w:sz w:val="22"/>
                <w:szCs w:val="22"/>
              </w:rPr>
              <w:t>∣</w:t>
            </w:r>
            <w:r>
              <w:rPr>
                <w:rFonts w:hint="eastAsia" w:ascii="仿宋_GB2312" w:hAnsi="宋体" w:eastAsia="仿宋_GB2312" w:cs="宋体"/>
                <w:color w:val="000000"/>
                <w:kern w:val="0"/>
                <w:sz w:val="22"/>
                <w:szCs w:val="22"/>
              </w:rPr>
              <w:t>（执行数-预算数）/预算数</w:t>
            </w:r>
            <w:r>
              <w:rPr>
                <w:rFonts w:hint="eastAsia" w:ascii="仿宋_GB2312" w:hAnsi="宋体" w:cs="宋体"/>
                <w:color w:val="000000"/>
                <w:kern w:val="0"/>
                <w:sz w:val="22"/>
                <w:szCs w:val="22"/>
              </w:rPr>
              <w:t>∣</w:t>
            </w:r>
            <w:r>
              <w:rPr>
                <w:rFonts w:hint="eastAsia" w:ascii="仿宋_GB2312" w:hAnsi="宋体" w:eastAsia="仿宋_GB2312" w:cs="宋体"/>
                <w:color w:val="000000"/>
                <w:kern w:val="0"/>
                <w:sz w:val="22"/>
                <w:szCs w:val="22"/>
              </w:rPr>
              <w:t>）</w:t>
            </w:r>
          </w:p>
        </w:tc>
        <w:tc>
          <w:tcPr>
            <w:tcW w:w="670" w:type="dxa"/>
            <w:gridSpan w:val="2"/>
            <w:tcBorders>
              <w:top w:val="single" w:color="auto" w:sz="4" w:space="0"/>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1134" w:type="dxa"/>
            <w:tcBorders>
              <w:top w:val="single" w:color="auto" w:sz="4" w:space="0"/>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5</w:t>
            </w:r>
          </w:p>
        </w:tc>
        <w:tc>
          <w:tcPr>
            <w:tcW w:w="992" w:type="dxa"/>
            <w:tcBorders>
              <w:top w:val="single" w:color="auto" w:sz="4" w:space="0"/>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1134" w:type="dxa"/>
            <w:tcBorders>
              <w:top w:val="single" w:color="auto" w:sz="4" w:space="0"/>
              <w:left w:val="nil"/>
              <w:bottom w:val="single" w:color="000000" w:sz="4" w:space="0"/>
              <w:right w:val="single" w:color="000000"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0　</w:t>
            </w:r>
          </w:p>
        </w:tc>
        <w:tc>
          <w:tcPr>
            <w:tcW w:w="766" w:type="dxa"/>
            <w:gridSpan w:val="2"/>
            <w:tcBorders>
              <w:top w:val="single" w:color="auto" w:sz="4" w:space="0"/>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22.5</w:t>
            </w:r>
          </w:p>
        </w:tc>
        <w:tc>
          <w:tcPr>
            <w:tcW w:w="793" w:type="dxa"/>
            <w:tcBorders>
              <w:top w:val="single" w:color="auto" w:sz="4" w:space="0"/>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22.5　</w:t>
            </w:r>
          </w:p>
        </w:tc>
        <w:tc>
          <w:tcPr>
            <w:tcW w:w="2552" w:type="dxa"/>
            <w:tcBorders>
              <w:top w:val="single" w:color="auto" w:sz="4" w:space="0"/>
              <w:left w:val="nil"/>
              <w:bottom w:val="single" w:color="000000" w:sz="4" w:space="0"/>
              <w:right w:val="single" w:color="000000"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r>
      <w:tr>
        <w:tblPrEx>
          <w:tblCellMar>
            <w:top w:w="0" w:type="dxa"/>
            <w:left w:w="108" w:type="dxa"/>
            <w:bottom w:w="0" w:type="dxa"/>
            <w:right w:w="108" w:type="dxa"/>
          </w:tblCellMar>
        </w:tblPrEx>
        <w:trPr>
          <w:trHeight w:val="904" w:hRule="atLeast"/>
        </w:trPr>
        <w:tc>
          <w:tcPr>
            <w:tcW w:w="678" w:type="dxa"/>
            <w:vMerge w:val="continue"/>
            <w:tcBorders>
              <w:top w:val="nil"/>
              <w:left w:val="single" w:color="auto" w:sz="4" w:space="0"/>
              <w:bottom w:val="single" w:color="000000" w:sz="4" w:space="0"/>
              <w:right w:val="single" w:color="000000" w:sz="4" w:space="0"/>
            </w:tcBorders>
            <w:vAlign w:val="center"/>
          </w:tcPr>
          <w:p>
            <w:pPr>
              <w:widowControl/>
              <w:jc w:val="left"/>
              <w:rPr>
                <w:rFonts w:ascii="仿宋_GB2312" w:hAnsi="宋体" w:eastAsia="仿宋_GB2312" w:cs="宋体"/>
                <w:color w:val="000000"/>
                <w:kern w:val="0"/>
                <w:sz w:val="22"/>
                <w:szCs w:val="22"/>
              </w:rPr>
            </w:pPr>
          </w:p>
        </w:tc>
        <w:tc>
          <w:tcPr>
            <w:tcW w:w="1993"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效益指标</w:t>
            </w:r>
          </w:p>
        </w:tc>
        <w:tc>
          <w:tcPr>
            <w:tcW w:w="1504"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经济效益指标</w:t>
            </w:r>
          </w:p>
        </w:tc>
        <w:tc>
          <w:tcPr>
            <w:tcW w:w="1833"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“三公经费”控制率[计算方法为：（三公经费实际支出数/预算安排数]×100%）</w:t>
            </w:r>
          </w:p>
        </w:tc>
        <w:tc>
          <w:tcPr>
            <w:tcW w:w="670"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1134"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100</w:t>
            </w:r>
          </w:p>
        </w:tc>
        <w:tc>
          <w:tcPr>
            <w:tcW w:w="992"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1134"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89.95</w:t>
            </w:r>
          </w:p>
        </w:tc>
        <w:tc>
          <w:tcPr>
            <w:tcW w:w="766"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22.5</w:t>
            </w:r>
          </w:p>
        </w:tc>
        <w:tc>
          <w:tcPr>
            <w:tcW w:w="793"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22.5　</w:t>
            </w:r>
          </w:p>
        </w:tc>
        <w:tc>
          <w:tcPr>
            <w:tcW w:w="2552"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r>
      <w:tr>
        <w:tblPrEx>
          <w:tblCellMar>
            <w:top w:w="0" w:type="dxa"/>
            <w:left w:w="108" w:type="dxa"/>
            <w:bottom w:w="0" w:type="dxa"/>
            <w:right w:w="108" w:type="dxa"/>
          </w:tblCellMar>
        </w:tblPrEx>
        <w:trPr>
          <w:trHeight w:val="538" w:hRule="atLeast"/>
        </w:trPr>
        <w:tc>
          <w:tcPr>
            <w:tcW w:w="678" w:type="dxa"/>
            <w:vMerge w:val="continue"/>
            <w:tcBorders>
              <w:top w:val="nil"/>
              <w:left w:val="single" w:color="auto" w:sz="4" w:space="0"/>
              <w:bottom w:val="single" w:color="000000" w:sz="4" w:space="0"/>
              <w:right w:val="single" w:color="000000" w:sz="4" w:space="0"/>
            </w:tcBorders>
            <w:vAlign w:val="center"/>
          </w:tcPr>
          <w:p>
            <w:pPr>
              <w:widowControl/>
              <w:jc w:val="left"/>
              <w:rPr>
                <w:rFonts w:ascii="仿宋_GB2312" w:hAnsi="宋体" w:eastAsia="仿宋_GB2312" w:cs="宋体"/>
                <w:color w:val="000000"/>
                <w:kern w:val="0"/>
                <w:sz w:val="22"/>
                <w:szCs w:val="22"/>
              </w:rPr>
            </w:pPr>
          </w:p>
        </w:tc>
        <w:tc>
          <w:tcPr>
            <w:tcW w:w="1993"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color w:val="000000"/>
                <w:kern w:val="0"/>
                <w:sz w:val="22"/>
                <w:szCs w:val="22"/>
              </w:rPr>
            </w:pPr>
          </w:p>
        </w:tc>
        <w:tc>
          <w:tcPr>
            <w:tcW w:w="1504"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color w:val="000000"/>
                <w:kern w:val="0"/>
                <w:sz w:val="22"/>
                <w:szCs w:val="22"/>
              </w:rPr>
            </w:pPr>
          </w:p>
        </w:tc>
        <w:tc>
          <w:tcPr>
            <w:tcW w:w="1833"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运转保障率</w:t>
            </w:r>
          </w:p>
        </w:tc>
        <w:tc>
          <w:tcPr>
            <w:tcW w:w="670"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1134"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100</w:t>
            </w:r>
          </w:p>
        </w:tc>
        <w:tc>
          <w:tcPr>
            <w:tcW w:w="992"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1134"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100</w:t>
            </w:r>
          </w:p>
        </w:tc>
        <w:tc>
          <w:tcPr>
            <w:tcW w:w="766"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22.5</w:t>
            </w:r>
          </w:p>
        </w:tc>
        <w:tc>
          <w:tcPr>
            <w:tcW w:w="793"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22.5　</w:t>
            </w:r>
          </w:p>
        </w:tc>
        <w:tc>
          <w:tcPr>
            <w:tcW w:w="2552"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r>
      <w:tr>
        <w:tblPrEx>
          <w:tblCellMar>
            <w:top w:w="0" w:type="dxa"/>
            <w:left w:w="108" w:type="dxa"/>
            <w:bottom w:w="0" w:type="dxa"/>
            <w:right w:w="108" w:type="dxa"/>
          </w:tblCellMar>
        </w:tblPrEx>
        <w:trPr>
          <w:trHeight w:val="560" w:hRule="atLeast"/>
        </w:trPr>
        <w:tc>
          <w:tcPr>
            <w:tcW w:w="9938"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合计</w:t>
            </w:r>
          </w:p>
        </w:tc>
        <w:tc>
          <w:tcPr>
            <w:tcW w:w="766"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100</w:t>
            </w:r>
          </w:p>
        </w:tc>
        <w:tc>
          <w:tcPr>
            <w:tcW w:w="793"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100</w:t>
            </w:r>
          </w:p>
        </w:tc>
        <w:tc>
          <w:tcPr>
            <w:tcW w:w="2552"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p>
        </w:tc>
      </w:tr>
      <w:tr>
        <w:tblPrEx>
          <w:tblCellMar>
            <w:top w:w="0" w:type="dxa"/>
            <w:left w:w="108" w:type="dxa"/>
            <w:bottom w:w="0" w:type="dxa"/>
            <w:right w:w="108" w:type="dxa"/>
          </w:tblCellMar>
        </w:tblPrEx>
        <w:trPr>
          <w:trHeight w:val="604" w:hRule="atLeast"/>
        </w:trPr>
        <w:tc>
          <w:tcPr>
            <w:tcW w:w="678"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评价结论</w:t>
            </w:r>
          </w:p>
        </w:tc>
        <w:tc>
          <w:tcPr>
            <w:tcW w:w="13371" w:type="dxa"/>
            <w:gridSpan w:val="12"/>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仿宋_GB2312" w:hAnsi="微软雅黑" w:eastAsia="仿宋_GB2312" w:cs="宋体"/>
                <w:iCs/>
                <w:color w:val="000000"/>
                <w:kern w:val="0"/>
                <w:sz w:val="22"/>
                <w:szCs w:val="22"/>
              </w:rPr>
            </w:pPr>
            <w:r>
              <w:rPr>
                <w:rFonts w:hint="eastAsia" w:ascii="仿宋_GB2312" w:hAnsi="宋体" w:eastAsia="仿宋_GB2312" w:cs="宋体"/>
                <w:color w:val="000000"/>
                <w:kern w:val="0"/>
                <w:sz w:val="22"/>
                <w:szCs w:val="22"/>
              </w:rPr>
              <w:t>“定额公用经费”项目</w:t>
            </w:r>
            <w:r>
              <w:rPr>
                <w:rFonts w:hint="eastAsia" w:ascii="仿宋_GB2312" w:hAnsi="仿宋_GB2312" w:eastAsia="仿宋_GB2312" w:cs="仿宋_GB2312"/>
                <w:bCs/>
                <w:szCs w:val="32"/>
              </w:rPr>
              <w:t>保障了分局机关及3个基层所的办公正常运行支出，自评得分为100分。</w:t>
            </w:r>
          </w:p>
        </w:tc>
      </w:tr>
      <w:tr>
        <w:tblPrEx>
          <w:tblCellMar>
            <w:top w:w="0" w:type="dxa"/>
            <w:left w:w="108" w:type="dxa"/>
            <w:bottom w:w="0" w:type="dxa"/>
            <w:right w:w="108" w:type="dxa"/>
          </w:tblCellMar>
        </w:tblPrEx>
        <w:trPr>
          <w:trHeight w:val="574" w:hRule="atLeast"/>
        </w:trPr>
        <w:tc>
          <w:tcPr>
            <w:tcW w:w="678"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存在问题</w:t>
            </w:r>
          </w:p>
        </w:tc>
        <w:tc>
          <w:tcPr>
            <w:tcW w:w="13371" w:type="dxa"/>
            <w:gridSpan w:val="12"/>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无。</w:t>
            </w:r>
          </w:p>
        </w:tc>
      </w:tr>
      <w:tr>
        <w:tblPrEx>
          <w:tblCellMar>
            <w:top w:w="0" w:type="dxa"/>
            <w:left w:w="108" w:type="dxa"/>
            <w:bottom w:w="0" w:type="dxa"/>
            <w:right w:w="108" w:type="dxa"/>
          </w:tblCellMar>
        </w:tblPrEx>
        <w:trPr>
          <w:trHeight w:val="634" w:hRule="atLeast"/>
        </w:trPr>
        <w:tc>
          <w:tcPr>
            <w:tcW w:w="678"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改进措施</w:t>
            </w:r>
          </w:p>
        </w:tc>
        <w:tc>
          <w:tcPr>
            <w:tcW w:w="13371" w:type="dxa"/>
            <w:gridSpan w:val="12"/>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无。</w:t>
            </w:r>
          </w:p>
        </w:tc>
      </w:tr>
      <w:tr>
        <w:tblPrEx>
          <w:tblCellMar>
            <w:top w:w="0" w:type="dxa"/>
            <w:left w:w="108" w:type="dxa"/>
            <w:bottom w:w="0" w:type="dxa"/>
            <w:right w:w="108" w:type="dxa"/>
          </w:tblCellMar>
        </w:tblPrEx>
        <w:trPr>
          <w:trHeight w:val="481" w:hRule="atLeast"/>
        </w:trPr>
        <w:tc>
          <w:tcPr>
            <w:tcW w:w="652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仿宋_GB2312" w:hAnsi="黑体" w:eastAsia="仿宋_GB2312" w:cs="宋体"/>
                <w:color w:val="000000"/>
                <w:kern w:val="0"/>
                <w:sz w:val="22"/>
                <w:szCs w:val="22"/>
              </w:rPr>
            </w:pPr>
            <w:r>
              <w:rPr>
                <w:rFonts w:hint="eastAsia" w:ascii="仿宋_GB2312" w:hAnsi="黑体" w:eastAsia="仿宋_GB2312" w:cs="宋体"/>
                <w:color w:val="000000"/>
                <w:kern w:val="0"/>
                <w:sz w:val="22"/>
                <w:szCs w:val="22"/>
              </w:rPr>
              <w:t>项目负责人：廖红</w:t>
            </w:r>
          </w:p>
        </w:tc>
        <w:tc>
          <w:tcPr>
            <w:tcW w:w="7525" w:type="dxa"/>
            <w:gridSpan w:val="8"/>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仿宋_GB2312" w:hAnsi="黑体" w:eastAsia="仿宋_GB2312" w:cs="宋体"/>
                <w:color w:val="000000"/>
                <w:kern w:val="0"/>
                <w:sz w:val="22"/>
                <w:szCs w:val="22"/>
              </w:rPr>
            </w:pPr>
            <w:r>
              <w:rPr>
                <w:rFonts w:hint="eastAsia" w:ascii="仿宋_GB2312" w:hAnsi="黑体" w:eastAsia="仿宋_GB2312" w:cs="宋体"/>
                <w:color w:val="000000"/>
                <w:kern w:val="0"/>
                <w:sz w:val="22"/>
                <w:szCs w:val="22"/>
              </w:rPr>
              <w:t>财务负责人：岳林</w:t>
            </w:r>
          </w:p>
        </w:tc>
      </w:tr>
    </w:tbl>
    <w:p>
      <w:pPr>
        <w:pStyle w:val="2"/>
        <w:spacing w:before="93"/>
        <w:rPr>
          <w:sz w:val="32"/>
          <w:szCs w:val="28"/>
        </w:rPr>
      </w:pPr>
      <w:r>
        <w:rPr>
          <w:rFonts w:hint="eastAsia"/>
          <w:sz w:val="32"/>
          <w:szCs w:val="28"/>
        </w:rPr>
        <w:t>附件5</w:t>
      </w:r>
    </w:p>
    <w:tbl>
      <w:tblPr>
        <w:tblStyle w:val="15"/>
        <w:tblW w:w="13820" w:type="dxa"/>
        <w:tblInd w:w="93" w:type="dxa"/>
        <w:tblLayout w:type="autofit"/>
        <w:tblCellMar>
          <w:top w:w="0" w:type="dxa"/>
          <w:left w:w="108" w:type="dxa"/>
          <w:bottom w:w="0" w:type="dxa"/>
          <w:right w:w="108" w:type="dxa"/>
        </w:tblCellMar>
      </w:tblPr>
      <w:tblGrid>
        <w:gridCol w:w="679"/>
        <w:gridCol w:w="2054"/>
        <w:gridCol w:w="1393"/>
        <w:gridCol w:w="2020"/>
        <w:gridCol w:w="520"/>
        <w:gridCol w:w="153"/>
        <w:gridCol w:w="766"/>
        <w:gridCol w:w="794"/>
        <w:gridCol w:w="783"/>
        <w:gridCol w:w="492"/>
        <w:gridCol w:w="607"/>
        <w:gridCol w:w="102"/>
        <w:gridCol w:w="709"/>
        <w:gridCol w:w="2748"/>
      </w:tblGrid>
      <w:tr>
        <w:tblPrEx>
          <w:tblCellMar>
            <w:top w:w="0" w:type="dxa"/>
            <w:left w:w="108" w:type="dxa"/>
            <w:bottom w:w="0" w:type="dxa"/>
            <w:right w:w="108" w:type="dxa"/>
          </w:tblCellMar>
        </w:tblPrEx>
        <w:trPr>
          <w:trHeight w:val="640" w:hRule="atLeast"/>
        </w:trPr>
        <w:tc>
          <w:tcPr>
            <w:tcW w:w="13820" w:type="dxa"/>
            <w:gridSpan w:val="14"/>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b/>
                <w:bCs/>
                <w:color w:val="000000"/>
                <w:kern w:val="0"/>
                <w:sz w:val="22"/>
                <w:szCs w:val="22"/>
              </w:rPr>
            </w:pPr>
            <w:r>
              <w:rPr>
                <w:rFonts w:hint="eastAsia" w:ascii="仿宋_GB2312" w:hAnsi="宋体" w:eastAsia="仿宋_GB2312" w:cs="宋体"/>
                <w:b/>
                <w:bCs/>
                <w:color w:val="000000"/>
                <w:kern w:val="0"/>
                <w:sz w:val="22"/>
                <w:szCs w:val="22"/>
              </w:rPr>
              <w:t>部门预算项目支出绩效自评表（2022年度）</w:t>
            </w:r>
          </w:p>
        </w:tc>
      </w:tr>
      <w:tr>
        <w:tblPrEx>
          <w:tblCellMar>
            <w:top w:w="0" w:type="dxa"/>
            <w:left w:w="108" w:type="dxa"/>
            <w:bottom w:w="0" w:type="dxa"/>
            <w:right w:w="108" w:type="dxa"/>
          </w:tblCellMar>
        </w:tblPrEx>
        <w:trPr>
          <w:trHeight w:val="548" w:hRule="atLeast"/>
        </w:trPr>
        <w:tc>
          <w:tcPr>
            <w:tcW w:w="27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项目名称</w:t>
            </w:r>
          </w:p>
        </w:tc>
        <w:tc>
          <w:tcPr>
            <w:tcW w:w="11087" w:type="dxa"/>
            <w:gridSpan w:val="12"/>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51080021T000000050898-市场综合监管专项</w:t>
            </w:r>
          </w:p>
        </w:tc>
      </w:tr>
      <w:tr>
        <w:tblPrEx>
          <w:tblCellMar>
            <w:top w:w="0" w:type="dxa"/>
            <w:left w:w="108" w:type="dxa"/>
            <w:bottom w:w="0" w:type="dxa"/>
            <w:right w:w="108" w:type="dxa"/>
          </w:tblCellMar>
        </w:tblPrEx>
        <w:trPr>
          <w:trHeight w:val="514" w:hRule="atLeast"/>
        </w:trPr>
        <w:tc>
          <w:tcPr>
            <w:tcW w:w="2733" w:type="dxa"/>
            <w:gridSpan w:val="2"/>
            <w:tcBorders>
              <w:top w:val="single" w:color="000000" w:sz="4" w:space="0"/>
              <w:left w:val="single" w:color="000000" w:sz="4" w:space="0"/>
              <w:bottom w:val="single" w:color="auto" w:sz="4" w:space="0"/>
              <w:right w:val="single" w:color="000000"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主管部门</w:t>
            </w:r>
          </w:p>
        </w:tc>
        <w:tc>
          <w:tcPr>
            <w:tcW w:w="6429" w:type="dxa"/>
            <w:gridSpan w:val="7"/>
            <w:tcBorders>
              <w:top w:val="single" w:color="000000" w:sz="4" w:space="0"/>
              <w:left w:val="nil"/>
              <w:bottom w:val="single" w:color="auto" w:sz="4" w:space="0"/>
              <w:right w:val="single" w:color="000000"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广元市市场监督管理局部门</w:t>
            </w:r>
          </w:p>
        </w:tc>
        <w:tc>
          <w:tcPr>
            <w:tcW w:w="1099" w:type="dxa"/>
            <w:gridSpan w:val="2"/>
            <w:tcBorders>
              <w:top w:val="nil"/>
              <w:left w:val="nil"/>
              <w:bottom w:val="single" w:color="auto" w:sz="4" w:space="0"/>
              <w:right w:val="nil"/>
            </w:tcBorders>
            <w:shd w:val="clear" w:color="auto" w:fill="auto"/>
            <w:vAlign w:val="center"/>
          </w:tcPr>
          <w:p>
            <w:pPr>
              <w:widowControl/>
              <w:jc w:val="left"/>
              <w:rPr>
                <w:rFonts w:ascii="仿宋_GB2312" w:hAnsi="黑体" w:eastAsia="仿宋_GB2312" w:cs="宋体"/>
                <w:color w:val="000000"/>
                <w:kern w:val="0"/>
                <w:sz w:val="22"/>
                <w:szCs w:val="22"/>
              </w:rPr>
            </w:pPr>
            <w:r>
              <w:rPr>
                <w:rFonts w:hint="eastAsia" w:ascii="仿宋_GB2312" w:hAnsi="黑体" w:eastAsia="仿宋_GB2312" w:cs="宋体"/>
                <w:color w:val="000000"/>
                <w:kern w:val="0"/>
                <w:sz w:val="22"/>
                <w:szCs w:val="22"/>
              </w:rPr>
              <w:t>实施单位（盖章）</w:t>
            </w:r>
          </w:p>
        </w:tc>
        <w:tc>
          <w:tcPr>
            <w:tcW w:w="3559" w:type="dxa"/>
            <w:gridSpan w:val="3"/>
            <w:tcBorders>
              <w:top w:val="single" w:color="000000" w:sz="4" w:space="0"/>
              <w:left w:val="single" w:color="000000" w:sz="4" w:space="0"/>
              <w:bottom w:val="single" w:color="auto"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广元市市场监督管理局广元经开区分局</w:t>
            </w:r>
          </w:p>
        </w:tc>
      </w:tr>
      <w:tr>
        <w:trPr>
          <w:trHeight w:val="496" w:hRule="atLeast"/>
        </w:trPr>
        <w:tc>
          <w:tcPr>
            <w:tcW w:w="67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项目基本情况</w:t>
            </w:r>
          </w:p>
        </w:tc>
        <w:tc>
          <w:tcPr>
            <w:tcW w:w="205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1.项目年度目标完成情况</w:t>
            </w:r>
          </w:p>
        </w:tc>
        <w:tc>
          <w:tcPr>
            <w:tcW w:w="6429" w:type="dxa"/>
            <w:gridSpan w:val="7"/>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项目年度目标</w:t>
            </w:r>
          </w:p>
        </w:tc>
        <w:tc>
          <w:tcPr>
            <w:tcW w:w="4658"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黑体" w:eastAsia="仿宋_GB2312" w:cs="宋体"/>
                <w:color w:val="000000"/>
                <w:kern w:val="0"/>
                <w:sz w:val="22"/>
                <w:szCs w:val="22"/>
              </w:rPr>
            </w:pPr>
            <w:r>
              <w:rPr>
                <w:rFonts w:hint="eastAsia" w:ascii="仿宋_GB2312" w:hAnsi="黑体" w:eastAsia="仿宋_GB2312" w:cs="宋体"/>
                <w:color w:val="000000"/>
                <w:kern w:val="0"/>
                <w:sz w:val="22"/>
                <w:szCs w:val="22"/>
              </w:rPr>
              <w:t>年度目标完成情况</w:t>
            </w:r>
          </w:p>
        </w:tc>
      </w:tr>
      <w:tr>
        <w:tblPrEx>
          <w:tblCellMar>
            <w:top w:w="0" w:type="dxa"/>
            <w:left w:w="108" w:type="dxa"/>
            <w:bottom w:w="0" w:type="dxa"/>
            <w:right w:w="108" w:type="dxa"/>
          </w:tblCellMar>
        </w:tblPrEx>
        <w:trPr>
          <w:trHeight w:val="2487"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5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6429" w:type="dxa"/>
            <w:gridSpan w:val="7"/>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加强市场主体信用监督管理，营造公平诚信的市场和社会环境。注册登记商事制度改革，优化营商环境，提高监管效能，增强经济发展内生动力。非公党建工作，促进非公有制企业的健康发展。开展安全形势教育和执法检查，遏制和减少事故发生。          2、负责辖区内食品（含特殊食品）、药械化、特种设备安全生产经营安全监管。加强冷链食品监管，监督指导企业常态化防疫工作。</w:t>
            </w:r>
            <w:r>
              <w:rPr>
                <w:rFonts w:hint="eastAsia" w:ascii="仿宋_GB2312" w:hAnsi="宋体" w:eastAsia="仿宋_GB2312" w:cs="宋体"/>
                <w:color w:val="000000"/>
                <w:kern w:val="0"/>
                <w:sz w:val="22"/>
                <w:szCs w:val="22"/>
              </w:rPr>
              <w:br w:type="textWrapping"/>
            </w:r>
            <w:r>
              <w:rPr>
                <w:rFonts w:hint="eastAsia" w:ascii="仿宋_GB2312" w:hAnsi="宋体" w:eastAsia="仿宋_GB2312" w:cs="宋体"/>
                <w:color w:val="000000"/>
                <w:kern w:val="0"/>
                <w:sz w:val="22"/>
                <w:szCs w:val="22"/>
              </w:rPr>
              <w:t>3、综合协调指导食品工作、药械化工作、培育知名品牌，计量，认证工作。</w:t>
            </w:r>
            <w:r>
              <w:rPr>
                <w:rFonts w:hint="eastAsia" w:ascii="仿宋_GB2312" w:hAnsi="宋体" w:eastAsia="仿宋_GB2312" w:cs="宋体"/>
                <w:color w:val="000000"/>
                <w:kern w:val="0"/>
                <w:sz w:val="22"/>
                <w:szCs w:val="22"/>
              </w:rPr>
              <w:br w:type="textWrapping"/>
            </w:r>
            <w:r>
              <w:rPr>
                <w:rFonts w:hint="eastAsia" w:ascii="仿宋_GB2312" w:hAnsi="宋体" w:eastAsia="仿宋_GB2312" w:cs="宋体"/>
                <w:color w:val="000000"/>
                <w:kern w:val="0"/>
                <w:sz w:val="22"/>
                <w:szCs w:val="22"/>
              </w:rPr>
              <w:t>4、开展食品安全宣传周、药品安全宣传月、5.25国际爱肤日、质量安全宣传月等宣传活动。</w:t>
            </w:r>
            <w:r>
              <w:rPr>
                <w:rFonts w:hint="eastAsia" w:ascii="仿宋_GB2312" w:hAnsi="宋体" w:eastAsia="仿宋_GB2312" w:cs="宋体"/>
                <w:color w:val="000000"/>
                <w:kern w:val="0"/>
                <w:sz w:val="22"/>
                <w:szCs w:val="22"/>
              </w:rPr>
              <w:br w:type="textWrapping"/>
            </w:r>
            <w:r>
              <w:rPr>
                <w:rFonts w:hint="eastAsia" w:ascii="仿宋_GB2312" w:hAnsi="宋体" w:eastAsia="仿宋_GB2312" w:cs="宋体"/>
                <w:color w:val="000000"/>
                <w:kern w:val="0"/>
                <w:sz w:val="22"/>
                <w:szCs w:val="22"/>
              </w:rPr>
              <w:t>5、关于食品、药械化各个专项整治工作，标准化管理工作。</w:t>
            </w:r>
          </w:p>
        </w:tc>
        <w:tc>
          <w:tcPr>
            <w:tcW w:w="4658"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黑体" w:eastAsia="仿宋_GB2312" w:cs="宋体"/>
                <w:color w:val="000000"/>
                <w:kern w:val="0"/>
                <w:sz w:val="22"/>
                <w:szCs w:val="22"/>
              </w:rPr>
            </w:pPr>
            <w:r>
              <w:rPr>
                <w:rFonts w:hint="eastAsia" w:ascii="仿宋_GB2312" w:hAnsi="黑体" w:eastAsia="仿宋_GB2312" w:cs="宋体"/>
                <w:color w:val="000000"/>
                <w:kern w:val="0"/>
                <w:sz w:val="22"/>
                <w:szCs w:val="22"/>
              </w:rPr>
              <w:t>营造了更加公平诚信的社会环境，保证区域内无重大事故发生，保证了人民生命财产健康安全。进一步优化了营商环境，坚守了“三大”安全底线，切实保障民生实事，保障了消费者合法权益，人民群众满意度大幅攀升。</w:t>
            </w:r>
          </w:p>
        </w:tc>
      </w:tr>
      <w:tr>
        <w:tblPrEx>
          <w:tblCellMar>
            <w:top w:w="0" w:type="dxa"/>
            <w:left w:w="108" w:type="dxa"/>
            <w:bottom w:w="0" w:type="dxa"/>
            <w:right w:w="108" w:type="dxa"/>
          </w:tblCellMar>
        </w:tblPrEx>
        <w:trPr>
          <w:trHeight w:val="1350"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5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2.项目实施内容及过程概述</w:t>
            </w:r>
          </w:p>
        </w:tc>
        <w:tc>
          <w:tcPr>
            <w:tcW w:w="11087" w:type="dxa"/>
            <w:gridSpan w:val="1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2022年市场综合监管专项项目由主体股、食药股、质监股牵头负责工作方案规划、组织、指导市场主体监管、食药械化、质量监管及疫情防控等工作的实施。通过制定专项工作计划方案、确定工作目标、明确组织实施措施和策略，有效地指导工作的正常有序开展。</w:t>
            </w:r>
          </w:p>
        </w:tc>
      </w:tr>
      <w:tr>
        <w:tblPrEx>
          <w:tblCellMar>
            <w:top w:w="0" w:type="dxa"/>
            <w:left w:w="108" w:type="dxa"/>
            <w:bottom w:w="0" w:type="dxa"/>
            <w:right w:w="108" w:type="dxa"/>
          </w:tblCellMar>
        </w:tblPrEx>
        <w:trPr>
          <w:trHeight w:val="360" w:hRule="atLeast"/>
        </w:trPr>
        <w:tc>
          <w:tcPr>
            <w:tcW w:w="67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预算执行情况（10分）</w:t>
            </w:r>
          </w:p>
        </w:tc>
        <w:tc>
          <w:tcPr>
            <w:tcW w:w="205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年度预算数（万元）</w:t>
            </w:r>
          </w:p>
        </w:tc>
        <w:tc>
          <w:tcPr>
            <w:tcW w:w="139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年初预算</w:t>
            </w:r>
          </w:p>
        </w:tc>
        <w:tc>
          <w:tcPr>
            <w:tcW w:w="20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调整后预算数</w:t>
            </w:r>
          </w:p>
        </w:tc>
        <w:tc>
          <w:tcPr>
            <w:tcW w:w="2233"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预算执行数</w:t>
            </w:r>
          </w:p>
        </w:tc>
        <w:tc>
          <w:tcPr>
            <w:tcW w:w="127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预算执行率</w:t>
            </w:r>
          </w:p>
        </w:tc>
        <w:tc>
          <w:tcPr>
            <w:tcW w:w="70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权重</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得分</w:t>
            </w:r>
          </w:p>
        </w:tc>
        <w:tc>
          <w:tcPr>
            <w:tcW w:w="274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原因</w:t>
            </w:r>
          </w:p>
        </w:tc>
      </w:tr>
      <w:tr>
        <w:trPr>
          <w:trHeight w:val="640"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5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总额</w:t>
            </w:r>
          </w:p>
        </w:tc>
        <w:tc>
          <w:tcPr>
            <w:tcW w:w="139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24.15</w:t>
            </w:r>
          </w:p>
        </w:tc>
        <w:tc>
          <w:tcPr>
            <w:tcW w:w="20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24.15</w:t>
            </w:r>
          </w:p>
        </w:tc>
        <w:tc>
          <w:tcPr>
            <w:tcW w:w="2233"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14.11</w:t>
            </w:r>
          </w:p>
        </w:tc>
        <w:tc>
          <w:tcPr>
            <w:tcW w:w="127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58.43%</w:t>
            </w:r>
          </w:p>
        </w:tc>
        <w:tc>
          <w:tcPr>
            <w:tcW w:w="70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　</w:t>
            </w:r>
          </w:p>
        </w:tc>
        <w:tc>
          <w:tcPr>
            <w:tcW w:w="274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黑体" w:eastAsia="仿宋_GB2312" w:cs="宋体"/>
                <w:iCs/>
                <w:color w:val="000000"/>
                <w:kern w:val="0"/>
                <w:sz w:val="22"/>
                <w:szCs w:val="22"/>
              </w:rPr>
            </w:pPr>
            <w:r>
              <w:rPr>
                <w:rFonts w:hint="eastAsia" w:ascii="仿宋_GB2312" w:hAnsi="黑体" w:eastAsia="仿宋_GB2312" w:cs="宋体"/>
                <w:iCs/>
                <w:color w:val="000000"/>
                <w:kern w:val="0"/>
                <w:sz w:val="22"/>
                <w:szCs w:val="22"/>
              </w:rPr>
              <w:t>预算执行率未达90%的原因：2021年、2022年我单位工作重心转向市场的疫情防控、冷链食品监管工作，相关业务工作计划未能正常开展，加之上年结转项目资金6.6万在本年实现支出，因此2022年资金使用进度较慢。</w:t>
            </w:r>
          </w:p>
        </w:tc>
      </w:tr>
      <w:tr>
        <w:tblPrEx>
          <w:tblCellMar>
            <w:top w:w="0" w:type="dxa"/>
            <w:left w:w="108" w:type="dxa"/>
            <w:bottom w:w="0" w:type="dxa"/>
            <w:right w:w="108" w:type="dxa"/>
          </w:tblCellMar>
        </w:tblPrEx>
        <w:trPr>
          <w:trHeight w:val="661" w:hRule="atLeast"/>
        </w:trPr>
        <w:tc>
          <w:tcPr>
            <w:tcW w:w="679" w:type="dxa"/>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ascii="仿宋_GB2312" w:hAnsi="宋体" w:eastAsia="仿宋_GB2312" w:cs="宋体"/>
                <w:color w:val="000000"/>
                <w:kern w:val="0"/>
                <w:sz w:val="22"/>
                <w:szCs w:val="22"/>
              </w:rPr>
            </w:pPr>
          </w:p>
        </w:tc>
        <w:tc>
          <w:tcPr>
            <w:tcW w:w="2054" w:type="dxa"/>
            <w:tcBorders>
              <w:top w:val="single" w:color="auto" w:sz="4" w:space="0"/>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其中：财政资金</w:t>
            </w:r>
          </w:p>
        </w:tc>
        <w:tc>
          <w:tcPr>
            <w:tcW w:w="1393" w:type="dxa"/>
            <w:tcBorders>
              <w:top w:val="single" w:color="auto" w:sz="4" w:space="0"/>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17.55</w:t>
            </w:r>
          </w:p>
        </w:tc>
        <w:tc>
          <w:tcPr>
            <w:tcW w:w="2020" w:type="dxa"/>
            <w:tcBorders>
              <w:top w:val="single" w:color="auto" w:sz="4" w:space="0"/>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17.55</w:t>
            </w:r>
          </w:p>
        </w:tc>
        <w:tc>
          <w:tcPr>
            <w:tcW w:w="2233" w:type="dxa"/>
            <w:gridSpan w:val="4"/>
            <w:tcBorders>
              <w:top w:val="single" w:color="auto" w:sz="4" w:space="0"/>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7.51</w:t>
            </w:r>
          </w:p>
        </w:tc>
        <w:tc>
          <w:tcPr>
            <w:tcW w:w="1275" w:type="dxa"/>
            <w:gridSpan w:val="2"/>
            <w:tcBorders>
              <w:top w:val="single" w:color="auto" w:sz="4" w:space="0"/>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42.81%</w:t>
            </w:r>
          </w:p>
        </w:tc>
        <w:tc>
          <w:tcPr>
            <w:tcW w:w="709" w:type="dxa"/>
            <w:gridSpan w:val="2"/>
            <w:tcBorders>
              <w:top w:val="single" w:color="auto" w:sz="4" w:space="0"/>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709" w:type="dxa"/>
            <w:tcBorders>
              <w:top w:val="single" w:color="auto" w:sz="4" w:space="0"/>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2748" w:type="dxa"/>
            <w:vMerge w:val="continue"/>
            <w:tcBorders>
              <w:top w:val="single" w:color="auto" w:sz="4" w:space="0"/>
              <w:left w:val="single" w:color="000000" w:sz="4" w:space="0"/>
              <w:bottom w:val="single" w:color="000000" w:sz="4" w:space="0"/>
              <w:right w:val="single" w:color="auto" w:sz="4" w:space="0"/>
            </w:tcBorders>
            <w:vAlign w:val="center"/>
          </w:tcPr>
          <w:p>
            <w:pPr>
              <w:widowControl/>
              <w:jc w:val="left"/>
              <w:rPr>
                <w:rFonts w:ascii="仿宋_GB2312" w:hAnsi="黑体" w:eastAsia="仿宋_GB2312" w:cs="宋体"/>
                <w:iCs/>
                <w:color w:val="000000"/>
                <w:kern w:val="0"/>
                <w:sz w:val="22"/>
                <w:szCs w:val="22"/>
              </w:rPr>
            </w:pPr>
          </w:p>
        </w:tc>
      </w:tr>
      <w:tr>
        <w:tblPrEx>
          <w:tblCellMar>
            <w:top w:w="0" w:type="dxa"/>
            <w:left w:w="108" w:type="dxa"/>
            <w:bottom w:w="0" w:type="dxa"/>
            <w:right w:w="108" w:type="dxa"/>
          </w:tblCellMar>
        </w:tblPrEx>
        <w:trPr>
          <w:trHeight w:val="653" w:hRule="atLeast"/>
        </w:trPr>
        <w:tc>
          <w:tcPr>
            <w:tcW w:w="679" w:type="dxa"/>
            <w:vMerge w:val="continue"/>
            <w:tcBorders>
              <w:top w:val="nil"/>
              <w:left w:val="single" w:color="auto" w:sz="4" w:space="0"/>
              <w:bottom w:val="single" w:color="000000" w:sz="4" w:space="0"/>
              <w:right w:val="single" w:color="000000" w:sz="4" w:space="0"/>
            </w:tcBorders>
            <w:vAlign w:val="center"/>
          </w:tcPr>
          <w:p>
            <w:pPr>
              <w:widowControl/>
              <w:jc w:val="left"/>
              <w:rPr>
                <w:rFonts w:ascii="仿宋_GB2312" w:hAnsi="宋体" w:eastAsia="仿宋_GB2312" w:cs="宋体"/>
                <w:color w:val="000000"/>
                <w:kern w:val="0"/>
                <w:sz w:val="22"/>
                <w:szCs w:val="22"/>
              </w:rPr>
            </w:pPr>
          </w:p>
        </w:tc>
        <w:tc>
          <w:tcPr>
            <w:tcW w:w="2054"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财政专户管理资金</w:t>
            </w:r>
          </w:p>
        </w:tc>
        <w:tc>
          <w:tcPr>
            <w:tcW w:w="1393"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0.00</w:t>
            </w:r>
          </w:p>
        </w:tc>
        <w:tc>
          <w:tcPr>
            <w:tcW w:w="2020"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0.00</w:t>
            </w:r>
          </w:p>
        </w:tc>
        <w:tc>
          <w:tcPr>
            <w:tcW w:w="2233"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0.00</w:t>
            </w:r>
          </w:p>
        </w:tc>
        <w:tc>
          <w:tcPr>
            <w:tcW w:w="1275"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0.00%</w:t>
            </w:r>
          </w:p>
        </w:tc>
        <w:tc>
          <w:tcPr>
            <w:tcW w:w="709"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709"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2748" w:type="dxa"/>
            <w:vMerge w:val="continue"/>
            <w:tcBorders>
              <w:top w:val="nil"/>
              <w:left w:val="single" w:color="000000" w:sz="4" w:space="0"/>
              <w:bottom w:val="single" w:color="000000" w:sz="4" w:space="0"/>
              <w:right w:val="single" w:color="auto" w:sz="4" w:space="0"/>
            </w:tcBorders>
            <w:vAlign w:val="center"/>
          </w:tcPr>
          <w:p>
            <w:pPr>
              <w:widowControl/>
              <w:jc w:val="left"/>
              <w:rPr>
                <w:rFonts w:ascii="仿宋_GB2312" w:hAnsi="黑体" w:eastAsia="仿宋_GB2312" w:cs="宋体"/>
                <w:iCs/>
                <w:color w:val="000000"/>
                <w:kern w:val="0"/>
                <w:sz w:val="22"/>
                <w:szCs w:val="22"/>
              </w:rPr>
            </w:pPr>
          </w:p>
        </w:tc>
      </w:tr>
      <w:tr>
        <w:tblPrEx>
          <w:tblCellMar>
            <w:top w:w="0" w:type="dxa"/>
            <w:left w:w="108" w:type="dxa"/>
            <w:bottom w:w="0" w:type="dxa"/>
            <w:right w:w="108" w:type="dxa"/>
          </w:tblCellMar>
        </w:tblPrEx>
        <w:trPr>
          <w:trHeight w:val="626" w:hRule="atLeast"/>
        </w:trPr>
        <w:tc>
          <w:tcPr>
            <w:tcW w:w="679" w:type="dxa"/>
            <w:vMerge w:val="continue"/>
            <w:tcBorders>
              <w:top w:val="nil"/>
              <w:left w:val="single" w:color="auto" w:sz="4" w:space="0"/>
              <w:bottom w:val="single" w:color="000000" w:sz="4" w:space="0"/>
              <w:right w:val="single" w:color="000000" w:sz="4" w:space="0"/>
            </w:tcBorders>
            <w:vAlign w:val="center"/>
          </w:tcPr>
          <w:p>
            <w:pPr>
              <w:widowControl/>
              <w:jc w:val="left"/>
              <w:rPr>
                <w:rFonts w:ascii="仿宋_GB2312" w:hAnsi="宋体" w:eastAsia="仿宋_GB2312" w:cs="宋体"/>
                <w:color w:val="000000"/>
                <w:kern w:val="0"/>
                <w:sz w:val="22"/>
                <w:szCs w:val="22"/>
              </w:rPr>
            </w:pPr>
          </w:p>
        </w:tc>
        <w:tc>
          <w:tcPr>
            <w:tcW w:w="2054"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单位资金</w:t>
            </w:r>
          </w:p>
        </w:tc>
        <w:tc>
          <w:tcPr>
            <w:tcW w:w="1393"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0.00</w:t>
            </w:r>
          </w:p>
        </w:tc>
        <w:tc>
          <w:tcPr>
            <w:tcW w:w="2020"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0.00</w:t>
            </w:r>
          </w:p>
        </w:tc>
        <w:tc>
          <w:tcPr>
            <w:tcW w:w="2233"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0.00</w:t>
            </w:r>
          </w:p>
        </w:tc>
        <w:tc>
          <w:tcPr>
            <w:tcW w:w="1275"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0.00%</w:t>
            </w:r>
          </w:p>
        </w:tc>
        <w:tc>
          <w:tcPr>
            <w:tcW w:w="709"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709"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2748" w:type="dxa"/>
            <w:vMerge w:val="continue"/>
            <w:tcBorders>
              <w:top w:val="nil"/>
              <w:left w:val="single" w:color="000000" w:sz="4" w:space="0"/>
              <w:bottom w:val="single" w:color="000000" w:sz="4" w:space="0"/>
              <w:right w:val="single" w:color="auto" w:sz="4" w:space="0"/>
            </w:tcBorders>
            <w:vAlign w:val="center"/>
          </w:tcPr>
          <w:p>
            <w:pPr>
              <w:widowControl/>
              <w:jc w:val="left"/>
              <w:rPr>
                <w:rFonts w:ascii="仿宋_GB2312" w:hAnsi="黑体" w:eastAsia="仿宋_GB2312" w:cs="宋体"/>
                <w:iCs/>
                <w:color w:val="000000"/>
                <w:kern w:val="0"/>
                <w:sz w:val="22"/>
                <w:szCs w:val="22"/>
              </w:rPr>
            </w:pPr>
          </w:p>
        </w:tc>
      </w:tr>
      <w:tr>
        <w:trPr>
          <w:trHeight w:val="564" w:hRule="atLeast"/>
        </w:trPr>
        <w:tc>
          <w:tcPr>
            <w:tcW w:w="679" w:type="dxa"/>
            <w:vMerge w:val="continue"/>
            <w:tcBorders>
              <w:top w:val="nil"/>
              <w:left w:val="single" w:color="auto" w:sz="4" w:space="0"/>
              <w:bottom w:val="single" w:color="auto" w:sz="4" w:space="0"/>
              <w:right w:val="single" w:color="000000" w:sz="4" w:space="0"/>
            </w:tcBorders>
            <w:vAlign w:val="center"/>
          </w:tcPr>
          <w:p>
            <w:pPr>
              <w:widowControl/>
              <w:jc w:val="left"/>
              <w:rPr>
                <w:rFonts w:ascii="仿宋_GB2312" w:hAnsi="宋体" w:eastAsia="仿宋_GB2312" w:cs="宋体"/>
                <w:color w:val="000000"/>
                <w:kern w:val="0"/>
                <w:sz w:val="22"/>
                <w:szCs w:val="22"/>
              </w:rPr>
            </w:pPr>
          </w:p>
        </w:tc>
        <w:tc>
          <w:tcPr>
            <w:tcW w:w="2054" w:type="dxa"/>
            <w:tcBorders>
              <w:top w:val="nil"/>
              <w:left w:val="nil"/>
              <w:bottom w:val="single" w:color="auto"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其他资金</w:t>
            </w:r>
          </w:p>
        </w:tc>
        <w:tc>
          <w:tcPr>
            <w:tcW w:w="1393" w:type="dxa"/>
            <w:tcBorders>
              <w:top w:val="nil"/>
              <w:left w:val="nil"/>
              <w:bottom w:val="single" w:color="auto" w:sz="4" w:space="0"/>
              <w:right w:val="single" w:color="000000"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6.60</w:t>
            </w:r>
          </w:p>
        </w:tc>
        <w:tc>
          <w:tcPr>
            <w:tcW w:w="2020" w:type="dxa"/>
            <w:tcBorders>
              <w:top w:val="nil"/>
              <w:left w:val="nil"/>
              <w:bottom w:val="single" w:color="auto" w:sz="4" w:space="0"/>
              <w:right w:val="single" w:color="000000"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6.60</w:t>
            </w:r>
          </w:p>
        </w:tc>
        <w:tc>
          <w:tcPr>
            <w:tcW w:w="2233" w:type="dxa"/>
            <w:gridSpan w:val="4"/>
            <w:tcBorders>
              <w:top w:val="single" w:color="000000" w:sz="4" w:space="0"/>
              <w:left w:val="nil"/>
              <w:bottom w:val="single" w:color="auto" w:sz="4" w:space="0"/>
              <w:right w:val="single" w:color="000000"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6.60</w:t>
            </w:r>
          </w:p>
        </w:tc>
        <w:tc>
          <w:tcPr>
            <w:tcW w:w="1275" w:type="dxa"/>
            <w:gridSpan w:val="2"/>
            <w:tcBorders>
              <w:top w:val="nil"/>
              <w:left w:val="nil"/>
              <w:bottom w:val="single" w:color="auto" w:sz="4" w:space="0"/>
              <w:right w:val="single" w:color="000000"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100.00%　</w:t>
            </w:r>
          </w:p>
        </w:tc>
        <w:tc>
          <w:tcPr>
            <w:tcW w:w="709" w:type="dxa"/>
            <w:gridSpan w:val="2"/>
            <w:tcBorders>
              <w:top w:val="nil"/>
              <w:left w:val="nil"/>
              <w:bottom w:val="single" w:color="auto"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709" w:type="dxa"/>
            <w:tcBorders>
              <w:top w:val="nil"/>
              <w:left w:val="nil"/>
              <w:bottom w:val="single" w:color="auto"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2748" w:type="dxa"/>
            <w:vMerge w:val="continue"/>
            <w:tcBorders>
              <w:top w:val="nil"/>
              <w:left w:val="single" w:color="000000" w:sz="4" w:space="0"/>
              <w:bottom w:val="single" w:color="auto" w:sz="4" w:space="0"/>
              <w:right w:val="single" w:color="auto" w:sz="4" w:space="0"/>
            </w:tcBorders>
            <w:vAlign w:val="center"/>
          </w:tcPr>
          <w:p>
            <w:pPr>
              <w:widowControl/>
              <w:jc w:val="left"/>
              <w:rPr>
                <w:rFonts w:ascii="仿宋_GB2312" w:hAnsi="黑体" w:eastAsia="仿宋_GB2312" w:cs="宋体"/>
                <w:iCs/>
                <w:color w:val="000000"/>
                <w:kern w:val="0"/>
                <w:sz w:val="22"/>
                <w:szCs w:val="22"/>
              </w:rPr>
            </w:pPr>
          </w:p>
        </w:tc>
      </w:tr>
      <w:tr>
        <w:tblPrEx>
          <w:tblCellMar>
            <w:top w:w="0" w:type="dxa"/>
            <w:left w:w="108" w:type="dxa"/>
            <w:bottom w:w="0" w:type="dxa"/>
            <w:right w:w="108" w:type="dxa"/>
          </w:tblCellMar>
        </w:tblPrEx>
        <w:trPr>
          <w:trHeight w:val="454" w:hRule="atLeast"/>
        </w:trPr>
        <w:tc>
          <w:tcPr>
            <w:tcW w:w="67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绩效指标（90分）</w:t>
            </w:r>
          </w:p>
        </w:tc>
        <w:tc>
          <w:tcPr>
            <w:tcW w:w="205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一级指标</w:t>
            </w:r>
          </w:p>
        </w:tc>
        <w:tc>
          <w:tcPr>
            <w:tcW w:w="139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二级指标</w:t>
            </w:r>
          </w:p>
        </w:tc>
        <w:tc>
          <w:tcPr>
            <w:tcW w:w="20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三级指标</w:t>
            </w:r>
          </w:p>
        </w:tc>
        <w:tc>
          <w:tcPr>
            <w:tcW w:w="673"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指标性质</w:t>
            </w:r>
          </w:p>
        </w:tc>
        <w:tc>
          <w:tcPr>
            <w:tcW w:w="76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指标值</w:t>
            </w:r>
          </w:p>
        </w:tc>
        <w:tc>
          <w:tcPr>
            <w:tcW w:w="79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度量单位</w:t>
            </w:r>
          </w:p>
        </w:tc>
        <w:tc>
          <w:tcPr>
            <w:tcW w:w="127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完成值</w:t>
            </w:r>
          </w:p>
        </w:tc>
        <w:tc>
          <w:tcPr>
            <w:tcW w:w="70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权重</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得分</w:t>
            </w:r>
          </w:p>
        </w:tc>
        <w:tc>
          <w:tcPr>
            <w:tcW w:w="274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未完成原因分析</w:t>
            </w:r>
          </w:p>
        </w:tc>
      </w:tr>
      <w:tr>
        <w:tblPrEx>
          <w:tblCellMar>
            <w:top w:w="0" w:type="dxa"/>
            <w:left w:w="108" w:type="dxa"/>
            <w:bottom w:w="0" w:type="dxa"/>
            <w:right w:w="108" w:type="dxa"/>
          </w:tblCellMar>
        </w:tblPrEx>
        <w:trPr>
          <w:trHeight w:val="454"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5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产出指标</w:t>
            </w:r>
          </w:p>
        </w:tc>
        <w:tc>
          <w:tcPr>
            <w:tcW w:w="1393"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数量指标</w:t>
            </w:r>
          </w:p>
        </w:tc>
        <w:tc>
          <w:tcPr>
            <w:tcW w:w="20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培育广元市市长质量奖企业</w:t>
            </w:r>
          </w:p>
        </w:tc>
        <w:tc>
          <w:tcPr>
            <w:tcW w:w="673"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76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4</w:t>
            </w:r>
          </w:p>
        </w:tc>
        <w:tc>
          <w:tcPr>
            <w:tcW w:w="79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家</w:t>
            </w:r>
          </w:p>
        </w:tc>
        <w:tc>
          <w:tcPr>
            <w:tcW w:w="127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4</w:t>
            </w:r>
          </w:p>
        </w:tc>
        <w:tc>
          <w:tcPr>
            <w:tcW w:w="70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3</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3　</w:t>
            </w:r>
          </w:p>
        </w:tc>
        <w:tc>
          <w:tcPr>
            <w:tcW w:w="274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r>
      <w:tr>
        <w:tblPrEx>
          <w:tblCellMar>
            <w:top w:w="0" w:type="dxa"/>
            <w:left w:w="108" w:type="dxa"/>
            <w:bottom w:w="0" w:type="dxa"/>
            <w:right w:w="108" w:type="dxa"/>
          </w:tblCellMar>
        </w:tblPrEx>
        <w:trPr>
          <w:trHeight w:val="506"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5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139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改、建非公党支部</w:t>
            </w:r>
          </w:p>
        </w:tc>
        <w:tc>
          <w:tcPr>
            <w:tcW w:w="673"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76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w:t>
            </w:r>
          </w:p>
        </w:tc>
        <w:tc>
          <w:tcPr>
            <w:tcW w:w="79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个</w:t>
            </w:r>
          </w:p>
        </w:tc>
        <w:tc>
          <w:tcPr>
            <w:tcW w:w="127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2</w:t>
            </w:r>
          </w:p>
        </w:tc>
        <w:tc>
          <w:tcPr>
            <w:tcW w:w="70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3</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3　</w:t>
            </w:r>
          </w:p>
        </w:tc>
        <w:tc>
          <w:tcPr>
            <w:tcW w:w="274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r>
      <w:tr>
        <w:trPr>
          <w:trHeight w:val="556"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5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139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双随机一公开检查</w:t>
            </w:r>
          </w:p>
        </w:tc>
        <w:tc>
          <w:tcPr>
            <w:tcW w:w="673"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76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4</w:t>
            </w:r>
          </w:p>
        </w:tc>
        <w:tc>
          <w:tcPr>
            <w:tcW w:w="79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次</w:t>
            </w:r>
          </w:p>
        </w:tc>
        <w:tc>
          <w:tcPr>
            <w:tcW w:w="127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4</w:t>
            </w:r>
          </w:p>
        </w:tc>
        <w:tc>
          <w:tcPr>
            <w:tcW w:w="70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3</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3　</w:t>
            </w:r>
          </w:p>
        </w:tc>
        <w:tc>
          <w:tcPr>
            <w:tcW w:w="274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r>
      <w:tr>
        <w:tblPrEx>
          <w:tblCellMar>
            <w:top w:w="0" w:type="dxa"/>
            <w:left w:w="108" w:type="dxa"/>
            <w:bottom w:w="0" w:type="dxa"/>
            <w:right w:w="108" w:type="dxa"/>
          </w:tblCellMar>
        </w:tblPrEx>
        <w:trPr>
          <w:trHeight w:val="550"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5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139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食药械化专项整治</w:t>
            </w:r>
          </w:p>
        </w:tc>
        <w:tc>
          <w:tcPr>
            <w:tcW w:w="673"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76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12</w:t>
            </w:r>
          </w:p>
        </w:tc>
        <w:tc>
          <w:tcPr>
            <w:tcW w:w="79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次</w:t>
            </w:r>
          </w:p>
        </w:tc>
        <w:tc>
          <w:tcPr>
            <w:tcW w:w="127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15</w:t>
            </w:r>
          </w:p>
        </w:tc>
        <w:tc>
          <w:tcPr>
            <w:tcW w:w="70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3</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3　</w:t>
            </w:r>
          </w:p>
        </w:tc>
        <w:tc>
          <w:tcPr>
            <w:tcW w:w="274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r>
      <w:tr>
        <w:tblPrEx>
          <w:tblCellMar>
            <w:top w:w="0" w:type="dxa"/>
            <w:left w:w="108" w:type="dxa"/>
            <w:bottom w:w="0" w:type="dxa"/>
            <w:right w:w="108" w:type="dxa"/>
          </w:tblCellMar>
        </w:tblPrEx>
        <w:trPr>
          <w:trHeight w:val="430"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5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139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食药械化抽检监测</w:t>
            </w:r>
          </w:p>
        </w:tc>
        <w:tc>
          <w:tcPr>
            <w:tcW w:w="673"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76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30</w:t>
            </w:r>
          </w:p>
        </w:tc>
        <w:tc>
          <w:tcPr>
            <w:tcW w:w="79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批次</w:t>
            </w:r>
          </w:p>
        </w:tc>
        <w:tc>
          <w:tcPr>
            <w:tcW w:w="127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151</w:t>
            </w:r>
          </w:p>
        </w:tc>
        <w:tc>
          <w:tcPr>
            <w:tcW w:w="70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3</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3　</w:t>
            </w:r>
          </w:p>
        </w:tc>
        <w:tc>
          <w:tcPr>
            <w:tcW w:w="274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r>
      <w:tr>
        <w:tblPrEx>
          <w:tblCellMar>
            <w:top w:w="0" w:type="dxa"/>
            <w:left w:w="108" w:type="dxa"/>
            <w:bottom w:w="0" w:type="dxa"/>
            <w:right w:w="108" w:type="dxa"/>
          </w:tblCellMar>
        </w:tblPrEx>
        <w:trPr>
          <w:trHeight w:val="454"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5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139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食药械化法律法规宣传、质量强区宣传各</w:t>
            </w:r>
          </w:p>
        </w:tc>
        <w:tc>
          <w:tcPr>
            <w:tcW w:w="673"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76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w:t>
            </w:r>
          </w:p>
        </w:tc>
        <w:tc>
          <w:tcPr>
            <w:tcW w:w="79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次</w:t>
            </w:r>
          </w:p>
        </w:tc>
        <w:tc>
          <w:tcPr>
            <w:tcW w:w="127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6</w:t>
            </w:r>
          </w:p>
        </w:tc>
        <w:tc>
          <w:tcPr>
            <w:tcW w:w="70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3</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3　</w:t>
            </w:r>
          </w:p>
        </w:tc>
        <w:tc>
          <w:tcPr>
            <w:tcW w:w="274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r>
      <w:tr>
        <w:trPr>
          <w:trHeight w:val="416"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5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139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应急救援演练</w:t>
            </w:r>
          </w:p>
        </w:tc>
        <w:tc>
          <w:tcPr>
            <w:tcW w:w="673"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76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w:t>
            </w:r>
          </w:p>
        </w:tc>
        <w:tc>
          <w:tcPr>
            <w:tcW w:w="79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次</w:t>
            </w:r>
          </w:p>
        </w:tc>
        <w:tc>
          <w:tcPr>
            <w:tcW w:w="127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1</w:t>
            </w:r>
          </w:p>
        </w:tc>
        <w:tc>
          <w:tcPr>
            <w:tcW w:w="70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3</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3　</w:t>
            </w:r>
          </w:p>
        </w:tc>
        <w:tc>
          <w:tcPr>
            <w:tcW w:w="274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r>
      <w:tr>
        <w:tblPrEx>
          <w:tblCellMar>
            <w:top w:w="0" w:type="dxa"/>
            <w:left w:w="108" w:type="dxa"/>
            <w:bottom w:w="0" w:type="dxa"/>
            <w:right w:w="108" w:type="dxa"/>
          </w:tblCellMar>
        </w:tblPrEx>
        <w:trPr>
          <w:trHeight w:val="338"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5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139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新注册主体</w:t>
            </w:r>
          </w:p>
        </w:tc>
        <w:tc>
          <w:tcPr>
            <w:tcW w:w="673"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76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250</w:t>
            </w:r>
          </w:p>
        </w:tc>
        <w:tc>
          <w:tcPr>
            <w:tcW w:w="79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户</w:t>
            </w:r>
          </w:p>
        </w:tc>
        <w:tc>
          <w:tcPr>
            <w:tcW w:w="127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705</w:t>
            </w:r>
          </w:p>
        </w:tc>
        <w:tc>
          <w:tcPr>
            <w:tcW w:w="70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3</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3　</w:t>
            </w:r>
          </w:p>
        </w:tc>
        <w:tc>
          <w:tcPr>
            <w:tcW w:w="274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r>
      <w:tr>
        <w:tblPrEx>
          <w:tblCellMar>
            <w:top w:w="0" w:type="dxa"/>
            <w:left w:w="108" w:type="dxa"/>
            <w:bottom w:w="0" w:type="dxa"/>
            <w:right w:w="108" w:type="dxa"/>
          </w:tblCellMar>
        </w:tblPrEx>
        <w:trPr>
          <w:trHeight w:val="338"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5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139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食药械化质量管控培训</w:t>
            </w:r>
          </w:p>
        </w:tc>
        <w:tc>
          <w:tcPr>
            <w:tcW w:w="673"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76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40</w:t>
            </w:r>
          </w:p>
        </w:tc>
        <w:tc>
          <w:tcPr>
            <w:tcW w:w="79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学时</w:t>
            </w:r>
          </w:p>
        </w:tc>
        <w:tc>
          <w:tcPr>
            <w:tcW w:w="127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144</w:t>
            </w:r>
          </w:p>
        </w:tc>
        <w:tc>
          <w:tcPr>
            <w:tcW w:w="70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3</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3　</w:t>
            </w:r>
          </w:p>
        </w:tc>
        <w:tc>
          <w:tcPr>
            <w:tcW w:w="274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r>
      <w:tr>
        <w:tblPrEx>
          <w:tblCellMar>
            <w:top w:w="0" w:type="dxa"/>
            <w:left w:w="108" w:type="dxa"/>
            <w:bottom w:w="0" w:type="dxa"/>
            <w:right w:w="108" w:type="dxa"/>
          </w:tblCellMar>
        </w:tblPrEx>
        <w:trPr>
          <w:trHeight w:val="338"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5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139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走访挂联企业</w:t>
            </w:r>
          </w:p>
        </w:tc>
        <w:tc>
          <w:tcPr>
            <w:tcW w:w="673"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76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w:t>
            </w:r>
          </w:p>
        </w:tc>
        <w:tc>
          <w:tcPr>
            <w:tcW w:w="79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次</w:t>
            </w:r>
          </w:p>
        </w:tc>
        <w:tc>
          <w:tcPr>
            <w:tcW w:w="127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1</w:t>
            </w:r>
          </w:p>
        </w:tc>
        <w:tc>
          <w:tcPr>
            <w:tcW w:w="70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3</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3　</w:t>
            </w:r>
          </w:p>
        </w:tc>
        <w:tc>
          <w:tcPr>
            <w:tcW w:w="274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r>
      <w:tr>
        <w:trPr>
          <w:trHeight w:val="561"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5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139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市场主体信用监管</w:t>
            </w:r>
          </w:p>
        </w:tc>
        <w:tc>
          <w:tcPr>
            <w:tcW w:w="673"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76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4000</w:t>
            </w:r>
          </w:p>
        </w:tc>
        <w:tc>
          <w:tcPr>
            <w:tcW w:w="79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户</w:t>
            </w:r>
          </w:p>
        </w:tc>
        <w:tc>
          <w:tcPr>
            <w:tcW w:w="127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5571</w:t>
            </w:r>
          </w:p>
        </w:tc>
        <w:tc>
          <w:tcPr>
            <w:tcW w:w="70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3</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3　</w:t>
            </w:r>
          </w:p>
        </w:tc>
        <w:tc>
          <w:tcPr>
            <w:tcW w:w="274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r>
      <w:tr>
        <w:tblPrEx>
          <w:tblCellMar>
            <w:top w:w="0" w:type="dxa"/>
            <w:left w:w="108" w:type="dxa"/>
            <w:bottom w:w="0" w:type="dxa"/>
            <w:right w:w="108" w:type="dxa"/>
          </w:tblCellMar>
        </w:tblPrEx>
        <w:trPr>
          <w:trHeight w:val="450"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5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139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非洲猪瘟防控</w:t>
            </w:r>
          </w:p>
        </w:tc>
        <w:tc>
          <w:tcPr>
            <w:tcW w:w="673"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76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w:t>
            </w:r>
          </w:p>
        </w:tc>
        <w:tc>
          <w:tcPr>
            <w:tcW w:w="79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次</w:t>
            </w:r>
          </w:p>
        </w:tc>
        <w:tc>
          <w:tcPr>
            <w:tcW w:w="127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2</w:t>
            </w:r>
          </w:p>
        </w:tc>
        <w:tc>
          <w:tcPr>
            <w:tcW w:w="70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3</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3　</w:t>
            </w:r>
          </w:p>
        </w:tc>
        <w:tc>
          <w:tcPr>
            <w:tcW w:w="274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r>
      <w:tr>
        <w:tblPrEx>
          <w:tblCellMar>
            <w:top w:w="0" w:type="dxa"/>
            <w:left w:w="108" w:type="dxa"/>
            <w:bottom w:w="0" w:type="dxa"/>
            <w:right w:w="108" w:type="dxa"/>
          </w:tblCellMar>
        </w:tblPrEx>
        <w:trPr>
          <w:trHeight w:val="454"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5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139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特种设备安全培训、主体培训各</w:t>
            </w:r>
          </w:p>
        </w:tc>
        <w:tc>
          <w:tcPr>
            <w:tcW w:w="673"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76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w:t>
            </w:r>
          </w:p>
        </w:tc>
        <w:tc>
          <w:tcPr>
            <w:tcW w:w="79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次</w:t>
            </w:r>
          </w:p>
        </w:tc>
        <w:tc>
          <w:tcPr>
            <w:tcW w:w="127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1</w:t>
            </w:r>
          </w:p>
        </w:tc>
        <w:tc>
          <w:tcPr>
            <w:tcW w:w="70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3</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3　</w:t>
            </w:r>
          </w:p>
        </w:tc>
        <w:tc>
          <w:tcPr>
            <w:tcW w:w="274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r>
      <w:tr>
        <w:tblPrEx>
          <w:tblCellMar>
            <w:top w:w="0" w:type="dxa"/>
            <w:left w:w="108" w:type="dxa"/>
            <w:bottom w:w="0" w:type="dxa"/>
            <w:right w:w="108" w:type="dxa"/>
          </w:tblCellMar>
        </w:tblPrEx>
        <w:trPr>
          <w:trHeight w:val="338"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5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139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市场主体专项整治</w:t>
            </w:r>
          </w:p>
        </w:tc>
        <w:tc>
          <w:tcPr>
            <w:tcW w:w="673"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76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w:t>
            </w:r>
          </w:p>
        </w:tc>
        <w:tc>
          <w:tcPr>
            <w:tcW w:w="79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次</w:t>
            </w:r>
          </w:p>
        </w:tc>
        <w:tc>
          <w:tcPr>
            <w:tcW w:w="127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1</w:t>
            </w:r>
          </w:p>
        </w:tc>
        <w:tc>
          <w:tcPr>
            <w:tcW w:w="70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3</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3　</w:t>
            </w:r>
          </w:p>
        </w:tc>
        <w:tc>
          <w:tcPr>
            <w:tcW w:w="274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r>
      <w:tr>
        <w:trPr>
          <w:trHeight w:val="454"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5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1393"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质量指标</w:t>
            </w:r>
          </w:p>
        </w:tc>
        <w:tc>
          <w:tcPr>
            <w:tcW w:w="20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审查3C认证获证单位完成率</w:t>
            </w:r>
          </w:p>
        </w:tc>
        <w:tc>
          <w:tcPr>
            <w:tcW w:w="673"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76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100</w:t>
            </w:r>
          </w:p>
        </w:tc>
        <w:tc>
          <w:tcPr>
            <w:tcW w:w="79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127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100</w:t>
            </w:r>
          </w:p>
        </w:tc>
        <w:tc>
          <w:tcPr>
            <w:tcW w:w="70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3</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3　</w:t>
            </w:r>
          </w:p>
        </w:tc>
        <w:tc>
          <w:tcPr>
            <w:tcW w:w="274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r>
      <w:tr>
        <w:tblPrEx>
          <w:tblCellMar>
            <w:top w:w="0" w:type="dxa"/>
            <w:left w:w="108" w:type="dxa"/>
            <w:bottom w:w="0" w:type="dxa"/>
            <w:right w:w="108" w:type="dxa"/>
          </w:tblCellMar>
        </w:tblPrEx>
        <w:trPr>
          <w:trHeight w:val="338"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5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139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市场主体失信惩戒率</w:t>
            </w:r>
          </w:p>
        </w:tc>
        <w:tc>
          <w:tcPr>
            <w:tcW w:w="673"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76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100</w:t>
            </w:r>
          </w:p>
        </w:tc>
        <w:tc>
          <w:tcPr>
            <w:tcW w:w="79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127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100</w:t>
            </w:r>
          </w:p>
        </w:tc>
        <w:tc>
          <w:tcPr>
            <w:tcW w:w="70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3</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3　</w:t>
            </w:r>
          </w:p>
        </w:tc>
        <w:tc>
          <w:tcPr>
            <w:tcW w:w="274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r>
      <w:tr>
        <w:tblPrEx>
          <w:tblCellMar>
            <w:top w:w="0" w:type="dxa"/>
            <w:left w:w="108" w:type="dxa"/>
            <w:bottom w:w="0" w:type="dxa"/>
            <w:right w:w="108" w:type="dxa"/>
          </w:tblCellMar>
        </w:tblPrEx>
        <w:trPr>
          <w:trHeight w:val="338"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5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139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市场主体年报公示率</w:t>
            </w:r>
          </w:p>
        </w:tc>
        <w:tc>
          <w:tcPr>
            <w:tcW w:w="673"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76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90</w:t>
            </w:r>
          </w:p>
        </w:tc>
        <w:tc>
          <w:tcPr>
            <w:tcW w:w="79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127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92</w:t>
            </w:r>
          </w:p>
        </w:tc>
        <w:tc>
          <w:tcPr>
            <w:tcW w:w="70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3</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3　</w:t>
            </w:r>
          </w:p>
        </w:tc>
        <w:tc>
          <w:tcPr>
            <w:tcW w:w="274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r>
      <w:tr>
        <w:tblPrEx>
          <w:tblCellMar>
            <w:top w:w="0" w:type="dxa"/>
            <w:left w:w="108" w:type="dxa"/>
            <w:bottom w:w="0" w:type="dxa"/>
            <w:right w:w="108" w:type="dxa"/>
          </w:tblCellMar>
        </w:tblPrEx>
        <w:trPr>
          <w:trHeight w:val="338"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5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139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企业在用标准自我公开率</w:t>
            </w:r>
          </w:p>
        </w:tc>
        <w:tc>
          <w:tcPr>
            <w:tcW w:w="673"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76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90</w:t>
            </w:r>
          </w:p>
        </w:tc>
        <w:tc>
          <w:tcPr>
            <w:tcW w:w="79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127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90　</w:t>
            </w:r>
          </w:p>
        </w:tc>
        <w:tc>
          <w:tcPr>
            <w:tcW w:w="70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3</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3　</w:t>
            </w:r>
          </w:p>
        </w:tc>
        <w:tc>
          <w:tcPr>
            <w:tcW w:w="274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r>
      <w:tr>
        <w:trPr>
          <w:trHeight w:val="578"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5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139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质监抽样合格率</w:t>
            </w:r>
          </w:p>
        </w:tc>
        <w:tc>
          <w:tcPr>
            <w:tcW w:w="673"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76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96</w:t>
            </w:r>
          </w:p>
        </w:tc>
        <w:tc>
          <w:tcPr>
            <w:tcW w:w="79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127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96　</w:t>
            </w:r>
          </w:p>
        </w:tc>
        <w:tc>
          <w:tcPr>
            <w:tcW w:w="70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3</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3　</w:t>
            </w:r>
          </w:p>
        </w:tc>
        <w:tc>
          <w:tcPr>
            <w:tcW w:w="274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r>
      <w:tr>
        <w:tblPrEx>
          <w:tblCellMar>
            <w:top w:w="0" w:type="dxa"/>
            <w:left w:w="108" w:type="dxa"/>
            <w:bottom w:w="0" w:type="dxa"/>
            <w:right w:w="108" w:type="dxa"/>
          </w:tblCellMar>
        </w:tblPrEx>
        <w:trPr>
          <w:trHeight w:val="454"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5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139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食药械化抽检不合格产品处置率</w:t>
            </w:r>
          </w:p>
        </w:tc>
        <w:tc>
          <w:tcPr>
            <w:tcW w:w="673"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76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100</w:t>
            </w:r>
          </w:p>
        </w:tc>
        <w:tc>
          <w:tcPr>
            <w:tcW w:w="79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127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100　</w:t>
            </w:r>
          </w:p>
        </w:tc>
        <w:tc>
          <w:tcPr>
            <w:tcW w:w="70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3</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3　</w:t>
            </w:r>
          </w:p>
        </w:tc>
        <w:tc>
          <w:tcPr>
            <w:tcW w:w="274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r>
      <w:tr>
        <w:tblPrEx>
          <w:tblCellMar>
            <w:top w:w="0" w:type="dxa"/>
            <w:left w:w="108" w:type="dxa"/>
            <w:bottom w:w="0" w:type="dxa"/>
            <w:right w:w="108" w:type="dxa"/>
          </w:tblCellMar>
        </w:tblPrEx>
        <w:trPr>
          <w:trHeight w:val="338"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5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139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食药械化监管覆盖率</w:t>
            </w:r>
          </w:p>
        </w:tc>
        <w:tc>
          <w:tcPr>
            <w:tcW w:w="673"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76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100</w:t>
            </w:r>
          </w:p>
        </w:tc>
        <w:tc>
          <w:tcPr>
            <w:tcW w:w="79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127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100　</w:t>
            </w:r>
          </w:p>
        </w:tc>
        <w:tc>
          <w:tcPr>
            <w:tcW w:w="70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3</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3　</w:t>
            </w:r>
          </w:p>
        </w:tc>
        <w:tc>
          <w:tcPr>
            <w:tcW w:w="274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r>
      <w:tr>
        <w:tblPrEx>
          <w:tblCellMar>
            <w:top w:w="0" w:type="dxa"/>
            <w:left w:w="108" w:type="dxa"/>
            <w:bottom w:w="0" w:type="dxa"/>
            <w:right w:w="108" w:type="dxa"/>
          </w:tblCellMar>
        </w:tblPrEx>
        <w:trPr>
          <w:trHeight w:val="338"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5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139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特种设备使用单位巡查率</w:t>
            </w:r>
          </w:p>
        </w:tc>
        <w:tc>
          <w:tcPr>
            <w:tcW w:w="673"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76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100</w:t>
            </w:r>
          </w:p>
        </w:tc>
        <w:tc>
          <w:tcPr>
            <w:tcW w:w="79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127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100　</w:t>
            </w:r>
          </w:p>
        </w:tc>
        <w:tc>
          <w:tcPr>
            <w:tcW w:w="70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3</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3　</w:t>
            </w:r>
          </w:p>
        </w:tc>
        <w:tc>
          <w:tcPr>
            <w:tcW w:w="274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r>
      <w:tr>
        <w:trPr>
          <w:trHeight w:val="400"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5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139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时效指标</w:t>
            </w:r>
          </w:p>
        </w:tc>
        <w:tc>
          <w:tcPr>
            <w:tcW w:w="20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任务完成时间</w:t>
            </w:r>
          </w:p>
        </w:tc>
        <w:tc>
          <w:tcPr>
            <w:tcW w:w="673"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76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12</w:t>
            </w:r>
          </w:p>
        </w:tc>
        <w:tc>
          <w:tcPr>
            <w:tcW w:w="79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月</w:t>
            </w:r>
          </w:p>
        </w:tc>
        <w:tc>
          <w:tcPr>
            <w:tcW w:w="127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按时完成　</w:t>
            </w:r>
          </w:p>
        </w:tc>
        <w:tc>
          <w:tcPr>
            <w:tcW w:w="70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3</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3　</w:t>
            </w:r>
          </w:p>
        </w:tc>
        <w:tc>
          <w:tcPr>
            <w:tcW w:w="274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r>
      <w:tr>
        <w:tblPrEx>
          <w:tblCellMar>
            <w:top w:w="0" w:type="dxa"/>
            <w:left w:w="108" w:type="dxa"/>
            <w:bottom w:w="0" w:type="dxa"/>
            <w:right w:w="108" w:type="dxa"/>
          </w:tblCellMar>
        </w:tblPrEx>
        <w:trPr>
          <w:trHeight w:val="515"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5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1393"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成本指标</w:t>
            </w:r>
          </w:p>
        </w:tc>
        <w:tc>
          <w:tcPr>
            <w:tcW w:w="20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宣传成本每次</w:t>
            </w:r>
          </w:p>
        </w:tc>
        <w:tc>
          <w:tcPr>
            <w:tcW w:w="673"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76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1000</w:t>
            </w:r>
          </w:p>
        </w:tc>
        <w:tc>
          <w:tcPr>
            <w:tcW w:w="79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元</w:t>
            </w:r>
          </w:p>
        </w:tc>
        <w:tc>
          <w:tcPr>
            <w:tcW w:w="127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按标准执行</w:t>
            </w:r>
          </w:p>
        </w:tc>
        <w:tc>
          <w:tcPr>
            <w:tcW w:w="70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　</w:t>
            </w:r>
          </w:p>
        </w:tc>
        <w:tc>
          <w:tcPr>
            <w:tcW w:w="274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r>
      <w:tr>
        <w:tblPrEx>
          <w:tblCellMar>
            <w:top w:w="0" w:type="dxa"/>
            <w:left w:w="108" w:type="dxa"/>
            <w:bottom w:w="0" w:type="dxa"/>
            <w:right w:w="108" w:type="dxa"/>
          </w:tblCellMar>
        </w:tblPrEx>
        <w:trPr>
          <w:trHeight w:val="338"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5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139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差旅补助成本每人每天</w:t>
            </w:r>
          </w:p>
        </w:tc>
        <w:tc>
          <w:tcPr>
            <w:tcW w:w="673"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76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180</w:t>
            </w:r>
          </w:p>
        </w:tc>
        <w:tc>
          <w:tcPr>
            <w:tcW w:w="79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元</w:t>
            </w:r>
          </w:p>
        </w:tc>
        <w:tc>
          <w:tcPr>
            <w:tcW w:w="127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按标准执行</w:t>
            </w:r>
          </w:p>
        </w:tc>
        <w:tc>
          <w:tcPr>
            <w:tcW w:w="70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　</w:t>
            </w:r>
          </w:p>
        </w:tc>
        <w:tc>
          <w:tcPr>
            <w:tcW w:w="274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r>
      <w:tr>
        <w:tblPrEx>
          <w:tblCellMar>
            <w:top w:w="0" w:type="dxa"/>
            <w:left w:w="108" w:type="dxa"/>
            <w:bottom w:w="0" w:type="dxa"/>
            <w:right w:w="108" w:type="dxa"/>
          </w:tblCellMar>
        </w:tblPrEx>
        <w:trPr>
          <w:trHeight w:val="454"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5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139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培训成本</w:t>
            </w:r>
          </w:p>
        </w:tc>
        <w:tc>
          <w:tcPr>
            <w:tcW w:w="673"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76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130</w:t>
            </w:r>
          </w:p>
        </w:tc>
        <w:tc>
          <w:tcPr>
            <w:tcW w:w="79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元/人</w:t>
            </w:r>
          </w:p>
        </w:tc>
        <w:tc>
          <w:tcPr>
            <w:tcW w:w="127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按标准执行</w:t>
            </w:r>
          </w:p>
        </w:tc>
        <w:tc>
          <w:tcPr>
            <w:tcW w:w="70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　</w:t>
            </w:r>
          </w:p>
        </w:tc>
        <w:tc>
          <w:tcPr>
            <w:tcW w:w="274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r>
      <w:tr>
        <w:trPr>
          <w:trHeight w:val="338"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5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139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食品抽检平均成本每批次</w:t>
            </w:r>
          </w:p>
        </w:tc>
        <w:tc>
          <w:tcPr>
            <w:tcW w:w="673"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76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1250</w:t>
            </w:r>
          </w:p>
        </w:tc>
        <w:tc>
          <w:tcPr>
            <w:tcW w:w="79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元</w:t>
            </w:r>
          </w:p>
        </w:tc>
        <w:tc>
          <w:tcPr>
            <w:tcW w:w="127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按标准执行</w:t>
            </w:r>
          </w:p>
        </w:tc>
        <w:tc>
          <w:tcPr>
            <w:tcW w:w="70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　</w:t>
            </w:r>
          </w:p>
        </w:tc>
        <w:tc>
          <w:tcPr>
            <w:tcW w:w="274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r>
      <w:tr>
        <w:tblPrEx>
          <w:tblCellMar>
            <w:top w:w="0" w:type="dxa"/>
            <w:left w:w="108" w:type="dxa"/>
            <w:bottom w:w="0" w:type="dxa"/>
            <w:right w:w="108" w:type="dxa"/>
          </w:tblCellMar>
        </w:tblPrEx>
        <w:trPr>
          <w:trHeight w:val="454"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5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139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改、建企业非公党支部</w:t>
            </w:r>
          </w:p>
        </w:tc>
        <w:tc>
          <w:tcPr>
            <w:tcW w:w="673"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76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10000</w:t>
            </w:r>
          </w:p>
        </w:tc>
        <w:tc>
          <w:tcPr>
            <w:tcW w:w="79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元/户</w:t>
            </w:r>
          </w:p>
        </w:tc>
        <w:tc>
          <w:tcPr>
            <w:tcW w:w="127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xml:space="preserve">  按标准</w:t>
            </w:r>
          </w:p>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执行　</w:t>
            </w:r>
          </w:p>
        </w:tc>
        <w:tc>
          <w:tcPr>
            <w:tcW w:w="70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　</w:t>
            </w:r>
          </w:p>
        </w:tc>
        <w:tc>
          <w:tcPr>
            <w:tcW w:w="274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r>
      <w:tr>
        <w:tblPrEx>
          <w:tblCellMar>
            <w:top w:w="0" w:type="dxa"/>
            <w:left w:w="108" w:type="dxa"/>
            <w:bottom w:w="0" w:type="dxa"/>
            <w:right w:w="108" w:type="dxa"/>
          </w:tblCellMar>
        </w:tblPrEx>
        <w:trPr>
          <w:trHeight w:val="516"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5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效益指标</w:t>
            </w:r>
          </w:p>
        </w:tc>
        <w:tc>
          <w:tcPr>
            <w:tcW w:w="1393"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社会效益指标</w:t>
            </w:r>
          </w:p>
        </w:tc>
        <w:tc>
          <w:tcPr>
            <w:tcW w:w="20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双随机监督抽查率</w:t>
            </w:r>
          </w:p>
        </w:tc>
        <w:tc>
          <w:tcPr>
            <w:tcW w:w="673"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76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3</w:t>
            </w:r>
          </w:p>
        </w:tc>
        <w:tc>
          <w:tcPr>
            <w:tcW w:w="79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127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3</w:t>
            </w:r>
          </w:p>
        </w:tc>
        <w:tc>
          <w:tcPr>
            <w:tcW w:w="70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　</w:t>
            </w:r>
          </w:p>
        </w:tc>
        <w:tc>
          <w:tcPr>
            <w:tcW w:w="274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r>
      <w:tr>
        <w:tblPrEx>
          <w:tblCellMar>
            <w:top w:w="0" w:type="dxa"/>
            <w:left w:w="108" w:type="dxa"/>
            <w:bottom w:w="0" w:type="dxa"/>
            <w:right w:w="108" w:type="dxa"/>
          </w:tblCellMar>
        </w:tblPrEx>
        <w:trPr>
          <w:trHeight w:val="454"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5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139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安全监管水平、公众安全科普知识</w:t>
            </w:r>
          </w:p>
        </w:tc>
        <w:tc>
          <w:tcPr>
            <w:tcW w:w="673"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定性</w:t>
            </w:r>
          </w:p>
        </w:tc>
        <w:tc>
          <w:tcPr>
            <w:tcW w:w="76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优</w:t>
            </w:r>
          </w:p>
        </w:tc>
        <w:tc>
          <w:tcPr>
            <w:tcW w:w="79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级　</w:t>
            </w:r>
          </w:p>
        </w:tc>
        <w:tc>
          <w:tcPr>
            <w:tcW w:w="127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优</w:t>
            </w:r>
          </w:p>
        </w:tc>
        <w:tc>
          <w:tcPr>
            <w:tcW w:w="70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　</w:t>
            </w:r>
          </w:p>
        </w:tc>
        <w:tc>
          <w:tcPr>
            <w:tcW w:w="274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r>
      <w:tr>
        <w:trPr>
          <w:trHeight w:val="338"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5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139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市场主体监管覆盖率</w:t>
            </w:r>
          </w:p>
        </w:tc>
        <w:tc>
          <w:tcPr>
            <w:tcW w:w="673"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76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75</w:t>
            </w:r>
          </w:p>
        </w:tc>
        <w:tc>
          <w:tcPr>
            <w:tcW w:w="79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127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75</w:t>
            </w:r>
          </w:p>
        </w:tc>
        <w:tc>
          <w:tcPr>
            <w:tcW w:w="70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　</w:t>
            </w:r>
          </w:p>
        </w:tc>
        <w:tc>
          <w:tcPr>
            <w:tcW w:w="274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r>
      <w:tr>
        <w:tblPrEx>
          <w:tblCellMar>
            <w:top w:w="0" w:type="dxa"/>
            <w:left w:w="108" w:type="dxa"/>
            <w:bottom w:w="0" w:type="dxa"/>
            <w:right w:w="108" w:type="dxa"/>
          </w:tblCellMar>
        </w:tblPrEx>
        <w:trPr>
          <w:trHeight w:val="454"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5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139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系统性、区域性重大安全事故</w:t>
            </w:r>
          </w:p>
        </w:tc>
        <w:tc>
          <w:tcPr>
            <w:tcW w:w="673"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76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w:t>
            </w:r>
          </w:p>
        </w:tc>
        <w:tc>
          <w:tcPr>
            <w:tcW w:w="79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次</w:t>
            </w:r>
          </w:p>
        </w:tc>
        <w:tc>
          <w:tcPr>
            <w:tcW w:w="127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0</w:t>
            </w:r>
          </w:p>
        </w:tc>
        <w:tc>
          <w:tcPr>
            <w:tcW w:w="70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　</w:t>
            </w:r>
          </w:p>
        </w:tc>
        <w:tc>
          <w:tcPr>
            <w:tcW w:w="274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r>
      <w:tr>
        <w:tblPrEx>
          <w:tblCellMar>
            <w:top w:w="0" w:type="dxa"/>
            <w:left w:w="108" w:type="dxa"/>
            <w:bottom w:w="0" w:type="dxa"/>
            <w:right w:w="108" w:type="dxa"/>
          </w:tblCellMar>
        </w:tblPrEx>
        <w:trPr>
          <w:trHeight w:val="679"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5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139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可持续影响指标</w:t>
            </w:r>
          </w:p>
        </w:tc>
        <w:tc>
          <w:tcPr>
            <w:tcW w:w="20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通过监督检查、风向监测等保障人民生命财产健康安全</w:t>
            </w:r>
          </w:p>
        </w:tc>
        <w:tc>
          <w:tcPr>
            <w:tcW w:w="673"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定性</w:t>
            </w:r>
          </w:p>
        </w:tc>
        <w:tc>
          <w:tcPr>
            <w:tcW w:w="76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优</w:t>
            </w:r>
          </w:p>
        </w:tc>
        <w:tc>
          <w:tcPr>
            <w:tcW w:w="79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级</w:t>
            </w:r>
          </w:p>
        </w:tc>
        <w:tc>
          <w:tcPr>
            <w:tcW w:w="127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优</w:t>
            </w:r>
          </w:p>
        </w:tc>
        <w:tc>
          <w:tcPr>
            <w:tcW w:w="70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　</w:t>
            </w:r>
          </w:p>
        </w:tc>
        <w:tc>
          <w:tcPr>
            <w:tcW w:w="274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r>
      <w:tr>
        <w:tblPrEx>
          <w:tblCellMar>
            <w:top w:w="0" w:type="dxa"/>
            <w:left w:w="108" w:type="dxa"/>
            <w:bottom w:w="0" w:type="dxa"/>
            <w:right w:w="108" w:type="dxa"/>
          </w:tblCellMar>
        </w:tblPrEx>
        <w:trPr>
          <w:trHeight w:val="454"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5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满意度指标</w:t>
            </w:r>
          </w:p>
        </w:tc>
        <w:tc>
          <w:tcPr>
            <w:tcW w:w="139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服务对象满意度指标</w:t>
            </w:r>
          </w:p>
        </w:tc>
        <w:tc>
          <w:tcPr>
            <w:tcW w:w="20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服务对象满意度</w:t>
            </w:r>
          </w:p>
        </w:tc>
        <w:tc>
          <w:tcPr>
            <w:tcW w:w="673"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定性</w:t>
            </w:r>
          </w:p>
        </w:tc>
        <w:tc>
          <w:tcPr>
            <w:tcW w:w="76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优</w:t>
            </w:r>
          </w:p>
        </w:tc>
        <w:tc>
          <w:tcPr>
            <w:tcW w:w="79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级</w:t>
            </w:r>
          </w:p>
        </w:tc>
        <w:tc>
          <w:tcPr>
            <w:tcW w:w="127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优</w:t>
            </w:r>
          </w:p>
        </w:tc>
        <w:tc>
          <w:tcPr>
            <w:tcW w:w="70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　</w:t>
            </w:r>
          </w:p>
        </w:tc>
        <w:tc>
          <w:tcPr>
            <w:tcW w:w="274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r>
      <w:tr>
        <w:trPr>
          <w:trHeight w:val="474" w:hRule="atLeast"/>
        </w:trPr>
        <w:tc>
          <w:tcPr>
            <w:tcW w:w="9654" w:type="dxa"/>
            <w:gridSpan w:val="10"/>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合计</w:t>
            </w:r>
          </w:p>
        </w:tc>
        <w:tc>
          <w:tcPr>
            <w:tcW w:w="70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100</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　90</w:t>
            </w:r>
          </w:p>
        </w:tc>
        <w:tc>
          <w:tcPr>
            <w:tcW w:w="274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　</w:t>
            </w:r>
          </w:p>
        </w:tc>
      </w:tr>
      <w:tr>
        <w:tblPrEx>
          <w:tblCellMar>
            <w:top w:w="0" w:type="dxa"/>
            <w:left w:w="108" w:type="dxa"/>
            <w:bottom w:w="0" w:type="dxa"/>
            <w:right w:w="108" w:type="dxa"/>
          </w:tblCellMar>
        </w:tblPrEx>
        <w:trPr>
          <w:trHeight w:val="1064" w:hRule="atLeast"/>
        </w:trPr>
        <w:tc>
          <w:tcPr>
            <w:tcW w:w="67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评价结论</w:t>
            </w:r>
          </w:p>
        </w:tc>
        <w:tc>
          <w:tcPr>
            <w:tcW w:w="13141" w:type="dxa"/>
            <w:gridSpan w:val="13"/>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我单位严格按照财政绩效管理要求执行绩效目标，预算编制规范合理，财政资金管理合法合规，项目工作顺利完成，营造了更加公平诚信的社会环境，保证了人民生命财产健康安全，进一步强化了主体责任落实，切实保障民生实事，保障了消费者合法权益，人民群众满意度大幅攀升，总体绩效自评得分为90分。</w:t>
            </w:r>
          </w:p>
        </w:tc>
      </w:tr>
      <w:tr>
        <w:tblPrEx>
          <w:tblCellMar>
            <w:top w:w="0" w:type="dxa"/>
            <w:left w:w="108" w:type="dxa"/>
            <w:bottom w:w="0" w:type="dxa"/>
            <w:right w:w="108" w:type="dxa"/>
          </w:tblCellMar>
        </w:tblPrEx>
        <w:trPr>
          <w:trHeight w:val="574" w:hRule="atLeast"/>
        </w:trPr>
        <w:tc>
          <w:tcPr>
            <w:tcW w:w="67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存在问题</w:t>
            </w:r>
          </w:p>
        </w:tc>
        <w:tc>
          <w:tcPr>
            <w:tcW w:w="13141" w:type="dxa"/>
            <w:gridSpan w:val="13"/>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1.对食品、药品、化妆品、医疗器械、特种设备等行业的监管是行政管理更是专业化的技术管理，分局作为基层单位，工作任务繁重、人员结构复杂、业务能力参差不齐，直接面对被监管企业时，若达不到专业水准，就难以履行该领域的专业工作。</w:t>
            </w:r>
          </w:p>
          <w:p>
            <w:pPr>
              <w:widowControl/>
              <w:jc w:val="left"/>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2.绩效目标编制不够科学、准确，有待进一步完善。作为基层单位财务人员，未接受过系统化培训，存在预算编制、执行、绩效评价等方面能力不足的问题。</w:t>
            </w:r>
          </w:p>
        </w:tc>
      </w:tr>
      <w:tr>
        <w:tblPrEx>
          <w:tblCellMar>
            <w:top w:w="0" w:type="dxa"/>
            <w:left w:w="108" w:type="dxa"/>
            <w:bottom w:w="0" w:type="dxa"/>
            <w:right w:w="108" w:type="dxa"/>
          </w:tblCellMar>
        </w:tblPrEx>
        <w:trPr>
          <w:trHeight w:val="1137" w:hRule="atLeast"/>
        </w:trPr>
        <w:tc>
          <w:tcPr>
            <w:tcW w:w="67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改进措施</w:t>
            </w:r>
          </w:p>
        </w:tc>
        <w:tc>
          <w:tcPr>
            <w:tcW w:w="13141" w:type="dxa"/>
            <w:gridSpan w:val="13"/>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1.加强各专业领域业务能力提升，积极组织干部职工参与业务培训，打造专业化、法治化执法监管队伍，加强市场监管综合执法工作，进一步提升市场监管的效能，促进市场秩序的进一步规范。</w:t>
            </w:r>
          </w:p>
          <w:p>
            <w:pPr>
              <w:widowControl/>
              <w:jc w:val="left"/>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2.加强预算整体绩效管理的指导和培训，增强提高绩效管理业务人员绩效管理能力、专业素质和思想水平。</w:t>
            </w:r>
          </w:p>
        </w:tc>
      </w:tr>
      <w:tr>
        <w:trPr>
          <w:trHeight w:val="630" w:hRule="atLeast"/>
        </w:trPr>
        <w:tc>
          <w:tcPr>
            <w:tcW w:w="6666"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黑体" w:eastAsia="仿宋_GB2312" w:cs="宋体"/>
                <w:color w:val="000000"/>
                <w:kern w:val="0"/>
                <w:sz w:val="22"/>
                <w:szCs w:val="22"/>
              </w:rPr>
            </w:pPr>
            <w:r>
              <w:rPr>
                <w:rFonts w:hint="eastAsia" w:ascii="仿宋_GB2312" w:hAnsi="黑体" w:eastAsia="仿宋_GB2312" w:cs="宋体"/>
                <w:color w:val="000000"/>
                <w:kern w:val="0"/>
                <w:sz w:val="22"/>
                <w:szCs w:val="22"/>
              </w:rPr>
              <w:t>项目负责人：石坚、穆伟、钟军</w:t>
            </w:r>
          </w:p>
        </w:tc>
        <w:tc>
          <w:tcPr>
            <w:tcW w:w="7154" w:type="dxa"/>
            <w:gridSpan w:val="9"/>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黑体" w:eastAsia="仿宋_GB2312" w:cs="宋体"/>
                <w:color w:val="000000"/>
                <w:kern w:val="0"/>
                <w:sz w:val="22"/>
                <w:szCs w:val="22"/>
              </w:rPr>
            </w:pPr>
            <w:r>
              <w:rPr>
                <w:rFonts w:hint="eastAsia" w:ascii="仿宋_GB2312" w:hAnsi="黑体" w:eastAsia="仿宋_GB2312" w:cs="宋体"/>
                <w:color w:val="000000"/>
                <w:kern w:val="0"/>
                <w:sz w:val="22"/>
                <w:szCs w:val="22"/>
              </w:rPr>
              <w:t>财务负责人：岳林</w:t>
            </w:r>
          </w:p>
        </w:tc>
      </w:tr>
    </w:tbl>
    <w:p>
      <w:pPr>
        <w:pStyle w:val="2"/>
        <w:spacing w:before="93"/>
      </w:pPr>
    </w:p>
    <w:p>
      <w:pPr>
        <w:pStyle w:val="2"/>
        <w:spacing w:before="93"/>
      </w:pPr>
    </w:p>
    <w:p>
      <w:pPr>
        <w:pStyle w:val="2"/>
        <w:spacing w:before="93"/>
      </w:pPr>
    </w:p>
    <w:p>
      <w:pPr>
        <w:pStyle w:val="2"/>
        <w:spacing w:before="93"/>
      </w:pPr>
    </w:p>
    <w:p>
      <w:pPr>
        <w:pStyle w:val="2"/>
        <w:spacing w:before="93"/>
      </w:pPr>
    </w:p>
    <w:p>
      <w:pPr>
        <w:pStyle w:val="2"/>
        <w:spacing w:before="93"/>
        <w:rPr>
          <w:sz w:val="32"/>
          <w:szCs w:val="28"/>
        </w:rPr>
      </w:pPr>
      <w:r>
        <w:rPr>
          <w:rFonts w:hint="eastAsia"/>
          <w:sz w:val="32"/>
          <w:szCs w:val="28"/>
        </w:rPr>
        <w:t>附件6</w:t>
      </w:r>
    </w:p>
    <w:tbl>
      <w:tblPr>
        <w:tblStyle w:val="15"/>
        <w:tblW w:w="14140" w:type="dxa"/>
        <w:tblInd w:w="93" w:type="dxa"/>
        <w:tblLayout w:type="autofit"/>
        <w:tblCellMar>
          <w:top w:w="0" w:type="dxa"/>
          <w:left w:w="108" w:type="dxa"/>
          <w:bottom w:w="0" w:type="dxa"/>
          <w:right w:w="108" w:type="dxa"/>
        </w:tblCellMar>
      </w:tblPr>
      <w:tblGrid>
        <w:gridCol w:w="679"/>
        <w:gridCol w:w="2055"/>
        <w:gridCol w:w="1776"/>
        <w:gridCol w:w="2026"/>
        <w:gridCol w:w="748"/>
        <w:gridCol w:w="244"/>
        <w:gridCol w:w="1134"/>
        <w:gridCol w:w="284"/>
        <w:gridCol w:w="534"/>
        <w:gridCol w:w="1025"/>
        <w:gridCol w:w="75"/>
        <w:gridCol w:w="546"/>
        <w:gridCol w:w="460"/>
        <w:gridCol w:w="2554"/>
      </w:tblGrid>
      <w:tr>
        <w:tblPrEx>
          <w:tblCellMar>
            <w:top w:w="0" w:type="dxa"/>
            <w:left w:w="108" w:type="dxa"/>
            <w:bottom w:w="0" w:type="dxa"/>
            <w:right w:w="108" w:type="dxa"/>
          </w:tblCellMar>
        </w:tblPrEx>
        <w:trPr>
          <w:trHeight w:val="640" w:hRule="atLeast"/>
        </w:trPr>
        <w:tc>
          <w:tcPr>
            <w:tcW w:w="14140" w:type="dxa"/>
            <w:gridSpan w:val="14"/>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b/>
                <w:bCs/>
                <w:color w:val="000000"/>
                <w:kern w:val="0"/>
                <w:sz w:val="22"/>
                <w:szCs w:val="22"/>
              </w:rPr>
            </w:pPr>
            <w:r>
              <w:rPr>
                <w:rFonts w:hint="eastAsia" w:ascii="仿宋_GB2312" w:hAnsi="宋体" w:eastAsia="仿宋_GB2312" w:cs="宋体"/>
                <w:b/>
                <w:bCs/>
                <w:color w:val="000000"/>
                <w:kern w:val="0"/>
                <w:sz w:val="22"/>
                <w:szCs w:val="22"/>
              </w:rPr>
              <w:t>部门预算项目支出绩效自评表（2022年度）</w:t>
            </w:r>
          </w:p>
        </w:tc>
      </w:tr>
      <w:tr>
        <w:tblPrEx>
          <w:tblCellMar>
            <w:top w:w="0" w:type="dxa"/>
            <w:left w:w="108" w:type="dxa"/>
            <w:bottom w:w="0" w:type="dxa"/>
            <w:right w:w="108" w:type="dxa"/>
          </w:tblCellMar>
        </w:tblPrEx>
        <w:trPr>
          <w:trHeight w:val="565" w:hRule="atLeast"/>
        </w:trPr>
        <w:tc>
          <w:tcPr>
            <w:tcW w:w="273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项目名称</w:t>
            </w:r>
          </w:p>
        </w:tc>
        <w:tc>
          <w:tcPr>
            <w:tcW w:w="11406" w:type="dxa"/>
            <w:gridSpan w:val="12"/>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51080021T000000051097-市场秩序执法办案专项</w:t>
            </w:r>
          </w:p>
        </w:tc>
      </w:tr>
      <w:tr>
        <w:tblPrEx>
          <w:tblCellMar>
            <w:top w:w="0" w:type="dxa"/>
            <w:left w:w="108" w:type="dxa"/>
            <w:bottom w:w="0" w:type="dxa"/>
            <w:right w:w="108" w:type="dxa"/>
          </w:tblCellMar>
        </w:tblPrEx>
        <w:trPr>
          <w:trHeight w:val="514" w:hRule="atLeast"/>
        </w:trPr>
        <w:tc>
          <w:tcPr>
            <w:tcW w:w="273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主管部门</w:t>
            </w:r>
          </w:p>
        </w:tc>
        <w:tc>
          <w:tcPr>
            <w:tcW w:w="6212"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广元市市场监督管理局部门</w:t>
            </w:r>
          </w:p>
        </w:tc>
        <w:tc>
          <w:tcPr>
            <w:tcW w:w="1559" w:type="dxa"/>
            <w:gridSpan w:val="2"/>
            <w:tcBorders>
              <w:top w:val="nil"/>
              <w:left w:val="nil"/>
              <w:bottom w:val="nil"/>
              <w:right w:val="nil"/>
            </w:tcBorders>
            <w:shd w:val="clear" w:color="auto" w:fill="auto"/>
            <w:vAlign w:val="center"/>
          </w:tcPr>
          <w:p>
            <w:pPr>
              <w:widowControl/>
              <w:jc w:val="left"/>
              <w:rPr>
                <w:rFonts w:ascii="仿宋_GB2312" w:hAnsi="黑体" w:eastAsia="仿宋_GB2312" w:cs="宋体"/>
                <w:color w:val="000000"/>
                <w:kern w:val="0"/>
                <w:sz w:val="22"/>
                <w:szCs w:val="22"/>
              </w:rPr>
            </w:pPr>
            <w:r>
              <w:rPr>
                <w:rFonts w:hint="eastAsia" w:ascii="仿宋_GB2312" w:hAnsi="黑体" w:eastAsia="仿宋_GB2312" w:cs="宋体"/>
                <w:color w:val="000000"/>
                <w:kern w:val="0"/>
                <w:sz w:val="22"/>
                <w:szCs w:val="22"/>
              </w:rPr>
              <w:t>实施单位</w:t>
            </w:r>
          </w:p>
          <w:p>
            <w:pPr>
              <w:widowControl/>
              <w:jc w:val="left"/>
              <w:rPr>
                <w:rFonts w:ascii="仿宋_GB2312" w:hAnsi="黑体" w:eastAsia="仿宋_GB2312" w:cs="宋体"/>
                <w:color w:val="000000"/>
                <w:kern w:val="0"/>
                <w:sz w:val="22"/>
                <w:szCs w:val="22"/>
              </w:rPr>
            </w:pPr>
            <w:r>
              <w:rPr>
                <w:rFonts w:hint="eastAsia" w:ascii="仿宋_GB2312" w:hAnsi="黑体" w:eastAsia="仿宋_GB2312" w:cs="宋体"/>
                <w:color w:val="000000"/>
                <w:kern w:val="0"/>
                <w:sz w:val="22"/>
                <w:szCs w:val="22"/>
              </w:rPr>
              <w:t>（盖章）</w:t>
            </w:r>
          </w:p>
        </w:tc>
        <w:tc>
          <w:tcPr>
            <w:tcW w:w="363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广元市市场监督管理局广元经开区分局</w:t>
            </w:r>
          </w:p>
        </w:tc>
      </w:tr>
      <w:tr>
        <w:tblPrEx>
          <w:tblCellMar>
            <w:top w:w="0" w:type="dxa"/>
            <w:left w:w="108" w:type="dxa"/>
            <w:bottom w:w="0" w:type="dxa"/>
            <w:right w:w="108" w:type="dxa"/>
          </w:tblCellMar>
        </w:tblPrEx>
        <w:trPr>
          <w:trHeight w:val="482" w:hRule="atLeast"/>
        </w:trPr>
        <w:tc>
          <w:tcPr>
            <w:tcW w:w="67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项目基本情况</w:t>
            </w:r>
          </w:p>
        </w:tc>
        <w:tc>
          <w:tcPr>
            <w:tcW w:w="2055"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1.项目年度目标完成情况</w:t>
            </w:r>
          </w:p>
        </w:tc>
        <w:tc>
          <w:tcPr>
            <w:tcW w:w="6212"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项目年度目标</w:t>
            </w:r>
          </w:p>
        </w:tc>
        <w:tc>
          <w:tcPr>
            <w:tcW w:w="5194"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仿宋_GB2312" w:hAnsi="黑体" w:eastAsia="仿宋_GB2312" w:cs="宋体"/>
                <w:color w:val="000000"/>
                <w:kern w:val="0"/>
                <w:sz w:val="22"/>
                <w:szCs w:val="22"/>
              </w:rPr>
            </w:pPr>
            <w:r>
              <w:rPr>
                <w:rFonts w:hint="eastAsia" w:ascii="仿宋_GB2312" w:hAnsi="黑体" w:eastAsia="仿宋_GB2312" w:cs="宋体"/>
                <w:color w:val="000000"/>
                <w:kern w:val="0"/>
                <w:sz w:val="22"/>
                <w:szCs w:val="22"/>
              </w:rPr>
              <w:t>年度目标完成情况</w:t>
            </w:r>
          </w:p>
        </w:tc>
      </w:tr>
      <w:tr>
        <w:tblPrEx>
          <w:tblCellMar>
            <w:top w:w="0" w:type="dxa"/>
            <w:left w:w="108" w:type="dxa"/>
            <w:bottom w:w="0" w:type="dxa"/>
            <w:right w:w="108" w:type="dxa"/>
          </w:tblCellMar>
        </w:tblPrEx>
        <w:trPr>
          <w:trHeight w:val="709" w:hRule="atLeast"/>
        </w:trPr>
        <w:tc>
          <w:tcPr>
            <w:tcW w:w="679"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color w:val="000000"/>
                <w:kern w:val="0"/>
                <w:sz w:val="22"/>
                <w:szCs w:val="22"/>
              </w:rPr>
            </w:pPr>
          </w:p>
        </w:tc>
        <w:tc>
          <w:tcPr>
            <w:tcW w:w="2055"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color w:val="000000"/>
                <w:kern w:val="0"/>
                <w:sz w:val="22"/>
                <w:szCs w:val="22"/>
              </w:rPr>
            </w:pPr>
          </w:p>
        </w:tc>
        <w:tc>
          <w:tcPr>
            <w:tcW w:w="6212"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加强价格监督、网络交易监管、广告监管，保护消费者合法权益，开展各类市场秩序专项工作，整治市场乱象，优化营商环境，提升基层监管队伍执法能力和监管水平。</w:t>
            </w:r>
          </w:p>
        </w:tc>
        <w:tc>
          <w:tcPr>
            <w:tcW w:w="5194"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仿宋_GB2312" w:hAnsi="黑体" w:eastAsia="仿宋_GB2312" w:cs="宋体"/>
                <w:color w:val="000000"/>
                <w:kern w:val="0"/>
                <w:sz w:val="22"/>
                <w:szCs w:val="22"/>
              </w:rPr>
            </w:pPr>
            <w:r>
              <w:rPr>
                <w:rFonts w:hint="eastAsia" w:ascii="仿宋_GB2312" w:hAnsi="黑体" w:eastAsia="仿宋_GB2312" w:cs="宋体"/>
                <w:color w:val="000000"/>
                <w:kern w:val="0"/>
                <w:sz w:val="22"/>
                <w:szCs w:val="22"/>
              </w:rPr>
              <w:t>市场秩序执法办案专项的实施，保护了消费者合法权益，整治了市场乱象，假冒伪劣产品制售行为不断减少，优化了营商环境，积极处理了“12315”消费者投诉，保障了消费者合法权益，公众对消费投诉处理的满意度不断提升。</w:t>
            </w:r>
          </w:p>
        </w:tc>
      </w:tr>
      <w:tr>
        <w:tblPrEx>
          <w:tblCellMar>
            <w:top w:w="0" w:type="dxa"/>
            <w:left w:w="108" w:type="dxa"/>
            <w:bottom w:w="0" w:type="dxa"/>
            <w:right w:w="108" w:type="dxa"/>
          </w:tblCellMar>
        </w:tblPrEx>
        <w:trPr>
          <w:trHeight w:val="837" w:hRule="atLeast"/>
        </w:trPr>
        <w:tc>
          <w:tcPr>
            <w:tcW w:w="679" w:type="dxa"/>
            <w:vMerge w:val="continue"/>
            <w:tcBorders>
              <w:top w:val="nil"/>
              <w:left w:val="single" w:color="000000" w:sz="4" w:space="0"/>
              <w:bottom w:val="single" w:color="auto" w:sz="4" w:space="0"/>
              <w:right w:val="single" w:color="000000" w:sz="4" w:space="0"/>
            </w:tcBorders>
            <w:vAlign w:val="center"/>
          </w:tcPr>
          <w:p>
            <w:pPr>
              <w:widowControl/>
              <w:jc w:val="left"/>
              <w:rPr>
                <w:rFonts w:ascii="仿宋_GB2312" w:hAnsi="宋体" w:eastAsia="仿宋_GB2312" w:cs="宋体"/>
                <w:color w:val="000000"/>
                <w:kern w:val="0"/>
                <w:sz w:val="22"/>
                <w:szCs w:val="22"/>
              </w:rPr>
            </w:pPr>
          </w:p>
        </w:tc>
        <w:tc>
          <w:tcPr>
            <w:tcW w:w="2055" w:type="dxa"/>
            <w:tcBorders>
              <w:top w:val="nil"/>
              <w:left w:val="nil"/>
              <w:bottom w:val="single" w:color="auto" w:sz="4" w:space="0"/>
              <w:right w:val="single" w:color="000000"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2.项目实施内容及过程概述</w:t>
            </w:r>
          </w:p>
        </w:tc>
        <w:tc>
          <w:tcPr>
            <w:tcW w:w="11406" w:type="dxa"/>
            <w:gridSpan w:val="12"/>
            <w:tcBorders>
              <w:top w:val="single" w:color="000000" w:sz="4" w:space="0"/>
              <w:left w:val="nil"/>
              <w:bottom w:val="single" w:color="auto" w:sz="4" w:space="0"/>
              <w:right w:val="single" w:color="000000"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2022年市场秩序执法办案专项项目由综合股牵头负责工作方案规划、组织、指导市场秩序执法工作。通过制定专项工作计划方案、确定工作目标、明确组织实施措施和策略，更有效地指导工作的正常有序开展。</w:t>
            </w:r>
          </w:p>
        </w:tc>
      </w:tr>
      <w:tr>
        <w:tblPrEx>
          <w:tblCellMar>
            <w:top w:w="0" w:type="dxa"/>
            <w:left w:w="108" w:type="dxa"/>
            <w:bottom w:w="0" w:type="dxa"/>
            <w:right w:w="108" w:type="dxa"/>
          </w:tblCellMar>
        </w:tblPrEx>
        <w:trPr>
          <w:trHeight w:val="360" w:hRule="atLeast"/>
        </w:trPr>
        <w:tc>
          <w:tcPr>
            <w:tcW w:w="67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预算执行情况（10分）</w:t>
            </w:r>
          </w:p>
        </w:tc>
        <w:tc>
          <w:tcPr>
            <w:tcW w:w="20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年度预算数（万元）</w:t>
            </w:r>
          </w:p>
        </w:tc>
        <w:tc>
          <w:tcPr>
            <w:tcW w:w="177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年初预算</w:t>
            </w:r>
          </w:p>
        </w:tc>
        <w:tc>
          <w:tcPr>
            <w:tcW w:w="20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调整后预算数</w:t>
            </w:r>
          </w:p>
        </w:tc>
        <w:tc>
          <w:tcPr>
            <w:tcW w:w="2944"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预算执行数</w:t>
            </w:r>
          </w:p>
        </w:tc>
        <w:tc>
          <w:tcPr>
            <w:tcW w:w="110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预算执行率</w:t>
            </w:r>
          </w:p>
        </w:tc>
        <w:tc>
          <w:tcPr>
            <w:tcW w:w="54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权重</w:t>
            </w:r>
          </w:p>
        </w:tc>
        <w:tc>
          <w:tcPr>
            <w:tcW w:w="4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得分</w:t>
            </w:r>
          </w:p>
        </w:tc>
        <w:tc>
          <w:tcPr>
            <w:tcW w:w="255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原因</w:t>
            </w:r>
          </w:p>
        </w:tc>
      </w:tr>
      <w:tr>
        <w:tblPrEx>
          <w:tblCellMar>
            <w:top w:w="0" w:type="dxa"/>
            <w:left w:w="108" w:type="dxa"/>
            <w:bottom w:w="0" w:type="dxa"/>
            <w:right w:w="108" w:type="dxa"/>
          </w:tblCellMar>
        </w:tblPrEx>
        <w:trPr>
          <w:trHeight w:val="387"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总额</w:t>
            </w:r>
          </w:p>
        </w:tc>
        <w:tc>
          <w:tcPr>
            <w:tcW w:w="177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10.13</w:t>
            </w:r>
          </w:p>
        </w:tc>
        <w:tc>
          <w:tcPr>
            <w:tcW w:w="20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7.20</w:t>
            </w:r>
          </w:p>
        </w:tc>
        <w:tc>
          <w:tcPr>
            <w:tcW w:w="2944"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5.51</w:t>
            </w:r>
          </w:p>
        </w:tc>
        <w:tc>
          <w:tcPr>
            <w:tcW w:w="110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54.39%</w:t>
            </w:r>
          </w:p>
        </w:tc>
        <w:tc>
          <w:tcPr>
            <w:tcW w:w="54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w:t>
            </w:r>
          </w:p>
        </w:tc>
        <w:tc>
          <w:tcPr>
            <w:tcW w:w="4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　</w:t>
            </w:r>
          </w:p>
        </w:tc>
        <w:tc>
          <w:tcPr>
            <w:tcW w:w="255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黑体" w:eastAsia="仿宋_GB2312" w:cs="宋体"/>
                <w:iCs/>
                <w:color w:val="000000"/>
                <w:kern w:val="0"/>
                <w:sz w:val="22"/>
                <w:szCs w:val="22"/>
              </w:rPr>
            </w:pPr>
            <w:r>
              <w:rPr>
                <w:rFonts w:hint="eastAsia" w:ascii="仿宋_GB2312" w:hAnsi="黑体" w:eastAsia="仿宋_GB2312" w:cs="宋体"/>
                <w:iCs/>
                <w:color w:val="000000"/>
                <w:kern w:val="0"/>
                <w:sz w:val="22"/>
                <w:szCs w:val="22"/>
              </w:rPr>
              <w:t>预算执行进度慢的原因：受疫情防控出行限制的影响，许多跨区域的案件未能及时办理，培训计划以及需要外地公司配合的抽检计划均未能按时间节点正常开展，以及上年结转2.93万元，导致资金使用进度较慢。</w:t>
            </w:r>
          </w:p>
        </w:tc>
      </w:tr>
      <w:tr>
        <w:tblPrEx>
          <w:tblCellMar>
            <w:top w:w="0" w:type="dxa"/>
            <w:left w:w="108" w:type="dxa"/>
            <w:bottom w:w="0" w:type="dxa"/>
            <w:right w:w="108" w:type="dxa"/>
          </w:tblCellMar>
        </w:tblPrEx>
        <w:trPr>
          <w:trHeight w:val="432"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其中：财政资金</w:t>
            </w:r>
          </w:p>
        </w:tc>
        <w:tc>
          <w:tcPr>
            <w:tcW w:w="177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7.20</w:t>
            </w:r>
          </w:p>
        </w:tc>
        <w:tc>
          <w:tcPr>
            <w:tcW w:w="20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7.20</w:t>
            </w:r>
          </w:p>
        </w:tc>
        <w:tc>
          <w:tcPr>
            <w:tcW w:w="2944"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2.58</w:t>
            </w:r>
          </w:p>
        </w:tc>
        <w:tc>
          <w:tcPr>
            <w:tcW w:w="110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35.82%</w:t>
            </w:r>
          </w:p>
        </w:tc>
        <w:tc>
          <w:tcPr>
            <w:tcW w:w="54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4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255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黑体" w:eastAsia="仿宋_GB2312" w:cs="宋体"/>
                <w:iCs/>
                <w:color w:val="000000"/>
                <w:kern w:val="0"/>
                <w:sz w:val="22"/>
                <w:szCs w:val="22"/>
              </w:rPr>
            </w:pPr>
          </w:p>
        </w:tc>
      </w:tr>
      <w:tr>
        <w:tblPrEx>
          <w:tblCellMar>
            <w:top w:w="0" w:type="dxa"/>
            <w:left w:w="108" w:type="dxa"/>
            <w:bottom w:w="0" w:type="dxa"/>
            <w:right w:w="108" w:type="dxa"/>
          </w:tblCellMar>
        </w:tblPrEx>
        <w:trPr>
          <w:trHeight w:val="447"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财政专户管理资金</w:t>
            </w:r>
          </w:p>
        </w:tc>
        <w:tc>
          <w:tcPr>
            <w:tcW w:w="177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0.00</w:t>
            </w:r>
          </w:p>
        </w:tc>
        <w:tc>
          <w:tcPr>
            <w:tcW w:w="20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0.00</w:t>
            </w:r>
          </w:p>
        </w:tc>
        <w:tc>
          <w:tcPr>
            <w:tcW w:w="2944"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0.00</w:t>
            </w:r>
          </w:p>
        </w:tc>
        <w:tc>
          <w:tcPr>
            <w:tcW w:w="110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0.00%</w:t>
            </w:r>
          </w:p>
        </w:tc>
        <w:tc>
          <w:tcPr>
            <w:tcW w:w="54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4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255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黑体" w:eastAsia="仿宋_GB2312" w:cs="宋体"/>
                <w:iCs/>
                <w:color w:val="000000"/>
                <w:kern w:val="0"/>
                <w:sz w:val="22"/>
                <w:szCs w:val="22"/>
              </w:rPr>
            </w:pPr>
          </w:p>
        </w:tc>
      </w:tr>
      <w:tr>
        <w:tblPrEx>
          <w:tblCellMar>
            <w:top w:w="0" w:type="dxa"/>
            <w:left w:w="108" w:type="dxa"/>
            <w:bottom w:w="0" w:type="dxa"/>
            <w:right w:w="108" w:type="dxa"/>
          </w:tblCellMar>
        </w:tblPrEx>
        <w:trPr>
          <w:trHeight w:val="402"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单位资金</w:t>
            </w:r>
          </w:p>
        </w:tc>
        <w:tc>
          <w:tcPr>
            <w:tcW w:w="177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0.00</w:t>
            </w:r>
          </w:p>
        </w:tc>
        <w:tc>
          <w:tcPr>
            <w:tcW w:w="20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0.00</w:t>
            </w:r>
          </w:p>
        </w:tc>
        <w:tc>
          <w:tcPr>
            <w:tcW w:w="2944"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0.00</w:t>
            </w:r>
          </w:p>
        </w:tc>
        <w:tc>
          <w:tcPr>
            <w:tcW w:w="110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0.00%</w:t>
            </w:r>
          </w:p>
        </w:tc>
        <w:tc>
          <w:tcPr>
            <w:tcW w:w="54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4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255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黑体" w:eastAsia="仿宋_GB2312" w:cs="宋体"/>
                <w:iCs/>
                <w:color w:val="000000"/>
                <w:kern w:val="0"/>
                <w:sz w:val="22"/>
                <w:szCs w:val="22"/>
              </w:rPr>
            </w:pPr>
          </w:p>
        </w:tc>
      </w:tr>
      <w:tr>
        <w:tblPrEx>
          <w:tblCellMar>
            <w:top w:w="0" w:type="dxa"/>
            <w:left w:w="108" w:type="dxa"/>
            <w:bottom w:w="0" w:type="dxa"/>
            <w:right w:w="108" w:type="dxa"/>
          </w:tblCellMar>
        </w:tblPrEx>
        <w:trPr>
          <w:trHeight w:val="379"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其他资金</w:t>
            </w:r>
          </w:p>
        </w:tc>
        <w:tc>
          <w:tcPr>
            <w:tcW w:w="177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2.93</w:t>
            </w:r>
          </w:p>
        </w:tc>
        <w:tc>
          <w:tcPr>
            <w:tcW w:w="20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2.93</w:t>
            </w:r>
          </w:p>
        </w:tc>
        <w:tc>
          <w:tcPr>
            <w:tcW w:w="2944"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2.93</w:t>
            </w:r>
          </w:p>
        </w:tc>
        <w:tc>
          <w:tcPr>
            <w:tcW w:w="110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100.00%</w:t>
            </w:r>
          </w:p>
        </w:tc>
        <w:tc>
          <w:tcPr>
            <w:tcW w:w="54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4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255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黑体" w:eastAsia="仿宋_GB2312" w:cs="宋体"/>
                <w:iCs/>
                <w:color w:val="000000"/>
                <w:kern w:val="0"/>
                <w:sz w:val="22"/>
                <w:szCs w:val="22"/>
              </w:rPr>
            </w:pPr>
          </w:p>
        </w:tc>
      </w:tr>
      <w:tr>
        <w:tblPrEx>
          <w:tblCellMar>
            <w:top w:w="0" w:type="dxa"/>
            <w:left w:w="108" w:type="dxa"/>
            <w:bottom w:w="0" w:type="dxa"/>
            <w:right w:w="108" w:type="dxa"/>
          </w:tblCellMar>
        </w:tblPrEx>
        <w:trPr>
          <w:trHeight w:val="454" w:hRule="atLeast"/>
        </w:trPr>
        <w:tc>
          <w:tcPr>
            <w:tcW w:w="67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绩效指标（90分）</w:t>
            </w:r>
          </w:p>
        </w:tc>
        <w:tc>
          <w:tcPr>
            <w:tcW w:w="20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一级指标</w:t>
            </w:r>
          </w:p>
        </w:tc>
        <w:tc>
          <w:tcPr>
            <w:tcW w:w="177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二级指标</w:t>
            </w:r>
          </w:p>
        </w:tc>
        <w:tc>
          <w:tcPr>
            <w:tcW w:w="20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三级指标</w:t>
            </w:r>
          </w:p>
        </w:tc>
        <w:tc>
          <w:tcPr>
            <w:tcW w:w="99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指标性质</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指标值</w:t>
            </w:r>
          </w:p>
        </w:tc>
        <w:tc>
          <w:tcPr>
            <w:tcW w:w="818"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度量单位</w:t>
            </w:r>
          </w:p>
        </w:tc>
        <w:tc>
          <w:tcPr>
            <w:tcW w:w="110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完成值</w:t>
            </w:r>
          </w:p>
        </w:tc>
        <w:tc>
          <w:tcPr>
            <w:tcW w:w="54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权重</w:t>
            </w:r>
          </w:p>
        </w:tc>
        <w:tc>
          <w:tcPr>
            <w:tcW w:w="4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得分</w:t>
            </w:r>
          </w:p>
        </w:tc>
        <w:tc>
          <w:tcPr>
            <w:tcW w:w="255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未完成原因分析</w:t>
            </w:r>
          </w:p>
        </w:tc>
      </w:tr>
      <w:tr>
        <w:tblPrEx>
          <w:tblCellMar>
            <w:top w:w="0" w:type="dxa"/>
            <w:left w:w="108" w:type="dxa"/>
            <w:bottom w:w="0" w:type="dxa"/>
            <w:right w:w="108" w:type="dxa"/>
          </w:tblCellMar>
        </w:tblPrEx>
        <w:trPr>
          <w:trHeight w:val="423"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5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产出指标</w:t>
            </w:r>
          </w:p>
        </w:tc>
        <w:tc>
          <w:tcPr>
            <w:tcW w:w="177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数量指标</w:t>
            </w:r>
          </w:p>
        </w:tc>
        <w:tc>
          <w:tcPr>
            <w:tcW w:w="20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网络交易执法</w:t>
            </w:r>
          </w:p>
        </w:tc>
        <w:tc>
          <w:tcPr>
            <w:tcW w:w="99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w:t>
            </w:r>
          </w:p>
        </w:tc>
        <w:tc>
          <w:tcPr>
            <w:tcW w:w="818"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次</w:t>
            </w:r>
          </w:p>
        </w:tc>
        <w:tc>
          <w:tcPr>
            <w:tcW w:w="110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1</w:t>
            </w:r>
          </w:p>
        </w:tc>
        <w:tc>
          <w:tcPr>
            <w:tcW w:w="54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5</w:t>
            </w:r>
          </w:p>
        </w:tc>
        <w:tc>
          <w:tcPr>
            <w:tcW w:w="4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5</w:t>
            </w:r>
          </w:p>
        </w:tc>
        <w:tc>
          <w:tcPr>
            <w:tcW w:w="255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r>
      <w:tr>
        <w:tblPrEx>
          <w:tblCellMar>
            <w:top w:w="0" w:type="dxa"/>
            <w:left w:w="108" w:type="dxa"/>
            <w:bottom w:w="0" w:type="dxa"/>
            <w:right w:w="108" w:type="dxa"/>
          </w:tblCellMar>
        </w:tblPrEx>
        <w:trPr>
          <w:trHeight w:val="338"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5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177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商品抽检</w:t>
            </w:r>
          </w:p>
        </w:tc>
        <w:tc>
          <w:tcPr>
            <w:tcW w:w="99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w:t>
            </w:r>
          </w:p>
        </w:tc>
        <w:tc>
          <w:tcPr>
            <w:tcW w:w="818"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批次</w:t>
            </w:r>
          </w:p>
        </w:tc>
        <w:tc>
          <w:tcPr>
            <w:tcW w:w="110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10</w:t>
            </w:r>
          </w:p>
        </w:tc>
        <w:tc>
          <w:tcPr>
            <w:tcW w:w="54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5</w:t>
            </w:r>
          </w:p>
        </w:tc>
        <w:tc>
          <w:tcPr>
            <w:tcW w:w="46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pPr>
            <w:r>
              <w:rPr>
                <w:rFonts w:hint="eastAsia" w:ascii="仿宋_GB2312" w:hAnsi="宋体" w:eastAsia="仿宋_GB2312" w:cs="宋体"/>
                <w:color w:val="000000"/>
                <w:kern w:val="0"/>
                <w:sz w:val="22"/>
                <w:szCs w:val="22"/>
              </w:rPr>
              <w:t>5</w:t>
            </w:r>
          </w:p>
        </w:tc>
        <w:tc>
          <w:tcPr>
            <w:tcW w:w="255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r>
      <w:tr>
        <w:tblPrEx>
          <w:tblCellMar>
            <w:top w:w="0" w:type="dxa"/>
            <w:left w:w="108" w:type="dxa"/>
            <w:bottom w:w="0" w:type="dxa"/>
            <w:right w:w="108" w:type="dxa"/>
          </w:tblCellMar>
        </w:tblPrEx>
        <w:trPr>
          <w:trHeight w:val="338"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5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177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合同监管执法</w:t>
            </w:r>
          </w:p>
        </w:tc>
        <w:tc>
          <w:tcPr>
            <w:tcW w:w="99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w:t>
            </w:r>
          </w:p>
        </w:tc>
        <w:tc>
          <w:tcPr>
            <w:tcW w:w="818"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次</w:t>
            </w:r>
          </w:p>
        </w:tc>
        <w:tc>
          <w:tcPr>
            <w:tcW w:w="110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1</w:t>
            </w:r>
          </w:p>
        </w:tc>
        <w:tc>
          <w:tcPr>
            <w:tcW w:w="54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5</w:t>
            </w:r>
          </w:p>
        </w:tc>
        <w:tc>
          <w:tcPr>
            <w:tcW w:w="46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pPr>
            <w:r>
              <w:rPr>
                <w:rFonts w:hint="eastAsia" w:ascii="仿宋_GB2312" w:hAnsi="宋体" w:eastAsia="仿宋_GB2312" w:cs="宋体"/>
                <w:color w:val="000000"/>
                <w:kern w:val="0"/>
                <w:sz w:val="22"/>
                <w:szCs w:val="22"/>
              </w:rPr>
              <w:t>5</w:t>
            </w:r>
          </w:p>
        </w:tc>
        <w:tc>
          <w:tcPr>
            <w:tcW w:w="255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r>
      <w:tr>
        <w:tblPrEx>
          <w:tblCellMar>
            <w:top w:w="0" w:type="dxa"/>
            <w:left w:w="108" w:type="dxa"/>
            <w:bottom w:w="0" w:type="dxa"/>
            <w:right w:w="108" w:type="dxa"/>
          </w:tblCellMar>
        </w:tblPrEx>
        <w:trPr>
          <w:trHeight w:val="338"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5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177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价格监督</w:t>
            </w:r>
          </w:p>
        </w:tc>
        <w:tc>
          <w:tcPr>
            <w:tcW w:w="99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w:t>
            </w:r>
          </w:p>
        </w:tc>
        <w:tc>
          <w:tcPr>
            <w:tcW w:w="818"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次</w:t>
            </w:r>
          </w:p>
        </w:tc>
        <w:tc>
          <w:tcPr>
            <w:tcW w:w="110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2</w:t>
            </w:r>
          </w:p>
        </w:tc>
        <w:tc>
          <w:tcPr>
            <w:tcW w:w="54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5</w:t>
            </w:r>
          </w:p>
        </w:tc>
        <w:tc>
          <w:tcPr>
            <w:tcW w:w="46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pPr>
            <w:r>
              <w:rPr>
                <w:rFonts w:hint="eastAsia" w:ascii="仿宋_GB2312" w:hAnsi="宋体" w:eastAsia="仿宋_GB2312" w:cs="宋体"/>
                <w:color w:val="000000"/>
                <w:kern w:val="0"/>
                <w:sz w:val="22"/>
                <w:szCs w:val="22"/>
              </w:rPr>
              <w:t>5</w:t>
            </w:r>
          </w:p>
        </w:tc>
        <w:tc>
          <w:tcPr>
            <w:tcW w:w="255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r>
      <w:tr>
        <w:tblPrEx>
          <w:tblCellMar>
            <w:top w:w="0" w:type="dxa"/>
            <w:left w:w="108" w:type="dxa"/>
            <w:bottom w:w="0" w:type="dxa"/>
            <w:right w:w="108" w:type="dxa"/>
          </w:tblCellMar>
        </w:tblPrEx>
        <w:trPr>
          <w:trHeight w:val="338"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5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177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消费者权益日宣传</w:t>
            </w:r>
          </w:p>
        </w:tc>
        <w:tc>
          <w:tcPr>
            <w:tcW w:w="99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w:t>
            </w:r>
          </w:p>
        </w:tc>
        <w:tc>
          <w:tcPr>
            <w:tcW w:w="818"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次</w:t>
            </w:r>
          </w:p>
        </w:tc>
        <w:tc>
          <w:tcPr>
            <w:tcW w:w="110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1</w:t>
            </w:r>
          </w:p>
        </w:tc>
        <w:tc>
          <w:tcPr>
            <w:tcW w:w="54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5</w:t>
            </w:r>
          </w:p>
        </w:tc>
        <w:tc>
          <w:tcPr>
            <w:tcW w:w="46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pPr>
            <w:r>
              <w:rPr>
                <w:rFonts w:hint="eastAsia" w:ascii="仿宋_GB2312" w:hAnsi="宋体" w:eastAsia="仿宋_GB2312" w:cs="宋体"/>
                <w:color w:val="000000"/>
                <w:kern w:val="0"/>
                <w:sz w:val="22"/>
                <w:szCs w:val="22"/>
              </w:rPr>
              <w:t>5</w:t>
            </w:r>
          </w:p>
        </w:tc>
        <w:tc>
          <w:tcPr>
            <w:tcW w:w="255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r>
      <w:tr>
        <w:tblPrEx>
          <w:tblCellMar>
            <w:top w:w="0" w:type="dxa"/>
            <w:left w:w="108" w:type="dxa"/>
            <w:bottom w:w="0" w:type="dxa"/>
            <w:right w:w="108" w:type="dxa"/>
          </w:tblCellMar>
        </w:tblPrEx>
        <w:trPr>
          <w:trHeight w:val="338"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5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177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打击传销</w:t>
            </w:r>
          </w:p>
        </w:tc>
        <w:tc>
          <w:tcPr>
            <w:tcW w:w="99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w:t>
            </w:r>
          </w:p>
        </w:tc>
        <w:tc>
          <w:tcPr>
            <w:tcW w:w="818"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次</w:t>
            </w:r>
          </w:p>
        </w:tc>
        <w:tc>
          <w:tcPr>
            <w:tcW w:w="110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1</w:t>
            </w:r>
          </w:p>
        </w:tc>
        <w:tc>
          <w:tcPr>
            <w:tcW w:w="54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5</w:t>
            </w:r>
          </w:p>
        </w:tc>
        <w:tc>
          <w:tcPr>
            <w:tcW w:w="46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pPr>
            <w:r>
              <w:rPr>
                <w:rFonts w:hint="eastAsia" w:ascii="仿宋_GB2312" w:hAnsi="宋体" w:eastAsia="仿宋_GB2312" w:cs="宋体"/>
                <w:color w:val="000000"/>
                <w:kern w:val="0"/>
                <w:sz w:val="22"/>
                <w:szCs w:val="22"/>
              </w:rPr>
              <w:t>5</w:t>
            </w:r>
          </w:p>
        </w:tc>
        <w:tc>
          <w:tcPr>
            <w:tcW w:w="255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r>
      <w:tr>
        <w:tblPrEx>
          <w:tblCellMar>
            <w:top w:w="0" w:type="dxa"/>
            <w:left w:w="108" w:type="dxa"/>
            <w:bottom w:w="0" w:type="dxa"/>
            <w:right w:w="108" w:type="dxa"/>
          </w:tblCellMar>
        </w:tblPrEx>
        <w:trPr>
          <w:trHeight w:val="338"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5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177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诉转案</w:t>
            </w:r>
          </w:p>
        </w:tc>
        <w:tc>
          <w:tcPr>
            <w:tcW w:w="99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3</w:t>
            </w:r>
          </w:p>
        </w:tc>
        <w:tc>
          <w:tcPr>
            <w:tcW w:w="818"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次</w:t>
            </w:r>
          </w:p>
        </w:tc>
        <w:tc>
          <w:tcPr>
            <w:tcW w:w="110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3</w:t>
            </w:r>
          </w:p>
        </w:tc>
        <w:tc>
          <w:tcPr>
            <w:tcW w:w="54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5</w:t>
            </w:r>
          </w:p>
        </w:tc>
        <w:tc>
          <w:tcPr>
            <w:tcW w:w="46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pPr>
            <w:r>
              <w:rPr>
                <w:rFonts w:hint="eastAsia" w:ascii="仿宋_GB2312" w:hAnsi="宋体" w:eastAsia="仿宋_GB2312" w:cs="宋体"/>
                <w:color w:val="000000"/>
                <w:kern w:val="0"/>
                <w:sz w:val="22"/>
                <w:szCs w:val="22"/>
              </w:rPr>
              <w:t>5</w:t>
            </w:r>
          </w:p>
        </w:tc>
        <w:tc>
          <w:tcPr>
            <w:tcW w:w="255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r>
      <w:tr>
        <w:tblPrEx>
          <w:tblCellMar>
            <w:top w:w="0" w:type="dxa"/>
            <w:left w:w="108" w:type="dxa"/>
            <w:bottom w:w="0" w:type="dxa"/>
            <w:right w:w="108" w:type="dxa"/>
          </w:tblCellMar>
        </w:tblPrEx>
        <w:trPr>
          <w:trHeight w:val="338"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5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177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广告执法</w:t>
            </w:r>
          </w:p>
        </w:tc>
        <w:tc>
          <w:tcPr>
            <w:tcW w:w="99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w:t>
            </w:r>
          </w:p>
        </w:tc>
        <w:tc>
          <w:tcPr>
            <w:tcW w:w="818"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次</w:t>
            </w:r>
          </w:p>
        </w:tc>
        <w:tc>
          <w:tcPr>
            <w:tcW w:w="110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1</w:t>
            </w:r>
          </w:p>
        </w:tc>
        <w:tc>
          <w:tcPr>
            <w:tcW w:w="54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5</w:t>
            </w:r>
          </w:p>
        </w:tc>
        <w:tc>
          <w:tcPr>
            <w:tcW w:w="46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pPr>
            <w:r>
              <w:rPr>
                <w:rFonts w:hint="eastAsia" w:ascii="仿宋_GB2312" w:hAnsi="宋体" w:eastAsia="仿宋_GB2312" w:cs="宋体"/>
                <w:color w:val="000000"/>
                <w:kern w:val="0"/>
                <w:sz w:val="22"/>
                <w:szCs w:val="22"/>
              </w:rPr>
              <w:t>5</w:t>
            </w:r>
          </w:p>
        </w:tc>
        <w:tc>
          <w:tcPr>
            <w:tcW w:w="255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r>
      <w:tr>
        <w:tblPrEx>
          <w:tblCellMar>
            <w:top w:w="0" w:type="dxa"/>
            <w:left w:w="108" w:type="dxa"/>
            <w:bottom w:w="0" w:type="dxa"/>
            <w:right w:w="108" w:type="dxa"/>
          </w:tblCellMar>
        </w:tblPrEx>
        <w:trPr>
          <w:trHeight w:val="338"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5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177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质量指标</w:t>
            </w:r>
          </w:p>
        </w:tc>
        <w:tc>
          <w:tcPr>
            <w:tcW w:w="20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抽检不合格商品处置率</w:t>
            </w:r>
          </w:p>
        </w:tc>
        <w:tc>
          <w:tcPr>
            <w:tcW w:w="99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100</w:t>
            </w:r>
          </w:p>
        </w:tc>
        <w:tc>
          <w:tcPr>
            <w:tcW w:w="818"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110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100</w:t>
            </w:r>
          </w:p>
        </w:tc>
        <w:tc>
          <w:tcPr>
            <w:tcW w:w="54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5</w:t>
            </w:r>
          </w:p>
        </w:tc>
        <w:tc>
          <w:tcPr>
            <w:tcW w:w="46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pPr>
            <w:r>
              <w:rPr>
                <w:rFonts w:hint="eastAsia" w:ascii="仿宋_GB2312" w:hAnsi="宋体" w:eastAsia="仿宋_GB2312" w:cs="宋体"/>
                <w:color w:val="000000"/>
                <w:kern w:val="0"/>
                <w:sz w:val="22"/>
                <w:szCs w:val="22"/>
              </w:rPr>
              <w:t>5</w:t>
            </w:r>
          </w:p>
        </w:tc>
        <w:tc>
          <w:tcPr>
            <w:tcW w:w="255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r>
      <w:tr>
        <w:tblPrEx>
          <w:tblCellMar>
            <w:top w:w="0" w:type="dxa"/>
            <w:left w:w="108" w:type="dxa"/>
            <w:bottom w:w="0" w:type="dxa"/>
            <w:right w:w="108" w:type="dxa"/>
          </w:tblCellMar>
        </w:tblPrEx>
        <w:trPr>
          <w:trHeight w:val="452"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5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177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投诉处置率</w:t>
            </w:r>
          </w:p>
        </w:tc>
        <w:tc>
          <w:tcPr>
            <w:tcW w:w="99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100</w:t>
            </w:r>
          </w:p>
        </w:tc>
        <w:tc>
          <w:tcPr>
            <w:tcW w:w="818"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110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100</w:t>
            </w:r>
          </w:p>
        </w:tc>
        <w:tc>
          <w:tcPr>
            <w:tcW w:w="54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5</w:t>
            </w:r>
          </w:p>
        </w:tc>
        <w:tc>
          <w:tcPr>
            <w:tcW w:w="46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pPr>
            <w:r>
              <w:rPr>
                <w:rFonts w:hint="eastAsia" w:ascii="仿宋_GB2312" w:hAnsi="宋体" w:eastAsia="仿宋_GB2312" w:cs="宋体"/>
                <w:color w:val="000000"/>
                <w:kern w:val="0"/>
                <w:sz w:val="22"/>
                <w:szCs w:val="22"/>
              </w:rPr>
              <w:t>5</w:t>
            </w:r>
          </w:p>
        </w:tc>
        <w:tc>
          <w:tcPr>
            <w:tcW w:w="255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r>
      <w:tr>
        <w:tblPrEx>
          <w:tblCellMar>
            <w:top w:w="0" w:type="dxa"/>
            <w:left w:w="108" w:type="dxa"/>
            <w:bottom w:w="0" w:type="dxa"/>
            <w:right w:w="108" w:type="dxa"/>
          </w:tblCellMar>
        </w:tblPrEx>
        <w:trPr>
          <w:trHeight w:val="386"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5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177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案件查办率</w:t>
            </w:r>
          </w:p>
        </w:tc>
        <w:tc>
          <w:tcPr>
            <w:tcW w:w="99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100</w:t>
            </w:r>
          </w:p>
        </w:tc>
        <w:tc>
          <w:tcPr>
            <w:tcW w:w="818"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110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100</w:t>
            </w:r>
          </w:p>
        </w:tc>
        <w:tc>
          <w:tcPr>
            <w:tcW w:w="54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5</w:t>
            </w:r>
          </w:p>
        </w:tc>
        <w:tc>
          <w:tcPr>
            <w:tcW w:w="46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pPr>
            <w:r>
              <w:rPr>
                <w:rFonts w:hint="eastAsia" w:ascii="仿宋_GB2312" w:hAnsi="宋体" w:eastAsia="仿宋_GB2312" w:cs="宋体"/>
                <w:color w:val="000000"/>
                <w:kern w:val="0"/>
                <w:sz w:val="22"/>
                <w:szCs w:val="22"/>
              </w:rPr>
              <w:t>5</w:t>
            </w:r>
          </w:p>
        </w:tc>
        <w:tc>
          <w:tcPr>
            <w:tcW w:w="255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r>
      <w:tr>
        <w:tblPrEx>
          <w:tblCellMar>
            <w:top w:w="0" w:type="dxa"/>
            <w:left w:w="108" w:type="dxa"/>
            <w:bottom w:w="0" w:type="dxa"/>
            <w:right w:w="108" w:type="dxa"/>
          </w:tblCellMar>
        </w:tblPrEx>
        <w:trPr>
          <w:trHeight w:val="462"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5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177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时效指标</w:t>
            </w:r>
          </w:p>
        </w:tc>
        <w:tc>
          <w:tcPr>
            <w:tcW w:w="20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任务完成时间</w:t>
            </w:r>
          </w:p>
        </w:tc>
        <w:tc>
          <w:tcPr>
            <w:tcW w:w="99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12</w:t>
            </w:r>
          </w:p>
        </w:tc>
        <w:tc>
          <w:tcPr>
            <w:tcW w:w="818"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月</w:t>
            </w:r>
          </w:p>
        </w:tc>
        <w:tc>
          <w:tcPr>
            <w:tcW w:w="110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按时完成</w:t>
            </w:r>
          </w:p>
        </w:tc>
        <w:tc>
          <w:tcPr>
            <w:tcW w:w="54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5</w:t>
            </w:r>
          </w:p>
        </w:tc>
        <w:tc>
          <w:tcPr>
            <w:tcW w:w="46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pPr>
            <w:r>
              <w:rPr>
                <w:rFonts w:hint="eastAsia" w:ascii="仿宋_GB2312" w:hAnsi="宋体" w:eastAsia="仿宋_GB2312" w:cs="宋体"/>
                <w:color w:val="000000"/>
                <w:kern w:val="0"/>
                <w:sz w:val="22"/>
                <w:szCs w:val="22"/>
              </w:rPr>
              <w:t>5</w:t>
            </w:r>
          </w:p>
        </w:tc>
        <w:tc>
          <w:tcPr>
            <w:tcW w:w="255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r>
      <w:tr>
        <w:tblPrEx>
          <w:tblCellMar>
            <w:top w:w="0" w:type="dxa"/>
            <w:left w:w="108" w:type="dxa"/>
            <w:bottom w:w="0" w:type="dxa"/>
            <w:right w:w="108" w:type="dxa"/>
          </w:tblCellMar>
        </w:tblPrEx>
        <w:trPr>
          <w:trHeight w:val="338"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5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177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成本指标</w:t>
            </w:r>
          </w:p>
        </w:tc>
        <w:tc>
          <w:tcPr>
            <w:tcW w:w="20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宣传成本每次</w:t>
            </w:r>
          </w:p>
        </w:tc>
        <w:tc>
          <w:tcPr>
            <w:tcW w:w="99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10000</w:t>
            </w:r>
          </w:p>
        </w:tc>
        <w:tc>
          <w:tcPr>
            <w:tcW w:w="818"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元</w:t>
            </w:r>
          </w:p>
        </w:tc>
        <w:tc>
          <w:tcPr>
            <w:tcW w:w="110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按标准执行</w:t>
            </w:r>
          </w:p>
        </w:tc>
        <w:tc>
          <w:tcPr>
            <w:tcW w:w="54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5</w:t>
            </w:r>
          </w:p>
        </w:tc>
        <w:tc>
          <w:tcPr>
            <w:tcW w:w="46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pPr>
            <w:r>
              <w:rPr>
                <w:rFonts w:hint="eastAsia" w:ascii="仿宋_GB2312" w:hAnsi="宋体" w:eastAsia="仿宋_GB2312" w:cs="宋体"/>
                <w:color w:val="000000"/>
                <w:kern w:val="0"/>
                <w:sz w:val="22"/>
                <w:szCs w:val="22"/>
              </w:rPr>
              <w:t>5</w:t>
            </w:r>
          </w:p>
        </w:tc>
        <w:tc>
          <w:tcPr>
            <w:tcW w:w="255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r>
      <w:tr>
        <w:tblPrEx>
          <w:tblCellMar>
            <w:top w:w="0" w:type="dxa"/>
            <w:left w:w="108" w:type="dxa"/>
            <w:bottom w:w="0" w:type="dxa"/>
            <w:right w:w="108" w:type="dxa"/>
          </w:tblCellMar>
        </w:tblPrEx>
        <w:trPr>
          <w:trHeight w:val="338"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5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177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差旅补助成本每人每天</w:t>
            </w:r>
          </w:p>
        </w:tc>
        <w:tc>
          <w:tcPr>
            <w:tcW w:w="99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180</w:t>
            </w:r>
          </w:p>
        </w:tc>
        <w:tc>
          <w:tcPr>
            <w:tcW w:w="818"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元</w:t>
            </w:r>
          </w:p>
        </w:tc>
        <w:tc>
          <w:tcPr>
            <w:tcW w:w="110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按标准执行</w:t>
            </w:r>
          </w:p>
        </w:tc>
        <w:tc>
          <w:tcPr>
            <w:tcW w:w="54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5</w:t>
            </w:r>
          </w:p>
        </w:tc>
        <w:tc>
          <w:tcPr>
            <w:tcW w:w="46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pPr>
            <w:r>
              <w:rPr>
                <w:rFonts w:hint="eastAsia" w:ascii="仿宋_GB2312" w:hAnsi="宋体" w:eastAsia="仿宋_GB2312" w:cs="宋体"/>
                <w:color w:val="000000"/>
                <w:kern w:val="0"/>
                <w:sz w:val="22"/>
                <w:szCs w:val="22"/>
              </w:rPr>
              <w:t>5</w:t>
            </w:r>
          </w:p>
        </w:tc>
        <w:tc>
          <w:tcPr>
            <w:tcW w:w="255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r>
      <w:tr>
        <w:tblPrEx>
          <w:tblCellMar>
            <w:top w:w="0" w:type="dxa"/>
            <w:left w:w="108" w:type="dxa"/>
            <w:bottom w:w="0" w:type="dxa"/>
            <w:right w:w="108" w:type="dxa"/>
          </w:tblCellMar>
        </w:tblPrEx>
        <w:trPr>
          <w:trHeight w:val="338"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5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177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抽检平均成本（每批次）</w:t>
            </w:r>
          </w:p>
        </w:tc>
        <w:tc>
          <w:tcPr>
            <w:tcW w:w="99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3000</w:t>
            </w:r>
          </w:p>
        </w:tc>
        <w:tc>
          <w:tcPr>
            <w:tcW w:w="818"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元</w:t>
            </w:r>
          </w:p>
        </w:tc>
        <w:tc>
          <w:tcPr>
            <w:tcW w:w="110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按标准执行</w:t>
            </w:r>
          </w:p>
        </w:tc>
        <w:tc>
          <w:tcPr>
            <w:tcW w:w="54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5</w:t>
            </w:r>
          </w:p>
        </w:tc>
        <w:tc>
          <w:tcPr>
            <w:tcW w:w="46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pPr>
            <w:r>
              <w:rPr>
                <w:rFonts w:hint="eastAsia" w:ascii="仿宋_GB2312" w:hAnsi="宋体" w:eastAsia="仿宋_GB2312" w:cs="宋体"/>
                <w:color w:val="000000"/>
                <w:kern w:val="0"/>
                <w:sz w:val="22"/>
                <w:szCs w:val="22"/>
              </w:rPr>
              <w:t>5</w:t>
            </w:r>
          </w:p>
        </w:tc>
        <w:tc>
          <w:tcPr>
            <w:tcW w:w="255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r>
      <w:tr>
        <w:tblPrEx>
          <w:tblCellMar>
            <w:top w:w="0" w:type="dxa"/>
            <w:left w:w="108" w:type="dxa"/>
            <w:bottom w:w="0" w:type="dxa"/>
            <w:right w:w="108" w:type="dxa"/>
          </w:tblCellMar>
        </w:tblPrEx>
        <w:trPr>
          <w:trHeight w:val="561"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5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效益指标</w:t>
            </w:r>
          </w:p>
        </w:tc>
        <w:tc>
          <w:tcPr>
            <w:tcW w:w="177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社会效益指标</w:t>
            </w:r>
          </w:p>
        </w:tc>
        <w:tc>
          <w:tcPr>
            <w:tcW w:w="20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市场秩序监管率</w:t>
            </w:r>
          </w:p>
        </w:tc>
        <w:tc>
          <w:tcPr>
            <w:tcW w:w="99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70</w:t>
            </w:r>
          </w:p>
        </w:tc>
        <w:tc>
          <w:tcPr>
            <w:tcW w:w="818"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110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70</w:t>
            </w:r>
          </w:p>
        </w:tc>
        <w:tc>
          <w:tcPr>
            <w:tcW w:w="54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w:t>
            </w:r>
          </w:p>
        </w:tc>
        <w:tc>
          <w:tcPr>
            <w:tcW w:w="4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w:t>
            </w:r>
          </w:p>
        </w:tc>
        <w:tc>
          <w:tcPr>
            <w:tcW w:w="255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r>
      <w:tr>
        <w:tblPrEx>
          <w:tblCellMar>
            <w:top w:w="0" w:type="dxa"/>
            <w:left w:w="108" w:type="dxa"/>
            <w:bottom w:w="0" w:type="dxa"/>
            <w:right w:w="108" w:type="dxa"/>
          </w:tblCellMar>
        </w:tblPrEx>
        <w:trPr>
          <w:trHeight w:val="338"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5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177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打击假冒伪劣产品</w:t>
            </w:r>
          </w:p>
        </w:tc>
        <w:tc>
          <w:tcPr>
            <w:tcW w:w="99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定性</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优良中低差</w:t>
            </w:r>
          </w:p>
        </w:tc>
        <w:tc>
          <w:tcPr>
            <w:tcW w:w="818"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级　</w:t>
            </w:r>
          </w:p>
        </w:tc>
        <w:tc>
          <w:tcPr>
            <w:tcW w:w="110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优</w:t>
            </w:r>
          </w:p>
        </w:tc>
        <w:tc>
          <w:tcPr>
            <w:tcW w:w="54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3</w:t>
            </w:r>
          </w:p>
        </w:tc>
        <w:tc>
          <w:tcPr>
            <w:tcW w:w="4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3　</w:t>
            </w:r>
          </w:p>
        </w:tc>
        <w:tc>
          <w:tcPr>
            <w:tcW w:w="255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r>
      <w:tr>
        <w:tblPrEx>
          <w:tblCellMar>
            <w:top w:w="0" w:type="dxa"/>
            <w:left w:w="108" w:type="dxa"/>
            <w:bottom w:w="0" w:type="dxa"/>
            <w:right w:w="108" w:type="dxa"/>
          </w:tblCellMar>
        </w:tblPrEx>
        <w:trPr>
          <w:trHeight w:val="338"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5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177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可持续影响指标</w:t>
            </w:r>
          </w:p>
        </w:tc>
        <w:tc>
          <w:tcPr>
            <w:tcW w:w="20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优化营商环境</w:t>
            </w:r>
          </w:p>
        </w:tc>
        <w:tc>
          <w:tcPr>
            <w:tcW w:w="99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定性</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优良中低差</w:t>
            </w:r>
          </w:p>
        </w:tc>
        <w:tc>
          <w:tcPr>
            <w:tcW w:w="818"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级　</w:t>
            </w:r>
          </w:p>
        </w:tc>
        <w:tc>
          <w:tcPr>
            <w:tcW w:w="110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优</w:t>
            </w:r>
          </w:p>
        </w:tc>
        <w:tc>
          <w:tcPr>
            <w:tcW w:w="54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5</w:t>
            </w:r>
          </w:p>
        </w:tc>
        <w:tc>
          <w:tcPr>
            <w:tcW w:w="4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5　</w:t>
            </w:r>
          </w:p>
        </w:tc>
        <w:tc>
          <w:tcPr>
            <w:tcW w:w="255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r>
      <w:tr>
        <w:tblPrEx>
          <w:tblCellMar>
            <w:top w:w="0" w:type="dxa"/>
            <w:left w:w="108" w:type="dxa"/>
            <w:bottom w:w="0" w:type="dxa"/>
            <w:right w:w="108" w:type="dxa"/>
          </w:tblCellMar>
        </w:tblPrEx>
        <w:trPr>
          <w:trHeight w:val="454"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满意度指标</w:t>
            </w:r>
          </w:p>
        </w:tc>
        <w:tc>
          <w:tcPr>
            <w:tcW w:w="177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服务对象满意度指标</w:t>
            </w:r>
          </w:p>
        </w:tc>
        <w:tc>
          <w:tcPr>
            <w:tcW w:w="20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处理消费者投诉满意度</w:t>
            </w:r>
          </w:p>
        </w:tc>
        <w:tc>
          <w:tcPr>
            <w:tcW w:w="992"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定性</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优良中低差</w:t>
            </w:r>
          </w:p>
        </w:tc>
        <w:tc>
          <w:tcPr>
            <w:tcW w:w="818"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级　</w:t>
            </w:r>
          </w:p>
        </w:tc>
        <w:tc>
          <w:tcPr>
            <w:tcW w:w="110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优</w:t>
            </w:r>
          </w:p>
        </w:tc>
        <w:tc>
          <w:tcPr>
            <w:tcW w:w="54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5</w:t>
            </w:r>
          </w:p>
        </w:tc>
        <w:tc>
          <w:tcPr>
            <w:tcW w:w="4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5　</w:t>
            </w:r>
          </w:p>
        </w:tc>
        <w:tc>
          <w:tcPr>
            <w:tcW w:w="255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r>
      <w:tr>
        <w:tblPrEx>
          <w:tblCellMar>
            <w:top w:w="0" w:type="dxa"/>
            <w:left w:w="108" w:type="dxa"/>
            <w:bottom w:w="0" w:type="dxa"/>
            <w:right w:w="108" w:type="dxa"/>
          </w:tblCellMar>
        </w:tblPrEx>
        <w:trPr>
          <w:trHeight w:val="516" w:hRule="atLeast"/>
        </w:trPr>
        <w:tc>
          <w:tcPr>
            <w:tcW w:w="10580" w:type="dxa"/>
            <w:gridSpan w:val="11"/>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合计</w:t>
            </w:r>
          </w:p>
        </w:tc>
        <w:tc>
          <w:tcPr>
            <w:tcW w:w="54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100</w:t>
            </w:r>
          </w:p>
        </w:tc>
        <w:tc>
          <w:tcPr>
            <w:tcW w:w="4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89</w:t>
            </w:r>
          </w:p>
        </w:tc>
        <w:tc>
          <w:tcPr>
            <w:tcW w:w="255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　</w:t>
            </w:r>
          </w:p>
        </w:tc>
      </w:tr>
      <w:tr>
        <w:tblPrEx>
          <w:tblCellMar>
            <w:top w:w="0" w:type="dxa"/>
            <w:left w:w="108" w:type="dxa"/>
            <w:bottom w:w="0" w:type="dxa"/>
            <w:right w:w="108" w:type="dxa"/>
          </w:tblCellMar>
        </w:tblPrEx>
        <w:trPr>
          <w:trHeight w:val="604" w:hRule="atLeast"/>
        </w:trPr>
        <w:tc>
          <w:tcPr>
            <w:tcW w:w="67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评价结论</w:t>
            </w:r>
          </w:p>
        </w:tc>
        <w:tc>
          <w:tcPr>
            <w:tcW w:w="13461" w:type="dxa"/>
            <w:gridSpan w:val="13"/>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通过市场秩序执法办案专项项目的实施，保护了消费者合法权益，整治了市场乱象，假冒伪劣产品制售行为不断减少，优化了营商环境，积极处理了“12315”消费者投诉，保障了消费者合法权益，公众对消费投诉处理的满意度不断提升。各项成本支出均按标准执行，资金使用无违规记录。项目自评得分为89分。</w:t>
            </w:r>
          </w:p>
        </w:tc>
      </w:tr>
      <w:tr>
        <w:tblPrEx>
          <w:tblCellMar>
            <w:top w:w="0" w:type="dxa"/>
            <w:left w:w="108" w:type="dxa"/>
            <w:bottom w:w="0" w:type="dxa"/>
            <w:right w:w="108" w:type="dxa"/>
          </w:tblCellMar>
        </w:tblPrEx>
        <w:trPr>
          <w:trHeight w:val="574" w:hRule="atLeast"/>
        </w:trPr>
        <w:tc>
          <w:tcPr>
            <w:tcW w:w="67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存在问题</w:t>
            </w:r>
          </w:p>
        </w:tc>
        <w:tc>
          <w:tcPr>
            <w:tcW w:w="13461" w:type="dxa"/>
            <w:gridSpan w:val="13"/>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1.监管力量不足。全市商业业态调整，商贸业逐渐向我区集中，工业生产不断聚集，市场秩序监管难度越来越高，基层监管力量薄弱。       2.受疫情等影响，预算执行进度较慢。</w:t>
            </w:r>
          </w:p>
        </w:tc>
      </w:tr>
      <w:tr>
        <w:tblPrEx>
          <w:tblCellMar>
            <w:top w:w="0" w:type="dxa"/>
            <w:left w:w="108" w:type="dxa"/>
            <w:bottom w:w="0" w:type="dxa"/>
            <w:right w:w="108" w:type="dxa"/>
          </w:tblCellMar>
        </w:tblPrEx>
        <w:trPr>
          <w:trHeight w:val="634" w:hRule="atLeast"/>
        </w:trPr>
        <w:tc>
          <w:tcPr>
            <w:tcW w:w="67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改进措施</w:t>
            </w:r>
          </w:p>
        </w:tc>
        <w:tc>
          <w:tcPr>
            <w:tcW w:w="13461" w:type="dxa"/>
            <w:gridSpan w:val="13"/>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1.积极组织干部职工参与业务培训，打造专业化、法治化执法监管队伍，加强市场监管综合执法工作，提升执法能力。积极组织职工参与基层执法办案，进一步提升市场监管的效能，为基层监管注入力量。                                                                                 2.针对资金使用较慢的情况，认真分析，查找原因，在疫情结束后，及时完成未正常开展的执法工作，查漏补缺，加快执行进度。</w:t>
            </w:r>
          </w:p>
        </w:tc>
      </w:tr>
      <w:tr>
        <w:tblPrEx>
          <w:tblCellMar>
            <w:top w:w="0" w:type="dxa"/>
            <w:left w:w="108" w:type="dxa"/>
            <w:bottom w:w="0" w:type="dxa"/>
            <w:right w:w="108" w:type="dxa"/>
          </w:tblCellMar>
        </w:tblPrEx>
        <w:trPr>
          <w:trHeight w:val="568" w:hRule="atLeast"/>
        </w:trPr>
        <w:tc>
          <w:tcPr>
            <w:tcW w:w="7284" w:type="dxa"/>
            <w:gridSpan w:val="5"/>
            <w:tcBorders>
              <w:top w:val="single" w:color="auto" w:sz="4" w:space="0"/>
              <w:left w:val="single" w:color="000000" w:sz="4" w:space="0"/>
              <w:bottom w:val="single" w:color="000000" w:sz="4" w:space="0"/>
              <w:right w:val="single" w:color="000000" w:sz="4" w:space="0"/>
            </w:tcBorders>
            <w:shd w:val="clear" w:color="auto" w:fill="auto"/>
            <w:vAlign w:val="center"/>
          </w:tcPr>
          <w:p>
            <w:pPr>
              <w:widowControl/>
              <w:jc w:val="left"/>
              <w:rPr>
                <w:rFonts w:ascii="仿宋_GB2312" w:hAnsi="黑体" w:eastAsia="仿宋_GB2312" w:cs="宋体"/>
                <w:color w:val="000000"/>
                <w:kern w:val="0"/>
                <w:sz w:val="22"/>
                <w:szCs w:val="22"/>
              </w:rPr>
            </w:pPr>
            <w:r>
              <w:rPr>
                <w:rFonts w:hint="eastAsia" w:ascii="仿宋_GB2312" w:hAnsi="黑体" w:eastAsia="仿宋_GB2312" w:cs="宋体"/>
                <w:color w:val="000000"/>
                <w:kern w:val="0"/>
                <w:sz w:val="22"/>
                <w:szCs w:val="22"/>
              </w:rPr>
              <w:t>项目负责人：王安华</w:t>
            </w:r>
          </w:p>
        </w:tc>
        <w:tc>
          <w:tcPr>
            <w:tcW w:w="6856" w:type="dxa"/>
            <w:gridSpan w:val="9"/>
            <w:tcBorders>
              <w:top w:val="single" w:color="auto" w:sz="4" w:space="0"/>
              <w:left w:val="nil"/>
              <w:bottom w:val="single" w:color="000000" w:sz="4" w:space="0"/>
              <w:right w:val="single" w:color="000000" w:sz="4" w:space="0"/>
            </w:tcBorders>
            <w:shd w:val="clear" w:color="auto" w:fill="auto"/>
            <w:vAlign w:val="center"/>
          </w:tcPr>
          <w:p>
            <w:pPr>
              <w:widowControl/>
              <w:jc w:val="left"/>
              <w:rPr>
                <w:rFonts w:ascii="仿宋_GB2312" w:hAnsi="黑体" w:eastAsia="仿宋_GB2312" w:cs="宋体"/>
                <w:color w:val="000000"/>
                <w:kern w:val="0"/>
                <w:sz w:val="22"/>
                <w:szCs w:val="22"/>
              </w:rPr>
            </w:pPr>
            <w:r>
              <w:rPr>
                <w:rFonts w:hint="eastAsia" w:ascii="仿宋_GB2312" w:hAnsi="黑体" w:eastAsia="仿宋_GB2312" w:cs="宋体"/>
                <w:color w:val="000000"/>
                <w:kern w:val="0"/>
                <w:sz w:val="22"/>
                <w:szCs w:val="22"/>
              </w:rPr>
              <w:t>财务负责人：岳林</w:t>
            </w:r>
          </w:p>
        </w:tc>
      </w:tr>
    </w:tbl>
    <w:p>
      <w:pPr>
        <w:pStyle w:val="2"/>
        <w:spacing w:before="93"/>
      </w:pPr>
    </w:p>
    <w:p>
      <w:pPr>
        <w:pStyle w:val="2"/>
        <w:spacing w:before="93"/>
      </w:pPr>
    </w:p>
    <w:p>
      <w:pPr>
        <w:pStyle w:val="2"/>
        <w:spacing w:before="93"/>
      </w:pPr>
    </w:p>
    <w:p>
      <w:pPr>
        <w:pStyle w:val="2"/>
        <w:spacing w:before="93"/>
        <w:rPr>
          <w:sz w:val="32"/>
          <w:szCs w:val="28"/>
        </w:rPr>
      </w:pPr>
      <w:r>
        <w:rPr>
          <w:rFonts w:hint="eastAsia"/>
          <w:sz w:val="32"/>
          <w:szCs w:val="28"/>
        </w:rPr>
        <w:t>附件7</w:t>
      </w:r>
    </w:p>
    <w:tbl>
      <w:tblPr>
        <w:tblStyle w:val="15"/>
        <w:tblW w:w="14190" w:type="dxa"/>
        <w:tblInd w:w="93" w:type="dxa"/>
        <w:tblLayout w:type="autofit"/>
        <w:tblCellMar>
          <w:top w:w="0" w:type="dxa"/>
          <w:left w:w="108" w:type="dxa"/>
          <w:bottom w:w="0" w:type="dxa"/>
          <w:right w:w="108" w:type="dxa"/>
        </w:tblCellMar>
      </w:tblPr>
      <w:tblGrid>
        <w:gridCol w:w="679"/>
        <w:gridCol w:w="2054"/>
        <w:gridCol w:w="1393"/>
        <w:gridCol w:w="1985"/>
        <w:gridCol w:w="1172"/>
        <w:gridCol w:w="954"/>
        <w:gridCol w:w="1134"/>
        <w:gridCol w:w="1209"/>
        <w:gridCol w:w="765"/>
        <w:gridCol w:w="719"/>
        <w:gridCol w:w="2126"/>
      </w:tblGrid>
      <w:tr>
        <w:tblPrEx>
          <w:tblCellMar>
            <w:top w:w="0" w:type="dxa"/>
            <w:left w:w="108" w:type="dxa"/>
            <w:bottom w:w="0" w:type="dxa"/>
            <w:right w:w="108" w:type="dxa"/>
          </w:tblCellMar>
        </w:tblPrEx>
        <w:trPr>
          <w:trHeight w:val="640" w:hRule="atLeast"/>
        </w:trPr>
        <w:tc>
          <w:tcPr>
            <w:tcW w:w="14190"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b/>
                <w:bCs/>
                <w:color w:val="000000"/>
                <w:kern w:val="0"/>
                <w:sz w:val="22"/>
                <w:szCs w:val="22"/>
              </w:rPr>
            </w:pPr>
            <w:r>
              <w:rPr>
                <w:rFonts w:hint="eastAsia" w:ascii="仿宋_GB2312" w:hAnsi="宋体" w:eastAsia="仿宋_GB2312" w:cs="宋体"/>
                <w:b/>
                <w:bCs/>
                <w:color w:val="000000"/>
                <w:kern w:val="0"/>
                <w:sz w:val="22"/>
                <w:szCs w:val="22"/>
              </w:rPr>
              <w:t>部门预算项目支出绩效自评表（2022年度）</w:t>
            </w:r>
          </w:p>
        </w:tc>
      </w:tr>
      <w:tr>
        <w:tblPrEx>
          <w:tblCellMar>
            <w:top w:w="0" w:type="dxa"/>
            <w:left w:w="108" w:type="dxa"/>
            <w:bottom w:w="0" w:type="dxa"/>
            <w:right w:w="108" w:type="dxa"/>
          </w:tblCellMar>
        </w:tblPrEx>
        <w:trPr>
          <w:trHeight w:val="553" w:hRule="atLeast"/>
        </w:trPr>
        <w:tc>
          <w:tcPr>
            <w:tcW w:w="27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项目名称</w:t>
            </w:r>
          </w:p>
        </w:tc>
        <w:tc>
          <w:tcPr>
            <w:tcW w:w="11457"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51080021T000000051139-信息化建设运行及维护</w:t>
            </w:r>
          </w:p>
        </w:tc>
      </w:tr>
      <w:tr>
        <w:tblPrEx>
          <w:tblCellMar>
            <w:top w:w="0" w:type="dxa"/>
            <w:left w:w="108" w:type="dxa"/>
            <w:bottom w:w="0" w:type="dxa"/>
            <w:right w:w="108" w:type="dxa"/>
          </w:tblCellMar>
        </w:tblPrEx>
        <w:trPr>
          <w:trHeight w:val="514" w:hRule="atLeast"/>
        </w:trPr>
        <w:tc>
          <w:tcPr>
            <w:tcW w:w="27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主管部门</w:t>
            </w:r>
          </w:p>
        </w:tc>
        <w:tc>
          <w:tcPr>
            <w:tcW w:w="6638"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广元市市场监督管理局部门</w:t>
            </w:r>
          </w:p>
        </w:tc>
        <w:tc>
          <w:tcPr>
            <w:tcW w:w="1209" w:type="dxa"/>
            <w:tcBorders>
              <w:top w:val="nil"/>
              <w:left w:val="nil"/>
              <w:bottom w:val="nil"/>
              <w:right w:val="nil"/>
            </w:tcBorders>
            <w:shd w:val="clear" w:color="auto" w:fill="auto"/>
            <w:vAlign w:val="center"/>
          </w:tcPr>
          <w:p>
            <w:pPr>
              <w:widowControl/>
              <w:jc w:val="left"/>
              <w:rPr>
                <w:rFonts w:ascii="仿宋_GB2312" w:hAnsi="黑体" w:eastAsia="仿宋_GB2312" w:cs="宋体"/>
                <w:color w:val="000000"/>
                <w:kern w:val="0"/>
                <w:sz w:val="22"/>
                <w:szCs w:val="22"/>
              </w:rPr>
            </w:pPr>
            <w:r>
              <w:rPr>
                <w:rFonts w:hint="eastAsia" w:ascii="仿宋_GB2312" w:hAnsi="黑体" w:eastAsia="仿宋_GB2312" w:cs="宋体"/>
                <w:color w:val="000000"/>
                <w:kern w:val="0"/>
                <w:sz w:val="22"/>
                <w:szCs w:val="22"/>
              </w:rPr>
              <w:t>实施单位（盖章）</w:t>
            </w:r>
          </w:p>
        </w:tc>
        <w:tc>
          <w:tcPr>
            <w:tcW w:w="3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广元市市场监督管理局广元经开区分局</w:t>
            </w:r>
          </w:p>
        </w:tc>
      </w:tr>
      <w:tr>
        <w:tblPrEx>
          <w:tblCellMar>
            <w:top w:w="0" w:type="dxa"/>
            <w:left w:w="108" w:type="dxa"/>
            <w:bottom w:w="0" w:type="dxa"/>
            <w:right w:w="108" w:type="dxa"/>
          </w:tblCellMar>
        </w:tblPrEx>
        <w:trPr>
          <w:trHeight w:val="496" w:hRule="atLeast"/>
        </w:trPr>
        <w:tc>
          <w:tcPr>
            <w:tcW w:w="67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项目基本情况</w:t>
            </w:r>
          </w:p>
        </w:tc>
        <w:tc>
          <w:tcPr>
            <w:tcW w:w="2054"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1.项目年度目标完成情况</w:t>
            </w:r>
          </w:p>
        </w:tc>
        <w:tc>
          <w:tcPr>
            <w:tcW w:w="6638"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项目年度目标</w:t>
            </w:r>
          </w:p>
        </w:tc>
        <w:tc>
          <w:tcPr>
            <w:tcW w:w="4819"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仿宋_GB2312" w:hAnsi="黑体" w:eastAsia="仿宋_GB2312" w:cs="宋体"/>
                <w:color w:val="000000"/>
                <w:kern w:val="0"/>
                <w:sz w:val="22"/>
                <w:szCs w:val="22"/>
              </w:rPr>
            </w:pPr>
            <w:r>
              <w:rPr>
                <w:rFonts w:hint="eastAsia" w:ascii="仿宋_GB2312" w:hAnsi="黑体" w:eastAsia="仿宋_GB2312" w:cs="宋体"/>
                <w:color w:val="000000"/>
                <w:kern w:val="0"/>
                <w:sz w:val="22"/>
                <w:szCs w:val="22"/>
              </w:rPr>
              <w:t>年度目标完成情况</w:t>
            </w:r>
          </w:p>
        </w:tc>
      </w:tr>
      <w:tr>
        <w:tblPrEx>
          <w:tblCellMar>
            <w:top w:w="0" w:type="dxa"/>
            <w:left w:w="108" w:type="dxa"/>
            <w:bottom w:w="0" w:type="dxa"/>
            <w:right w:w="108" w:type="dxa"/>
          </w:tblCellMar>
        </w:tblPrEx>
        <w:trPr>
          <w:trHeight w:val="709" w:hRule="atLeast"/>
        </w:trPr>
        <w:tc>
          <w:tcPr>
            <w:tcW w:w="679"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color w:val="000000"/>
                <w:kern w:val="0"/>
                <w:sz w:val="22"/>
                <w:szCs w:val="22"/>
              </w:rPr>
            </w:pPr>
          </w:p>
        </w:tc>
        <w:tc>
          <w:tcPr>
            <w:tcW w:w="2054"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color w:val="000000"/>
                <w:kern w:val="0"/>
                <w:sz w:val="22"/>
                <w:szCs w:val="22"/>
              </w:rPr>
            </w:pPr>
          </w:p>
        </w:tc>
        <w:tc>
          <w:tcPr>
            <w:tcW w:w="6638"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进一步完善信息化建设工作，推进分局机关及基层所网络化办公。</w:t>
            </w:r>
          </w:p>
        </w:tc>
        <w:tc>
          <w:tcPr>
            <w:tcW w:w="4819"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仿宋_GB2312" w:hAnsi="黑体" w:eastAsia="仿宋_GB2312" w:cs="宋体"/>
                <w:color w:val="000000"/>
                <w:kern w:val="0"/>
                <w:sz w:val="22"/>
                <w:szCs w:val="22"/>
              </w:rPr>
            </w:pPr>
            <w:r>
              <w:rPr>
                <w:rFonts w:hint="eastAsia" w:ascii="仿宋_GB2312" w:hAnsi="黑体" w:eastAsia="仿宋_GB2312" w:cs="宋体"/>
                <w:color w:val="000000"/>
                <w:kern w:val="0"/>
                <w:sz w:val="22"/>
                <w:szCs w:val="22"/>
              </w:rPr>
              <w:t>通过信息化建设运行及维护项目的实施，实现了分局机关网络化办公，通过短信平台的构建，业务监管更加便捷高效。基层网络化建设，使得职工办公开展更加便捷，职工满意度大幅度提升。</w:t>
            </w:r>
          </w:p>
        </w:tc>
      </w:tr>
      <w:tr>
        <w:tblPrEx>
          <w:tblCellMar>
            <w:top w:w="0" w:type="dxa"/>
            <w:left w:w="108" w:type="dxa"/>
            <w:bottom w:w="0" w:type="dxa"/>
            <w:right w:w="108" w:type="dxa"/>
          </w:tblCellMar>
        </w:tblPrEx>
        <w:trPr>
          <w:trHeight w:val="694" w:hRule="atLeast"/>
        </w:trPr>
        <w:tc>
          <w:tcPr>
            <w:tcW w:w="679" w:type="dxa"/>
            <w:vMerge w:val="continue"/>
            <w:tcBorders>
              <w:top w:val="nil"/>
              <w:left w:val="single" w:color="000000" w:sz="4" w:space="0"/>
              <w:bottom w:val="single" w:color="auto" w:sz="4" w:space="0"/>
              <w:right w:val="single" w:color="000000" w:sz="4" w:space="0"/>
            </w:tcBorders>
            <w:vAlign w:val="center"/>
          </w:tcPr>
          <w:p>
            <w:pPr>
              <w:widowControl/>
              <w:jc w:val="left"/>
              <w:rPr>
                <w:rFonts w:ascii="仿宋_GB2312" w:hAnsi="宋体" w:eastAsia="仿宋_GB2312" w:cs="宋体"/>
                <w:color w:val="000000"/>
                <w:kern w:val="0"/>
                <w:sz w:val="22"/>
                <w:szCs w:val="22"/>
              </w:rPr>
            </w:pPr>
          </w:p>
        </w:tc>
        <w:tc>
          <w:tcPr>
            <w:tcW w:w="2054" w:type="dxa"/>
            <w:tcBorders>
              <w:top w:val="nil"/>
              <w:left w:val="nil"/>
              <w:bottom w:val="single" w:color="auto" w:sz="4" w:space="0"/>
              <w:right w:val="single" w:color="000000"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2.项目实施内容及过程概述</w:t>
            </w:r>
          </w:p>
        </w:tc>
        <w:tc>
          <w:tcPr>
            <w:tcW w:w="11457" w:type="dxa"/>
            <w:gridSpan w:val="9"/>
            <w:tcBorders>
              <w:top w:val="single" w:color="000000" w:sz="4" w:space="0"/>
              <w:left w:val="nil"/>
              <w:bottom w:val="single" w:color="auto" w:sz="4" w:space="0"/>
              <w:right w:val="single" w:color="000000"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2022年信息化建设运行及维护专项项目由办公室牵头负责工作方案规划、组织、指导信息化建设工作。通过制定专项工作计划方案、确定工作目标、明确组织实施措施和策略，更有效地指导工作的正常有序开展。</w:t>
            </w:r>
          </w:p>
        </w:tc>
      </w:tr>
      <w:tr>
        <w:tblPrEx>
          <w:tblCellMar>
            <w:top w:w="0" w:type="dxa"/>
            <w:left w:w="108" w:type="dxa"/>
            <w:bottom w:w="0" w:type="dxa"/>
            <w:right w:w="108" w:type="dxa"/>
          </w:tblCellMar>
        </w:tblPrEx>
        <w:trPr>
          <w:trHeight w:val="360" w:hRule="atLeast"/>
        </w:trPr>
        <w:tc>
          <w:tcPr>
            <w:tcW w:w="67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预算执行情况（10分）</w:t>
            </w:r>
          </w:p>
        </w:tc>
        <w:tc>
          <w:tcPr>
            <w:tcW w:w="205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年度预算数（万元）</w:t>
            </w:r>
          </w:p>
        </w:tc>
        <w:tc>
          <w:tcPr>
            <w:tcW w:w="139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年初预算</w:t>
            </w:r>
          </w:p>
        </w:tc>
        <w:tc>
          <w:tcPr>
            <w:tcW w:w="198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调整后预算数</w:t>
            </w:r>
          </w:p>
        </w:tc>
        <w:tc>
          <w:tcPr>
            <w:tcW w:w="326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预算执行数</w:t>
            </w:r>
          </w:p>
        </w:tc>
        <w:tc>
          <w:tcPr>
            <w:tcW w:w="12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预算执行率</w:t>
            </w:r>
          </w:p>
        </w:tc>
        <w:tc>
          <w:tcPr>
            <w:tcW w:w="76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权重</w:t>
            </w:r>
          </w:p>
        </w:tc>
        <w:tc>
          <w:tcPr>
            <w:tcW w:w="71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得分</w:t>
            </w:r>
          </w:p>
        </w:tc>
        <w:tc>
          <w:tcPr>
            <w:tcW w:w="21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原因</w:t>
            </w:r>
          </w:p>
        </w:tc>
      </w:tr>
      <w:tr>
        <w:tblPrEx>
          <w:tblCellMar>
            <w:top w:w="0" w:type="dxa"/>
            <w:left w:w="108" w:type="dxa"/>
            <w:bottom w:w="0" w:type="dxa"/>
            <w:right w:w="108" w:type="dxa"/>
          </w:tblCellMar>
        </w:tblPrEx>
        <w:trPr>
          <w:trHeight w:val="387"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5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总额</w:t>
            </w:r>
          </w:p>
        </w:tc>
        <w:tc>
          <w:tcPr>
            <w:tcW w:w="139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2.70</w:t>
            </w:r>
          </w:p>
        </w:tc>
        <w:tc>
          <w:tcPr>
            <w:tcW w:w="198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2.70</w:t>
            </w:r>
          </w:p>
        </w:tc>
        <w:tc>
          <w:tcPr>
            <w:tcW w:w="326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2.70</w:t>
            </w:r>
          </w:p>
        </w:tc>
        <w:tc>
          <w:tcPr>
            <w:tcW w:w="12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100.00%</w:t>
            </w:r>
          </w:p>
        </w:tc>
        <w:tc>
          <w:tcPr>
            <w:tcW w:w="76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w:t>
            </w:r>
          </w:p>
        </w:tc>
        <w:tc>
          <w:tcPr>
            <w:tcW w:w="71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　</w:t>
            </w:r>
          </w:p>
        </w:tc>
        <w:tc>
          <w:tcPr>
            <w:tcW w:w="212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黑体" w:eastAsia="仿宋_GB2312" w:cs="宋体"/>
                <w:iCs/>
                <w:color w:val="000000"/>
                <w:kern w:val="0"/>
                <w:sz w:val="22"/>
                <w:szCs w:val="22"/>
              </w:rPr>
            </w:pPr>
            <w:r>
              <w:rPr>
                <w:rFonts w:hint="eastAsia" w:ascii="仿宋_GB2312" w:hAnsi="黑体" w:eastAsia="仿宋_GB2312" w:cs="宋体"/>
                <w:iCs/>
                <w:color w:val="000000"/>
                <w:kern w:val="0"/>
                <w:sz w:val="22"/>
                <w:szCs w:val="22"/>
              </w:rPr>
              <w:t>无。</w:t>
            </w:r>
          </w:p>
        </w:tc>
      </w:tr>
      <w:tr>
        <w:tblPrEx>
          <w:tblCellMar>
            <w:top w:w="0" w:type="dxa"/>
            <w:left w:w="108" w:type="dxa"/>
            <w:bottom w:w="0" w:type="dxa"/>
            <w:right w:w="108" w:type="dxa"/>
          </w:tblCellMar>
        </w:tblPrEx>
        <w:trPr>
          <w:trHeight w:val="432"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5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其中：财政资金</w:t>
            </w:r>
          </w:p>
        </w:tc>
        <w:tc>
          <w:tcPr>
            <w:tcW w:w="139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2.70</w:t>
            </w:r>
          </w:p>
        </w:tc>
        <w:tc>
          <w:tcPr>
            <w:tcW w:w="198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2.70</w:t>
            </w:r>
          </w:p>
        </w:tc>
        <w:tc>
          <w:tcPr>
            <w:tcW w:w="326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2.70</w:t>
            </w:r>
          </w:p>
        </w:tc>
        <w:tc>
          <w:tcPr>
            <w:tcW w:w="12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100.00%</w:t>
            </w:r>
          </w:p>
        </w:tc>
        <w:tc>
          <w:tcPr>
            <w:tcW w:w="76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71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212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黑体" w:eastAsia="仿宋_GB2312" w:cs="宋体"/>
                <w:iCs/>
                <w:color w:val="000000"/>
                <w:kern w:val="0"/>
                <w:sz w:val="22"/>
                <w:szCs w:val="22"/>
              </w:rPr>
            </w:pPr>
          </w:p>
        </w:tc>
      </w:tr>
      <w:tr>
        <w:tblPrEx>
          <w:tblCellMar>
            <w:top w:w="0" w:type="dxa"/>
            <w:left w:w="108" w:type="dxa"/>
            <w:bottom w:w="0" w:type="dxa"/>
            <w:right w:w="108" w:type="dxa"/>
          </w:tblCellMar>
        </w:tblPrEx>
        <w:trPr>
          <w:trHeight w:val="447"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5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财政专户管理资金</w:t>
            </w:r>
          </w:p>
        </w:tc>
        <w:tc>
          <w:tcPr>
            <w:tcW w:w="139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0.00</w:t>
            </w:r>
          </w:p>
        </w:tc>
        <w:tc>
          <w:tcPr>
            <w:tcW w:w="198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0.00</w:t>
            </w:r>
          </w:p>
        </w:tc>
        <w:tc>
          <w:tcPr>
            <w:tcW w:w="326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0.00</w:t>
            </w:r>
          </w:p>
        </w:tc>
        <w:tc>
          <w:tcPr>
            <w:tcW w:w="12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0.00%</w:t>
            </w:r>
          </w:p>
        </w:tc>
        <w:tc>
          <w:tcPr>
            <w:tcW w:w="76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71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212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黑体" w:eastAsia="仿宋_GB2312" w:cs="宋体"/>
                <w:iCs/>
                <w:color w:val="000000"/>
                <w:kern w:val="0"/>
                <w:sz w:val="22"/>
                <w:szCs w:val="22"/>
              </w:rPr>
            </w:pPr>
          </w:p>
        </w:tc>
      </w:tr>
      <w:tr>
        <w:tblPrEx>
          <w:tblCellMar>
            <w:top w:w="0" w:type="dxa"/>
            <w:left w:w="108" w:type="dxa"/>
            <w:bottom w:w="0" w:type="dxa"/>
            <w:right w:w="108" w:type="dxa"/>
          </w:tblCellMar>
        </w:tblPrEx>
        <w:trPr>
          <w:trHeight w:val="402"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5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单位资金</w:t>
            </w:r>
          </w:p>
        </w:tc>
        <w:tc>
          <w:tcPr>
            <w:tcW w:w="139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0.00</w:t>
            </w:r>
          </w:p>
        </w:tc>
        <w:tc>
          <w:tcPr>
            <w:tcW w:w="198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0.00</w:t>
            </w:r>
          </w:p>
        </w:tc>
        <w:tc>
          <w:tcPr>
            <w:tcW w:w="326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0.00</w:t>
            </w:r>
          </w:p>
        </w:tc>
        <w:tc>
          <w:tcPr>
            <w:tcW w:w="12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0.00%</w:t>
            </w:r>
          </w:p>
        </w:tc>
        <w:tc>
          <w:tcPr>
            <w:tcW w:w="76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71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212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黑体" w:eastAsia="仿宋_GB2312" w:cs="宋体"/>
                <w:iCs/>
                <w:color w:val="000000"/>
                <w:kern w:val="0"/>
                <w:sz w:val="22"/>
                <w:szCs w:val="22"/>
              </w:rPr>
            </w:pPr>
          </w:p>
        </w:tc>
      </w:tr>
      <w:tr>
        <w:tblPrEx>
          <w:tblCellMar>
            <w:top w:w="0" w:type="dxa"/>
            <w:left w:w="108" w:type="dxa"/>
            <w:bottom w:w="0" w:type="dxa"/>
            <w:right w:w="108" w:type="dxa"/>
          </w:tblCellMar>
        </w:tblPrEx>
        <w:trPr>
          <w:trHeight w:val="379"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5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其他资金</w:t>
            </w:r>
          </w:p>
        </w:tc>
        <w:tc>
          <w:tcPr>
            <w:tcW w:w="139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c>
          <w:tcPr>
            <w:tcW w:w="198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c>
          <w:tcPr>
            <w:tcW w:w="326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c>
          <w:tcPr>
            <w:tcW w:w="12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c>
          <w:tcPr>
            <w:tcW w:w="76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71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212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黑体" w:eastAsia="仿宋_GB2312" w:cs="宋体"/>
                <w:iCs/>
                <w:color w:val="000000"/>
                <w:kern w:val="0"/>
                <w:sz w:val="22"/>
                <w:szCs w:val="22"/>
              </w:rPr>
            </w:pPr>
          </w:p>
        </w:tc>
      </w:tr>
      <w:tr>
        <w:tblPrEx>
          <w:tblCellMar>
            <w:top w:w="0" w:type="dxa"/>
            <w:left w:w="108" w:type="dxa"/>
            <w:bottom w:w="0" w:type="dxa"/>
            <w:right w:w="108" w:type="dxa"/>
          </w:tblCellMar>
        </w:tblPrEx>
        <w:trPr>
          <w:trHeight w:val="454" w:hRule="atLeast"/>
        </w:trPr>
        <w:tc>
          <w:tcPr>
            <w:tcW w:w="67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绩效指标（90分）</w:t>
            </w:r>
          </w:p>
        </w:tc>
        <w:tc>
          <w:tcPr>
            <w:tcW w:w="205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一级指标</w:t>
            </w:r>
          </w:p>
        </w:tc>
        <w:tc>
          <w:tcPr>
            <w:tcW w:w="139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二级指标</w:t>
            </w:r>
          </w:p>
        </w:tc>
        <w:tc>
          <w:tcPr>
            <w:tcW w:w="198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三级指标</w:t>
            </w:r>
          </w:p>
        </w:tc>
        <w:tc>
          <w:tcPr>
            <w:tcW w:w="117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指标性质</w:t>
            </w:r>
          </w:p>
        </w:tc>
        <w:tc>
          <w:tcPr>
            <w:tcW w:w="95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指标值</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度量单位</w:t>
            </w:r>
          </w:p>
        </w:tc>
        <w:tc>
          <w:tcPr>
            <w:tcW w:w="12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完成值</w:t>
            </w:r>
          </w:p>
        </w:tc>
        <w:tc>
          <w:tcPr>
            <w:tcW w:w="76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权重</w:t>
            </w:r>
          </w:p>
        </w:tc>
        <w:tc>
          <w:tcPr>
            <w:tcW w:w="71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得分</w:t>
            </w:r>
          </w:p>
        </w:tc>
        <w:tc>
          <w:tcPr>
            <w:tcW w:w="21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未完成原因分析</w:t>
            </w:r>
          </w:p>
        </w:tc>
      </w:tr>
      <w:tr>
        <w:tblPrEx>
          <w:tblCellMar>
            <w:top w:w="0" w:type="dxa"/>
            <w:left w:w="108" w:type="dxa"/>
            <w:bottom w:w="0" w:type="dxa"/>
            <w:right w:w="108" w:type="dxa"/>
          </w:tblCellMar>
        </w:tblPrEx>
        <w:trPr>
          <w:trHeight w:val="454"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5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产出指标</w:t>
            </w:r>
          </w:p>
        </w:tc>
        <w:tc>
          <w:tcPr>
            <w:tcW w:w="1393"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数量指标</w:t>
            </w:r>
          </w:p>
        </w:tc>
        <w:tc>
          <w:tcPr>
            <w:tcW w:w="198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移动OA办公业务系统网络接入服务</w:t>
            </w:r>
          </w:p>
        </w:tc>
        <w:tc>
          <w:tcPr>
            <w:tcW w:w="117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95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年</w:t>
            </w:r>
          </w:p>
        </w:tc>
        <w:tc>
          <w:tcPr>
            <w:tcW w:w="12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完成　</w:t>
            </w:r>
          </w:p>
        </w:tc>
        <w:tc>
          <w:tcPr>
            <w:tcW w:w="76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w:t>
            </w:r>
          </w:p>
        </w:tc>
        <w:tc>
          <w:tcPr>
            <w:tcW w:w="71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　</w:t>
            </w:r>
          </w:p>
        </w:tc>
        <w:tc>
          <w:tcPr>
            <w:tcW w:w="21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r>
      <w:tr>
        <w:tblPrEx>
          <w:tblCellMar>
            <w:top w:w="0" w:type="dxa"/>
            <w:left w:w="108" w:type="dxa"/>
            <w:bottom w:w="0" w:type="dxa"/>
            <w:right w:w="108" w:type="dxa"/>
          </w:tblCellMar>
        </w:tblPrEx>
        <w:trPr>
          <w:trHeight w:val="338" w:hRule="atLeast"/>
        </w:trPr>
        <w:tc>
          <w:tcPr>
            <w:tcW w:w="679" w:type="dxa"/>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ascii="仿宋_GB2312" w:hAnsi="宋体" w:eastAsia="仿宋_GB2312" w:cs="宋体"/>
                <w:color w:val="000000"/>
                <w:kern w:val="0"/>
                <w:sz w:val="22"/>
                <w:szCs w:val="22"/>
              </w:rPr>
            </w:pPr>
          </w:p>
        </w:tc>
        <w:tc>
          <w:tcPr>
            <w:tcW w:w="2054" w:type="dxa"/>
            <w:vMerge w:val="continue"/>
            <w:tcBorders>
              <w:top w:val="single" w:color="auto" w:sz="4" w:space="0"/>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color w:val="000000"/>
                <w:kern w:val="0"/>
                <w:sz w:val="22"/>
                <w:szCs w:val="22"/>
              </w:rPr>
            </w:pPr>
          </w:p>
        </w:tc>
        <w:tc>
          <w:tcPr>
            <w:tcW w:w="1393" w:type="dxa"/>
            <w:vMerge w:val="continue"/>
            <w:tcBorders>
              <w:top w:val="single" w:color="auto" w:sz="4" w:space="0"/>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color w:val="000000"/>
                <w:kern w:val="0"/>
                <w:sz w:val="22"/>
                <w:szCs w:val="22"/>
              </w:rPr>
            </w:pPr>
          </w:p>
        </w:tc>
        <w:tc>
          <w:tcPr>
            <w:tcW w:w="1985" w:type="dxa"/>
            <w:tcBorders>
              <w:top w:val="single" w:color="auto" w:sz="4" w:space="0"/>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云MAS短信平台业务服务</w:t>
            </w:r>
          </w:p>
        </w:tc>
        <w:tc>
          <w:tcPr>
            <w:tcW w:w="1172" w:type="dxa"/>
            <w:tcBorders>
              <w:top w:val="single" w:color="auto" w:sz="4" w:space="0"/>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954" w:type="dxa"/>
            <w:tcBorders>
              <w:top w:val="single" w:color="auto" w:sz="4" w:space="0"/>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w:t>
            </w:r>
          </w:p>
        </w:tc>
        <w:tc>
          <w:tcPr>
            <w:tcW w:w="1134" w:type="dxa"/>
            <w:tcBorders>
              <w:top w:val="single" w:color="auto" w:sz="4" w:space="0"/>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年</w:t>
            </w:r>
          </w:p>
        </w:tc>
        <w:tc>
          <w:tcPr>
            <w:tcW w:w="1209" w:type="dxa"/>
            <w:tcBorders>
              <w:top w:val="single" w:color="auto" w:sz="4" w:space="0"/>
              <w:left w:val="nil"/>
              <w:bottom w:val="single" w:color="000000" w:sz="4" w:space="0"/>
              <w:right w:val="single" w:color="000000"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完成</w:t>
            </w:r>
          </w:p>
        </w:tc>
        <w:tc>
          <w:tcPr>
            <w:tcW w:w="765" w:type="dxa"/>
            <w:tcBorders>
              <w:top w:val="single" w:color="auto" w:sz="4" w:space="0"/>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w:t>
            </w:r>
          </w:p>
        </w:tc>
        <w:tc>
          <w:tcPr>
            <w:tcW w:w="719" w:type="dxa"/>
            <w:tcBorders>
              <w:top w:val="single" w:color="auto" w:sz="4" w:space="0"/>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　</w:t>
            </w:r>
          </w:p>
        </w:tc>
        <w:tc>
          <w:tcPr>
            <w:tcW w:w="2126" w:type="dxa"/>
            <w:tcBorders>
              <w:top w:val="single" w:color="auto" w:sz="4" w:space="0"/>
              <w:left w:val="nil"/>
              <w:bottom w:val="single" w:color="000000" w:sz="4" w:space="0"/>
              <w:right w:val="single" w:color="000000"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r>
      <w:tr>
        <w:tblPrEx>
          <w:tblCellMar>
            <w:top w:w="0" w:type="dxa"/>
            <w:left w:w="108" w:type="dxa"/>
            <w:bottom w:w="0" w:type="dxa"/>
            <w:right w:w="108" w:type="dxa"/>
          </w:tblCellMar>
        </w:tblPrEx>
        <w:trPr>
          <w:trHeight w:val="454" w:hRule="atLeast"/>
        </w:trPr>
        <w:tc>
          <w:tcPr>
            <w:tcW w:w="679" w:type="dxa"/>
            <w:vMerge w:val="continue"/>
            <w:tcBorders>
              <w:top w:val="nil"/>
              <w:left w:val="single" w:color="auto" w:sz="4" w:space="0"/>
              <w:bottom w:val="single" w:color="000000" w:sz="4" w:space="0"/>
              <w:right w:val="single" w:color="000000" w:sz="4" w:space="0"/>
            </w:tcBorders>
            <w:vAlign w:val="center"/>
          </w:tcPr>
          <w:p>
            <w:pPr>
              <w:widowControl/>
              <w:jc w:val="left"/>
              <w:rPr>
                <w:rFonts w:ascii="仿宋_GB2312" w:hAnsi="宋体" w:eastAsia="仿宋_GB2312" w:cs="宋体"/>
                <w:color w:val="000000"/>
                <w:kern w:val="0"/>
                <w:sz w:val="22"/>
                <w:szCs w:val="22"/>
              </w:rPr>
            </w:pPr>
          </w:p>
        </w:tc>
        <w:tc>
          <w:tcPr>
            <w:tcW w:w="2054"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color w:val="000000"/>
                <w:kern w:val="0"/>
                <w:sz w:val="22"/>
                <w:szCs w:val="22"/>
              </w:rPr>
            </w:pPr>
          </w:p>
        </w:tc>
        <w:tc>
          <w:tcPr>
            <w:tcW w:w="1393"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质量指标</w:t>
            </w:r>
          </w:p>
        </w:tc>
        <w:tc>
          <w:tcPr>
            <w:tcW w:w="1985"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信息网络覆盖率（百分比）</w:t>
            </w:r>
          </w:p>
        </w:tc>
        <w:tc>
          <w:tcPr>
            <w:tcW w:w="1172"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954"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95</w:t>
            </w:r>
          </w:p>
        </w:tc>
        <w:tc>
          <w:tcPr>
            <w:tcW w:w="1134"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1209"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95%　</w:t>
            </w:r>
          </w:p>
        </w:tc>
        <w:tc>
          <w:tcPr>
            <w:tcW w:w="765"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w:t>
            </w:r>
          </w:p>
        </w:tc>
        <w:tc>
          <w:tcPr>
            <w:tcW w:w="719"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　</w:t>
            </w:r>
          </w:p>
        </w:tc>
        <w:tc>
          <w:tcPr>
            <w:tcW w:w="2126"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r>
      <w:tr>
        <w:tblPrEx>
          <w:tblCellMar>
            <w:top w:w="0" w:type="dxa"/>
            <w:left w:w="108" w:type="dxa"/>
            <w:bottom w:w="0" w:type="dxa"/>
            <w:right w:w="108" w:type="dxa"/>
          </w:tblCellMar>
        </w:tblPrEx>
        <w:trPr>
          <w:trHeight w:val="338" w:hRule="atLeast"/>
        </w:trPr>
        <w:tc>
          <w:tcPr>
            <w:tcW w:w="679" w:type="dxa"/>
            <w:vMerge w:val="continue"/>
            <w:tcBorders>
              <w:top w:val="nil"/>
              <w:left w:val="single" w:color="auto" w:sz="4" w:space="0"/>
              <w:bottom w:val="single" w:color="000000" w:sz="4" w:space="0"/>
              <w:right w:val="single" w:color="000000" w:sz="4" w:space="0"/>
            </w:tcBorders>
            <w:vAlign w:val="center"/>
          </w:tcPr>
          <w:p>
            <w:pPr>
              <w:widowControl/>
              <w:jc w:val="left"/>
              <w:rPr>
                <w:rFonts w:ascii="仿宋_GB2312" w:hAnsi="宋体" w:eastAsia="仿宋_GB2312" w:cs="宋体"/>
                <w:color w:val="000000"/>
                <w:kern w:val="0"/>
                <w:sz w:val="22"/>
                <w:szCs w:val="22"/>
              </w:rPr>
            </w:pPr>
          </w:p>
        </w:tc>
        <w:tc>
          <w:tcPr>
            <w:tcW w:w="2054"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color w:val="000000"/>
                <w:kern w:val="0"/>
                <w:sz w:val="22"/>
                <w:szCs w:val="22"/>
              </w:rPr>
            </w:pPr>
          </w:p>
        </w:tc>
        <w:tc>
          <w:tcPr>
            <w:tcW w:w="1393"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时效指标</w:t>
            </w:r>
          </w:p>
        </w:tc>
        <w:tc>
          <w:tcPr>
            <w:tcW w:w="1985"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任务完成时间</w:t>
            </w:r>
          </w:p>
        </w:tc>
        <w:tc>
          <w:tcPr>
            <w:tcW w:w="1172"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954"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12</w:t>
            </w:r>
          </w:p>
        </w:tc>
        <w:tc>
          <w:tcPr>
            <w:tcW w:w="1134"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月</w:t>
            </w:r>
          </w:p>
        </w:tc>
        <w:tc>
          <w:tcPr>
            <w:tcW w:w="1209"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按时完成</w:t>
            </w:r>
          </w:p>
        </w:tc>
        <w:tc>
          <w:tcPr>
            <w:tcW w:w="765"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20</w:t>
            </w:r>
          </w:p>
        </w:tc>
        <w:tc>
          <w:tcPr>
            <w:tcW w:w="719"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20　</w:t>
            </w:r>
          </w:p>
        </w:tc>
        <w:tc>
          <w:tcPr>
            <w:tcW w:w="2126"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r>
      <w:tr>
        <w:tblPrEx>
          <w:tblCellMar>
            <w:top w:w="0" w:type="dxa"/>
            <w:left w:w="108" w:type="dxa"/>
            <w:bottom w:w="0" w:type="dxa"/>
            <w:right w:w="108" w:type="dxa"/>
          </w:tblCellMar>
        </w:tblPrEx>
        <w:trPr>
          <w:trHeight w:val="454" w:hRule="atLeast"/>
        </w:trPr>
        <w:tc>
          <w:tcPr>
            <w:tcW w:w="679" w:type="dxa"/>
            <w:vMerge w:val="continue"/>
            <w:tcBorders>
              <w:top w:val="nil"/>
              <w:left w:val="single" w:color="auto" w:sz="4" w:space="0"/>
              <w:bottom w:val="single" w:color="000000" w:sz="4" w:space="0"/>
              <w:right w:val="single" w:color="000000" w:sz="4" w:space="0"/>
            </w:tcBorders>
            <w:vAlign w:val="center"/>
          </w:tcPr>
          <w:p>
            <w:pPr>
              <w:widowControl/>
              <w:jc w:val="left"/>
              <w:rPr>
                <w:rFonts w:ascii="仿宋_GB2312" w:hAnsi="宋体" w:eastAsia="仿宋_GB2312" w:cs="宋体"/>
                <w:color w:val="000000"/>
                <w:kern w:val="0"/>
                <w:sz w:val="22"/>
                <w:szCs w:val="22"/>
              </w:rPr>
            </w:pPr>
          </w:p>
        </w:tc>
        <w:tc>
          <w:tcPr>
            <w:tcW w:w="2054"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color w:val="000000"/>
                <w:kern w:val="0"/>
                <w:sz w:val="22"/>
                <w:szCs w:val="22"/>
              </w:rPr>
            </w:pPr>
          </w:p>
        </w:tc>
        <w:tc>
          <w:tcPr>
            <w:tcW w:w="1393"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成本指标</w:t>
            </w:r>
          </w:p>
        </w:tc>
        <w:tc>
          <w:tcPr>
            <w:tcW w:w="1985"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信息网络建设费</w:t>
            </w:r>
          </w:p>
        </w:tc>
        <w:tc>
          <w:tcPr>
            <w:tcW w:w="1172"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954"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27000</w:t>
            </w:r>
          </w:p>
        </w:tc>
        <w:tc>
          <w:tcPr>
            <w:tcW w:w="1134"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元/年</w:t>
            </w:r>
          </w:p>
        </w:tc>
        <w:tc>
          <w:tcPr>
            <w:tcW w:w="1209"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38160元</w:t>
            </w:r>
          </w:p>
        </w:tc>
        <w:tc>
          <w:tcPr>
            <w:tcW w:w="765"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w:t>
            </w:r>
          </w:p>
        </w:tc>
        <w:tc>
          <w:tcPr>
            <w:tcW w:w="719"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5　</w:t>
            </w:r>
          </w:p>
        </w:tc>
        <w:tc>
          <w:tcPr>
            <w:tcW w:w="2126"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r>
      <w:tr>
        <w:tblPrEx>
          <w:tblCellMar>
            <w:top w:w="0" w:type="dxa"/>
            <w:left w:w="108" w:type="dxa"/>
            <w:bottom w:w="0" w:type="dxa"/>
            <w:right w:w="108" w:type="dxa"/>
          </w:tblCellMar>
        </w:tblPrEx>
        <w:trPr>
          <w:trHeight w:val="454" w:hRule="atLeast"/>
        </w:trPr>
        <w:tc>
          <w:tcPr>
            <w:tcW w:w="679" w:type="dxa"/>
            <w:vMerge w:val="continue"/>
            <w:tcBorders>
              <w:top w:val="nil"/>
              <w:left w:val="single" w:color="auto" w:sz="4" w:space="0"/>
              <w:bottom w:val="single" w:color="000000" w:sz="4" w:space="0"/>
              <w:right w:val="single" w:color="000000" w:sz="4" w:space="0"/>
            </w:tcBorders>
            <w:vAlign w:val="center"/>
          </w:tcPr>
          <w:p>
            <w:pPr>
              <w:widowControl/>
              <w:jc w:val="left"/>
              <w:rPr>
                <w:rFonts w:ascii="仿宋_GB2312" w:hAnsi="宋体" w:eastAsia="仿宋_GB2312" w:cs="宋体"/>
                <w:color w:val="000000"/>
                <w:kern w:val="0"/>
                <w:sz w:val="22"/>
                <w:szCs w:val="22"/>
              </w:rPr>
            </w:pPr>
          </w:p>
        </w:tc>
        <w:tc>
          <w:tcPr>
            <w:tcW w:w="2054"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效益指标</w:t>
            </w:r>
          </w:p>
        </w:tc>
        <w:tc>
          <w:tcPr>
            <w:tcW w:w="1393"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社会效益指标</w:t>
            </w:r>
          </w:p>
        </w:tc>
        <w:tc>
          <w:tcPr>
            <w:tcW w:w="1985"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安全监管水平，公众安全科普知识</w:t>
            </w:r>
          </w:p>
        </w:tc>
        <w:tc>
          <w:tcPr>
            <w:tcW w:w="1172"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定性</w:t>
            </w:r>
          </w:p>
        </w:tc>
        <w:tc>
          <w:tcPr>
            <w:tcW w:w="954"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优良中低差</w:t>
            </w:r>
          </w:p>
        </w:tc>
        <w:tc>
          <w:tcPr>
            <w:tcW w:w="1134"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　级</w:t>
            </w:r>
          </w:p>
        </w:tc>
        <w:tc>
          <w:tcPr>
            <w:tcW w:w="1209"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优</w:t>
            </w:r>
          </w:p>
        </w:tc>
        <w:tc>
          <w:tcPr>
            <w:tcW w:w="765"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w:t>
            </w:r>
          </w:p>
        </w:tc>
        <w:tc>
          <w:tcPr>
            <w:tcW w:w="719"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　</w:t>
            </w:r>
          </w:p>
        </w:tc>
        <w:tc>
          <w:tcPr>
            <w:tcW w:w="2126"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r>
      <w:tr>
        <w:tblPrEx>
          <w:tblCellMar>
            <w:top w:w="0" w:type="dxa"/>
            <w:left w:w="108" w:type="dxa"/>
            <w:bottom w:w="0" w:type="dxa"/>
            <w:right w:w="108" w:type="dxa"/>
          </w:tblCellMar>
        </w:tblPrEx>
        <w:trPr>
          <w:trHeight w:val="338" w:hRule="atLeast"/>
        </w:trPr>
        <w:tc>
          <w:tcPr>
            <w:tcW w:w="679" w:type="dxa"/>
            <w:vMerge w:val="continue"/>
            <w:tcBorders>
              <w:top w:val="nil"/>
              <w:left w:val="single" w:color="auto" w:sz="4" w:space="0"/>
              <w:bottom w:val="single" w:color="000000" w:sz="4" w:space="0"/>
              <w:right w:val="single" w:color="000000" w:sz="4" w:space="0"/>
            </w:tcBorders>
            <w:vAlign w:val="center"/>
          </w:tcPr>
          <w:p>
            <w:pPr>
              <w:widowControl/>
              <w:jc w:val="left"/>
              <w:rPr>
                <w:rFonts w:ascii="仿宋_GB2312" w:hAnsi="宋体" w:eastAsia="仿宋_GB2312" w:cs="宋体"/>
                <w:color w:val="000000"/>
                <w:kern w:val="0"/>
                <w:sz w:val="22"/>
                <w:szCs w:val="22"/>
              </w:rPr>
            </w:pPr>
          </w:p>
        </w:tc>
        <w:tc>
          <w:tcPr>
            <w:tcW w:w="2054"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color w:val="000000"/>
                <w:kern w:val="0"/>
                <w:sz w:val="22"/>
                <w:szCs w:val="22"/>
              </w:rPr>
            </w:pPr>
          </w:p>
        </w:tc>
        <w:tc>
          <w:tcPr>
            <w:tcW w:w="1393"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可持续影响指标</w:t>
            </w:r>
          </w:p>
        </w:tc>
        <w:tc>
          <w:tcPr>
            <w:tcW w:w="1985"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信息化系统支撑办公运行</w:t>
            </w:r>
          </w:p>
        </w:tc>
        <w:tc>
          <w:tcPr>
            <w:tcW w:w="1172"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定性</w:t>
            </w:r>
          </w:p>
        </w:tc>
        <w:tc>
          <w:tcPr>
            <w:tcW w:w="954"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优良中低差</w:t>
            </w:r>
          </w:p>
        </w:tc>
        <w:tc>
          <w:tcPr>
            <w:tcW w:w="1134"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　级</w:t>
            </w:r>
          </w:p>
        </w:tc>
        <w:tc>
          <w:tcPr>
            <w:tcW w:w="1209"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优</w:t>
            </w:r>
          </w:p>
        </w:tc>
        <w:tc>
          <w:tcPr>
            <w:tcW w:w="765"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w:t>
            </w:r>
          </w:p>
        </w:tc>
        <w:tc>
          <w:tcPr>
            <w:tcW w:w="719"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　</w:t>
            </w:r>
          </w:p>
        </w:tc>
        <w:tc>
          <w:tcPr>
            <w:tcW w:w="2126"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r>
      <w:tr>
        <w:tblPrEx>
          <w:tblCellMar>
            <w:top w:w="0" w:type="dxa"/>
            <w:left w:w="108" w:type="dxa"/>
            <w:bottom w:w="0" w:type="dxa"/>
            <w:right w:w="108" w:type="dxa"/>
          </w:tblCellMar>
        </w:tblPrEx>
        <w:trPr>
          <w:trHeight w:val="454" w:hRule="atLeast"/>
        </w:trPr>
        <w:tc>
          <w:tcPr>
            <w:tcW w:w="679" w:type="dxa"/>
            <w:vMerge w:val="continue"/>
            <w:tcBorders>
              <w:top w:val="nil"/>
              <w:left w:val="single" w:color="auto" w:sz="4" w:space="0"/>
              <w:bottom w:val="single" w:color="000000" w:sz="4" w:space="0"/>
              <w:right w:val="single" w:color="000000" w:sz="4" w:space="0"/>
            </w:tcBorders>
            <w:vAlign w:val="center"/>
          </w:tcPr>
          <w:p>
            <w:pPr>
              <w:widowControl/>
              <w:jc w:val="left"/>
              <w:rPr>
                <w:rFonts w:ascii="仿宋_GB2312" w:hAnsi="宋体" w:eastAsia="仿宋_GB2312" w:cs="宋体"/>
                <w:color w:val="000000"/>
                <w:kern w:val="0"/>
                <w:sz w:val="22"/>
                <w:szCs w:val="22"/>
              </w:rPr>
            </w:pPr>
          </w:p>
        </w:tc>
        <w:tc>
          <w:tcPr>
            <w:tcW w:w="2054"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满意度指标</w:t>
            </w:r>
          </w:p>
        </w:tc>
        <w:tc>
          <w:tcPr>
            <w:tcW w:w="1393"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服务对象满意度指标</w:t>
            </w:r>
          </w:p>
        </w:tc>
        <w:tc>
          <w:tcPr>
            <w:tcW w:w="1985"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职工满意度（百分比）</w:t>
            </w:r>
          </w:p>
        </w:tc>
        <w:tc>
          <w:tcPr>
            <w:tcW w:w="1172"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954"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95</w:t>
            </w:r>
          </w:p>
        </w:tc>
        <w:tc>
          <w:tcPr>
            <w:tcW w:w="1134"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1209"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100%</w:t>
            </w:r>
          </w:p>
        </w:tc>
        <w:tc>
          <w:tcPr>
            <w:tcW w:w="765"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w:t>
            </w:r>
          </w:p>
        </w:tc>
        <w:tc>
          <w:tcPr>
            <w:tcW w:w="719"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　</w:t>
            </w:r>
          </w:p>
        </w:tc>
        <w:tc>
          <w:tcPr>
            <w:tcW w:w="2126"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r>
      <w:tr>
        <w:tblPrEx>
          <w:tblCellMar>
            <w:top w:w="0" w:type="dxa"/>
            <w:left w:w="108" w:type="dxa"/>
            <w:bottom w:w="0" w:type="dxa"/>
            <w:right w:w="108" w:type="dxa"/>
          </w:tblCellMar>
        </w:tblPrEx>
        <w:trPr>
          <w:trHeight w:val="285" w:hRule="atLeast"/>
        </w:trPr>
        <w:tc>
          <w:tcPr>
            <w:tcW w:w="10580"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合计</w:t>
            </w:r>
          </w:p>
        </w:tc>
        <w:tc>
          <w:tcPr>
            <w:tcW w:w="765"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100</w:t>
            </w:r>
          </w:p>
        </w:tc>
        <w:tc>
          <w:tcPr>
            <w:tcW w:w="719"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95</w:t>
            </w:r>
          </w:p>
        </w:tc>
        <w:tc>
          <w:tcPr>
            <w:tcW w:w="2126" w:type="dxa"/>
            <w:tcBorders>
              <w:top w:val="nil"/>
              <w:left w:val="nil"/>
              <w:bottom w:val="single" w:color="000000" w:sz="4" w:space="0"/>
              <w:right w:val="single" w:color="000000"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　</w:t>
            </w:r>
          </w:p>
        </w:tc>
      </w:tr>
      <w:tr>
        <w:tblPrEx>
          <w:tblCellMar>
            <w:top w:w="0" w:type="dxa"/>
            <w:left w:w="108" w:type="dxa"/>
            <w:bottom w:w="0" w:type="dxa"/>
            <w:right w:w="108" w:type="dxa"/>
          </w:tblCellMar>
        </w:tblPrEx>
        <w:trPr>
          <w:trHeight w:val="604" w:hRule="atLeast"/>
        </w:trPr>
        <w:tc>
          <w:tcPr>
            <w:tcW w:w="679"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评价结论</w:t>
            </w:r>
          </w:p>
        </w:tc>
        <w:tc>
          <w:tcPr>
            <w:tcW w:w="13511"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通过信息化建设运行及维护项目的实施，实现了分局机关网络化办公，通过短信平台的构建，业务监管更加便捷高效。基层网络化建设，使得职工办公开展更加便捷，职工满意度大幅度提升。项目自评得分为95分。</w:t>
            </w:r>
          </w:p>
        </w:tc>
      </w:tr>
      <w:tr>
        <w:tblPrEx>
          <w:tblCellMar>
            <w:top w:w="0" w:type="dxa"/>
            <w:left w:w="108" w:type="dxa"/>
            <w:bottom w:w="0" w:type="dxa"/>
            <w:right w:w="108" w:type="dxa"/>
          </w:tblCellMar>
        </w:tblPrEx>
        <w:trPr>
          <w:trHeight w:val="574" w:hRule="atLeast"/>
        </w:trPr>
        <w:tc>
          <w:tcPr>
            <w:tcW w:w="679"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存在问题</w:t>
            </w:r>
          </w:p>
        </w:tc>
        <w:tc>
          <w:tcPr>
            <w:tcW w:w="13511"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绩效管理观念不深入，单位对绩效管理工作重视程度不够，预算管理，资金管理，绩效评价专业性不足，缺乏主动性，导致预算编制、预算执行不够科学，与工作脱节。</w:t>
            </w:r>
          </w:p>
        </w:tc>
      </w:tr>
      <w:tr>
        <w:tblPrEx>
          <w:tblCellMar>
            <w:top w:w="0" w:type="dxa"/>
            <w:left w:w="108" w:type="dxa"/>
            <w:bottom w:w="0" w:type="dxa"/>
            <w:right w:w="108" w:type="dxa"/>
          </w:tblCellMar>
        </w:tblPrEx>
        <w:trPr>
          <w:trHeight w:val="456" w:hRule="atLeast"/>
        </w:trPr>
        <w:tc>
          <w:tcPr>
            <w:tcW w:w="679"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改进措施</w:t>
            </w:r>
          </w:p>
        </w:tc>
        <w:tc>
          <w:tcPr>
            <w:tcW w:w="13511"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由于绩效评价工作要求高、工作量大，项目涉及业务、财务、效益等多方面专业知识，建议对相关人员通过业务培训不断提升绩效人员业务能力。</w:t>
            </w:r>
          </w:p>
        </w:tc>
      </w:tr>
      <w:tr>
        <w:tblPrEx>
          <w:tblCellMar>
            <w:top w:w="0" w:type="dxa"/>
            <w:left w:w="108" w:type="dxa"/>
            <w:bottom w:w="0" w:type="dxa"/>
            <w:right w:w="108" w:type="dxa"/>
          </w:tblCellMar>
        </w:tblPrEx>
        <w:trPr>
          <w:trHeight w:val="432" w:hRule="atLeast"/>
        </w:trPr>
        <w:tc>
          <w:tcPr>
            <w:tcW w:w="7283"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仿宋_GB2312" w:hAnsi="黑体" w:eastAsia="仿宋_GB2312" w:cs="宋体"/>
                <w:color w:val="000000"/>
                <w:kern w:val="0"/>
                <w:sz w:val="22"/>
                <w:szCs w:val="22"/>
              </w:rPr>
            </w:pPr>
            <w:r>
              <w:rPr>
                <w:rFonts w:hint="eastAsia" w:ascii="仿宋_GB2312" w:hAnsi="黑体" w:eastAsia="仿宋_GB2312" w:cs="宋体"/>
                <w:color w:val="000000"/>
                <w:kern w:val="0"/>
                <w:sz w:val="22"/>
                <w:szCs w:val="22"/>
              </w:rPr>
              <w:t>项目负责人：雷明瀚</w:t>
            </w:r>
          </w:p>
        </w:tc>
        <w:tc>
          <w:tcPr>
            <w:tcW w:w="6907"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仿宋_GB2312" w:hAnsi="黑体" w:eastAsia="仿宋_GB2312" w:cs="宋体"/>
                <w:color w:val="000000"/>
                <w:kern w:val="0"/>
                <w:sz w:val="22"/>
                <w:szCs w:val="22"/>
              </w:rPr>
            </w:pPr>
            <w:r>
              <w:rPr>
                <w:rFonts w:hint="eastAsia" w:ascii="仿宋_GB2312" w:hAnsi="黑体" w:eastAsia="仿宋_GB2312" w:cs="宋体"/>
                <w:color w:val="000000"/>
                <w:kern w:val="0"/>
                <w:sz w:val="22"/>
                <w:szCs w:val="22"/>
              </w:rPr>
              <w:t>财务负责人：岳林</w:t>
            </w:r>
          </w:p>
        </w:tc>
      </w:tr>
    </w:tbl>
    <w:p>
      <w:pPr>
        <w:pStyle w:val="2"/>
        <w:spacing w:before="93"/>
      </w:pPr>
    </w:p>
    <w:p>
      <w:pPr>
        <w:pStyle w:val="2"/>
        <w:spacing w:before="93"/>
        <w:rPr>
          <w:sz w:val="32"/>
          <w:szCs w:val="28"/>
        </w:rPr>
      </w:pPr>
      <w:r>
        <w:rPr>
          <w:rFonts w:hint="eastAsia"/>
          <w:sz w:val="32"/>
          <w:szCs w:val="28"/>
        </w:rPr>
        <w:t>附件8</w:t>
      </w:r>
    </w:p>
    <w:tbl>
      <w:tblPr>
        <w:tblStyle w:val="15"/>
        <w:tblW w:w="14140" w:type="dxa"/>
        <w:tblInd w:w="93" w:type="dxa"/>
        <w:tblLayout w:type="autofit"/>
        <w:tblCellMar>
          <w:top w:w="0" w:type="dxa"/>
          <w:left w:w="108" w:type="dxa"/>
          <w:bottom w:w="0" w:type="dxa"/>
          <w:right w:w="108" w:type="dxa"/>
        </w:tblCellMar>
      </w:tblPr>
      <w:tblGrid>
        <w:gridCol w:w="678"/>
        <w:gridCol w:w="1949"/>
        <w:gridCol w:w="1691"/>
        <w:gridCol w:w="2133"/>
        <w:gridCol w:w="512"/>
        <w:gridCol w:w="282"/>
        <w:gridCol w:w="1325"/>
        <w:gridCol w:w="876"/>
        <w:gridCol w:w="1081"/>
        <w:gridCol w:w="546"/>
        <w:gridCol w:w="656"/>
        <w:gridCol w:w="2411"/>
      </w:tblGrid>
      <w:tr>
        <w:tblPrEx>
          <w:tblCellMar>
            <w:top w:w="0" w:type="dxa"/>
            <w:left w:w="108" w:type="dxa"/>
            <w:bottom w:w="0" w:type="dxa"/>
            <w:right w:w="108" w:type="dxa"/>
          </w:tblCellMar>
        </w:tblPrEx>
        <w:trPr>
          <w:trHeight w:val="640" w:hRule="atLeast"/>
        </w:trPr>
        <w:tc>
          <w:tcPr>
            <w:tcW w:w="14140" w:type="dxa"/>
            <w:gridSpan w:val="1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b/>
                <w:bCs/>
                <w:color w:val="000000"/>
                <w:kern w:val="0"/>
                <w:sz w:val="22"/>
                <w:szCs w:val="22"/>
              </w:rPr>
            </w:pPr>
            <w:r>
              <w:rPr>
                <w:rFonts w:hint="eastAsia" w:ascii="仿宋_GB2312" w:hAnsi="宋体" w:eastAsia="仿宋_GB2312" w:cs="宋体"/>
                <w:b/>
                <w:bCs/>
                <w:color w:val="000000"/>
                <w:kern w:val="0"/>
                <w:sz w:val="22"/>
                <w:szCs w:val="22"/>
              </w:rPr>
              <w:t>部门预算项目支出绩效自评表（2022年度）</w:t>
            </w:r>
          </w:p>
        </w:tc>
      </w:tr>
      <w:tr>
        <w:tblPrEx>
          <w:tblCellMar>
            <w:top w:w="0" w:type="dxa"/>
            <w:left w:w="108" w:type="dxa"/>
            <w:bottom w:w="0" w:type="dxa"/>
            <w:right w:w="108" w:type="dxa"/>
          </w:tblCellMar>
        </w:tblPrEx>
        <w:trPr>
          <w:trHeight w:val="565" w:hRule="atLeast"/>
        </w:trPr>
        <w:tc>
          <w:tcPr>
            <w:tcW w:w="26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项目名称</w:t>
            </w:r>
          </w:p>
        </w:tc>
        <w:tc>
          <w:tcPr>
            <w:tcW w:w="1151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51080021T000000051163-其他市场监督管理专项</w:t>
            </w:r>
          </w:p>
        </w:tc>
      </w:tr>
      <w:tr>
        <w:tblPrEx>
          <w:tblCellMar>
            <w:top w:w="0" w:type="dxa"/>
            <w:left w:w="108" w:type="dxa"/>
            <w:bottom w:w="0" w:type="dxa"/>
            <w:right w:w="108" w:type="dxa"/>
          </w:tblCellMar>
        </w:tblPrEx>
        <w:trPr>
          <w:trHeight w:val="514" w:hRule="atLeast"/>
        </w:trPr>
        <w:tc>
          <w:tcPr>
            <w:tcW w:w="2627" w:type="dxa"/>
            <w:gridSpan w:val="2"/>
            <w:tcBorders>
              <w:top w:val="single" w:color="000000" w:sz="4" w:space="0"/>
              <w:left w:val="single" w:color="000000" w:sz="4" w:space="0"/>
              <w:bottom w:val="single" w:color="auto" w:sz="4" w:space="0"/>
              <w:right w:val="single" w:color="000000"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主管部门</w:t>
            </w:r>
          </w:p>
        </w:tc>
        <w:tc>
          <w:tcPr>
            <w:tcW w:w="6819" w:type="dxa"/>
            <w:gridSpan w:val="6"/>
            <w:tcBorders>
              <w:top w:val="single" w:color="000000" w:sz="4" w:space="0"/>
              <w:left w:val="nil"/>
              <w:bottom w:val="single" w:color="auto" w:sz="4" w:space="0"/>
              <w:right w:val="single" w:color="000000"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广元市市场监督管理局部门</w:t>
            </w:r>
          </w:p>
        </w:tc>
        <w:tc>
          <w:tcPr>
            <w:tcW w:w="1081" w:type="dxa"/>
            <w:tcBorders>
              <w:top w:val="nil"/>
              <w:left w:val="nil"/>
              <w:bottom w:val="single" w:color="auto" w:sz="4" w:space="0"/>
              <w:right w:val="nil"/>
            </w:tcBorders>
            <w:shd w:val="clear" w:color="auto" w:fill="auto"/>
            <w:vAlign w:val="center"/>
          </w:tcPr>
          <w:p>
            <w:pPr>
              <w:widowControl/>
              <w:jc w:val="left"/>
              <w:rPr>
                <w:rFonts w:ascii="仿宋_GB2312" w:hAnsi="黑体" w:eastAsia="仿宋_GB2312" w:cs="宋体"/>
                <w:color w:val="000000"/>
                <w:kern w:val="0"/>
                <w:sz w:val="22"/>
                <w:szCs w:val="22"/>
              </w:rPr>
            </w:pPr>
            <w:r>
              <w:rPr>
                <w:rFonts w:hint="eastAsia" w:ascii="仿宋_GB2312" w:hAnsi="黑体" w:eastAsia="仿宋_GB2312" w:cs="宋体"/>
                <w:color w:val="000000"/>
                <w:kern w:val="0"/>
                <w:sz w:val="22"/>
                <w:szCs w:val="22"/>
              </w:rPr>
              <w:t>实施单位（盖章）</w:t>
            </w:r>
          </w:p>
        </w:tc>
        <w:tc>
          <w:tcPr>
            <w:tcW w:w="3613" w:type="dxa"/>
            <w:gridSpan w:val="3"/>
            <w:tcBorders>
              <w:top w:val="single" w:color="000000" w:sz="4" w:space="0"/>
              <w:left w:val="single" w:color="000000" w:sz="4" w:space="0"/>
              <w:bottom w:val="single" w:color="auto"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广元市市场监督管理局广元经开区分局</w:t>
            </w:r>
          </w:p>
        </w:tc>
      </w:tr>
      <w:tr>
        <w:tblPrEx>
          <w:tblCellMar>
            <w:top w:w="0" w:type="dxa"/>
            <w:left w:w="108" w:type="dxa"/>
            <w:bottom w:w="0" w:type="dxa"/>
            <w:right w:w="108" w:type="dxa"/>
          </w:tblCellMar>
        </w:tblPrEx>
        <w:trPr>
          <w:trHeight w:val="444" w:hRule="atLeast"/>
        </w:trPr>
        <w:tc>
          <w:tcPr>
            <w:tcW w:w="67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项目基本情况</w:t>
            </w:r>
          </w:p>
        </w:tc>
        <w:tc>
          <w:tcPr>
            <w:tcW w:w="194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1.项目年度目标完成情况</w:t>
            </w:r>
          </w:p>
        </w:tc>
        <w:tc>
          <w:tcPr>
            <w:tcW w:w="6819" w:type="dxa"/>
            <w:gridSpan w:val="6"/>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项目年度目标</w:t>
            </w:r>
          </w:p>
        </w:tc>
        <w:tc>
          <w:tcPr>
            <w:tcW w:w="4694"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黑体" w:eastAsia="仿宋_GB2312" w:cs="宋体"/>
                <w:color w:val="000000"/>
                <w:kern w:val="0"/>
                <w:sz w:val="22"/>
                <w:szCs w:val="22"/>
              </w:rPr>
            </w:pPr>
            <w:r>
              <w:rPr>
                <w:rFonts w:hint="eastAsia" w:ascii="仿宋_GB2312" w:hAnsi="黑体" w:eastAsia="仿宋_GB2312" w:cs="宋体"/>
                <w:color w:val="000000"/>
                <w:kern w:val="0"/>
                <w:sz w:val="22"/>
                <w:szCs w:val="22"/>
              </w:rPr>
              <w:t>年度目标完成情况</w:t>
            </w:r>
          </w:p>
        </w:tc>
      </w:tr>
      <w:tr>
        <w:tblPrEx>
          <w:tblCellMar>
            <w:top w:w="0" w:type="dxa"/>
            <w:left w:w="108" w:type="dxa"/>
            <w:bottom w:w="0" w:type="dxa"/>
            <w:right w:w="108" w:type="dxa"/>
          </w:tblCellMar>
        </w:tblPrEx>
        <w:trPr>
          <w:trHeight w:val="709" w:hRule="atLeast"/>
        </w:trPr>
        <w:tc>
          <w:tcPr>
            <w:tcW w:w="67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194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6819" w:type="dxa"/>
            <w:gridSpan w:val="6"/>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全面推进知识产权保护工作，专利、商标培育工作，脱贫帮扶工作，新冠肺炎疫情防控及其他临时性专项工作。</w:t>
            </w:r>
          </w:p>
        </w:tc>
        <w:tc>
          <w:tcPr>
            <w:tcW w:w="4694"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黑体" w:eastAsia="仿宋_GB2312" w:cs="宋体"/>
                <w:color w:val="000000"/>
                <w:kern w:val="0"/>
                <w:sz w:val="22"/>
                <w:szCs w:val="22"/>
              </w:rPr>
            </w:pPr>
            <w:r>
              <w:rPr>
                <w:rFonts w:hint="eastAsia" w:ascii="仿宋_GB2312" w:hAnsi="黑体" w:eastAsia="仿宋_GB2312" w:cs="宋体"/>
                <w:color w:val="000000"/>
                <w:kern w:val="0"/>
                <w:sz w:val="22"/>
                <w:szCs w:val="22"/>
              </w:rPr>
              <w:t>推进了知识产权保护，激发了产业创新活力，文明城市创建工作的开展，展现了辖区市场良好的风貌，推动了市场的文明进步。疫情防控工作，保护了川陕甘市场的安全，稳住了广元的“菜篮子”，更保障了人民的生命健康。</w:t>
            </w:r>
          </w:p>
        </w:tc>
      </w:tr>
      <w:tr>
        <w:tblPrEx>
          <w:tblCellMar>
            <w:top w:w="0" w:type="dxa"/>
            <w:left w:w="108" w:type="dxa"/>
            <w:bottom w:w="0" w:type="dxa"/>
            <w:right w:w="108" w:type="dxa"/>
          </w:tblCellMar>
        </w:tblPrEx>
        <w:trPr>
          <w:trHeight w:val="694" w:hRule="atLeast"/>
        </w:trPr>
        <w:tc>
          <w:tcPr>
            <w:tcW w:w="67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194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2.项目实施内容及过程概述</w:t>
            </w:r>
          </w:p>
        </w:tc>
        <w:tc>
          <w:tcPr>
            <w:tcW w:w="11513" w:type="dxa"/>
            <w:gridSpan w:val="10"/>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2022年其他市场监督管理专项项目由相关股室牵头负责工作方案规划、组织、开展知识产权保护、专利商标培育等工作。通过制定专项工作计划方案、确定工作目标、明确组织实施措施和策略，更有效地组织工作的正常有序开展。</w:t>
            </w:r>
          </w:p>
        </w:tc>
      </w:tr>
      <w:tr>
        <w:tblPrEx>
          <w:tblCellMar>
            <w:top w:w="0" w:type="dxa"/>
            <w:left w:w="108" w:type="dxa"/>
            <w:bottom w:w="0" w:type="dxa"/>
            <w:right w:w="108" w:type="dxa"/>
          </w:tblCellMar>
        </w:tblPrEx>
        <w:trPr>
          <w:trHeight w:val="360" w:hRule="atLeast"/>
        </w:trPr>
        <w:tc>
          <w:tcPr>
            <w:tcW w:w="67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预算执行情况（10分）</w:t>
            </w:r>
          </w:p>
        </w:tc>
        <w:tc>
          <w:tcPr>
            <w:tcW w:w="194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年度预算数（万元）</w:t>
            </w:r>
          </w:p>
        </w:tc>
        <w:tc>
          <w:tcPr>
            <w:tcW w:w="16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年初预算</w:t>
            </w:r>
          </w:p>
        </w:tc>
        <w:tc>
          <w:tcPr>
            <w:tcW w:w="213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调整后预算数</w:t>
            </w:r>
          </w:p>
        </w:tc>
        <w:tc>
          <w:tcPr>
            <w:tcW w:w="2995"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预算执行数</w:t>
            </w:r>
          </w:p>
        </w:tc>
        <w:tc>
          <w:tcPr>
            <w:tcW w:w="10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预算执行率</w:t>
            </w:r>
          </w:p>
        </w:tc>
        <w:tc>
          <w:tcPr>
            <w:tcW w:w="54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权重</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得分</w:t>
            </w:r>
          </w:p>
        </w:tc>
        <w:tc>
          <w:tcPr>
            <w:tcW w:w="241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原因</w:t>
            </w:r>
          </w:p>
        </w:tc>
      </w:tr>
      <w:tr>
        <w:tblPrEx>
          <w:tblCellMar>
            <w:top w:w="0" w:type="dxa"/>
            <w:left w:w="108" w:type="dxa"/>
            <w:bottom w:w="0" w:type="dxa"/>
            <w:right w:w="108" w:type="dxa"/>
          </w:tblCellMar>
        </w:tblPrEx>
        <w:trPr>
          <w:trHeight w:val="387" w:hRule="atLeast"/>
        </w:trPr>
        <w:tc>
          <w:tcPr>
            <w:tcW w:w="67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194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总额</w:t>
            </w:r>
          </w:p>
        </w:tc>
        <w:tc>
          <w:tcPr>
            <w:tcW w:w="16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9.00</w:t>
            </w:r>
          </w:p>
        </w:tc>
        <w:tc>
          <w:tcPr>
            <w:tcW w:w="213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9.00</w:t>
            </w:r>
          </w:p>
        </w:tc>
        <w:tc>
          <w:tcPr>
            <w:tcW w:w="2995"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8.53</w:t>
            </w:r>
          </w:p>
        </w:tc>
        <w:tc>
          <w:tcPr>
            <w:tcW w:w="10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94.81%</w:t>
            </w:r>
          </w:p>
        </w:tc>
        <w:tc>
          <w:tcPr>
            <w:tcW w:w="54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9.5　</w:t>
            </w:r>
          </w:p>
        </w:tc>
        <w:tc>
          <w:tcPr>
            <w:tcW w:w="241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黑体" w:eastAsia="仿宋_GB2312" w:cs="宋体"/>
                <w:iCs/>
                <w:color w:val="000000"/>
                <w:kern w:val="0"/>
                <w:sz w:val="22"/>
                <w:szCs w:val="22"/>
              </w:rPr>
            </w:pPr>
            <w:r>
              <w:rPr>
                <w:rFonts w:hint="eastAsia" w:ascii="仿宋_GB2312" w:hAnsi="黑体" w:eastAsia="仿宋_GB2312" w:cs="宋体"/>
                <w:iCs/>
                <w:color w:val="000000"/>
                <w:kern w:val="0"/>
                <w:sz w:val="22"/>
                <w:szCs w:val="22"/>
              </w:rPr>
              <w:t>.</w:t>
            </w:r>
          </w:p>
        </w:tc>
      </w:tr>
      <w:tr>
        <w:tblPrEx>
          <w:tblCellMar>
            <w:top w:w="0" w:type="dxa"/>
            <w:left w:w="108" w:type="dxa"/>
            <w:bottom w:w="0" w:type="dxa"/>
            <w:right w:w="108" w:type="dxa"/>
          </w:tblCellMar>
        </w:tblPrEx>
        <w:trPr>
          <w:trHeight w:val="432" w:hRule="atLeast"/>
        </w:trPr>
        <w:tc>
          <w:tcPr>
            <w:tcW w:w="67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194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其中：财政资金</w:t>
            </w:r>
          </w:p>
        </w:tc>
        <w:tc>
          <w:tcPr>
            <w:tcW w:w="16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9.00</w:t>
            </w:r>
          </w:p>
        </w:tc>
        <w:tc>
          <w:tcPr>
            <w:tcW w:w="213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9.00</w:t>
            </w:r>
          </w:p>
        </w:tc>
        <w:tc>
          <w:tcPr>
            <w:tcW w:w="2995"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8.53</w:t>
            </w:r>
          </w:p>
        </w:tc>
        <w:tc>
          <w:tcPr>
            <w:tcW w:w="10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94.81%</w:t>
            </w:r>
          </w:p>
        </w:tc>
        <w:tc>
          <w:tcPr>
            <w:tcW w:w="54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241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黑体" w:eastAsia="仿宋_GB2312" w:cs="宋体"/>
                <w:iCs/>
                <w:color w:val="000000"/>
                <w:kern w:val="0"/>
                <w:sz w:val="22"/>
                <w:szCs w:val="22"/>
              </w:rPr>
            </w:pPr>
          </w:p>
        </w:tc>
      </w:tr>
      <w:tr>
        <w:tblPrEx>
          <w:tblCellMar>
            <w:top w:w="0" w:type="dxa"/>
            <w:left w:w="108" w:type="dxa"/>
            <w:bottom w:w="0" w:type="dxa"/>
            <w:right w:w="108" w:type="dxa"/>
          </w:tblCellMar>
        </w:tblPrEx>
        <w:trPr>
          <w:trHeight w:val="447" w:hRule="atLeast"/>
        </w:trPr>
        <w:tc>
          <w:tcPr>
            <w:tcW w:w="67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194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财政专户管理资金</w:t>
            </w:r>
          </w:p>
        </w:tc>
        <w:tc>
          <w:tcPr>
            <w:tcW w:w="16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0.00</w:t>
            </w:r>
          </w:p>
        </w:tc>
        <w:tc>
          <w:tcPr>
            <w:tcW w:w="213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0.00</w:t>
            </w:r>
          </w:p>
        </w:tc>
        <w:tc>
          <w:tcPr>
            <w:tcW w:w="2995"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0.00</w:t>
            </w:r>
          </w:p>
        </w:tc>
        <w:tc>
          <w:tcPr>
            <w:tcW w:w="10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0.00%</w:t>
            </w:r>
          </w:p>
        </w:tc>
        <w:tc>
          <w:tcPr>
            <w:tcW w:w="54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241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黑体" w:eastAsia="仿宋_GB2312" w:cs="宋体"/>
                <w:iCs/>
                <w:color w:val="000000"/>
                <w:kern w:val="0"/>
                <w:sz w:val="22"/>
                <w:szCs w:val="22"/>
              </w:rPr>
            </w:pPr>
          </w:p>
        </w:tc>
      </w:tr>
      <w:tr>
        <w:tblPrEx>
          <w:tblCellMar>
            <w:top w:w="0" w:type="dxa"/>
            <w:left w:w="108" w:type="dxa"/>
            <w:bottom w:w="0" w:type="dxa"/>
            <w:right w:w="108" w:type="dxa"/>
          </w:tblCellMar>
        </w:tblPrEx>
        <w:trPr>
          <w:trHeight w:val="402" w:hRule="atLeast"/>
        </w:trPr>
        <w:tc>
          <w:tcPr>
            <w:tcW w:w="67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194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单位资金</w:t>
            </w:r>
          </w:p>
        </w:tc>
        <w:tc>
          <w:tcPr>
            <w:tcW w:w="16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0.00</w:t>
            </w:r>
          </w:p>
        </w:tc>
        <w:tc>
          <w:tcPr>
            <w:tcW w:w="213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0.00</w:t>
            </w:r>
          </w:p>
        </w:tc>
        <w:tc>
          <w:tcPr>
            <w:tcW w:w="2995"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0.00</w:t>
            </w:r>
          </w:p>
        </w:tc>
        <w:tc>
          <w:tcPr>
            <w:tcW w:w="10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0.00%</w:t>
            </w:r>
          </w:p>
        </w:tc>
        <w:tc>
          <w:tcPr>
            <w:tcW w:w="54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241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黑体" w:eastAsia="仿宋_GB2312" w:cs="宋体"/>
                <w:iCs/>
                <w:color w:val="000000"/>
                <w:kern w:val="0"/>
                <w:sz w:val="22"/>
                <w:szCs w:val="22"/>
              </w:rPr>
            </w:pPr>
          </w:p>
        </w:tc>
      </w:tr>
      <w:tr>
        <w:tblPrEx>
          <w:tblCellMar>
            <w:top w:w="0" w:type="dxa"/>
            <w:left w:w="108" w:type="dxa"/>
            <w:bottom w:w="0" w:type="dxa"/>
            <w:right w:w="108" w:type="dxa"/>
          </w:tblCellMar>
        </w:tblPrEx>
        <w:trPr>
          <w:trHeight w:val="379" w:hRule="atLeast"/>
        </w:trPr>
        <w:tc>
          <w:tcPr>
            <w:tcW w:w="67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194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其他资金</w:t>
            </w:r>
          </w:p>
        </w:tc>
        <w:tc>
          <w:tcPr>
            <w:tcW w:w="16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c>
          <w:tcPr>
            <w:tcW w:w="213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c>
          <w:tcPr>
            <w:tcW w:w="2995"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c>
          <w:tcPr>
            <w:tcW w:w="10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c>
          <w:tcPr>
            <w:tcW w:w="54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241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黑体" w:eastAsia="仿宋_GB2312" w:cs="宋体"/>
                <w:iCs/>
                <w:color w:val="000000"/>
                <w:kern w:val="0"/>
                <w:sz w:val="22"/>
                <w:szCs w:val="22"/>
              </w:rPr>
            </w:pPr>
          </w:p>
        </w:tc>
      </w:tr>
      <w:tr>
        <w:tblPrEx>
          <w:tblCellMar>
            <w:top w:w="0" w:type="dxa"/>
            <w:left w:w="108" w:type="dxa"/>
            <w:bottom w:w="0" w:type="dxa"/>
            <w:right w:w="108" w:type="dxa"/>
          </w:tblCellMar>
        </w:tblPrEx>
        <w:trPr>
          <w:trHeight w:val="454" w:hRule="atLeast"/>
        </w:trPr>
        <w:tc>
          <w:tcPr>
            <w:tcW w:w="67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绩效指标（90分）</w:t>
            </w:r>
          </w:p>
        </w:tc>
        <w:tc>
          <w:tcPr>
            <w:tcW w:w="194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一级指标</w:t>
            </w:r>
          </w:p>
        </w:tc>
        <w:tc>
          <w:tcPr>
            <w:tcW w:w="16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二级指标</w:t>
            </w:r>
          </w:p>
        </w:tc>
        <w:tc>
          <w:tcPr>
            <w:tcW w:w="213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三级指标</w:t>
            </w:r>
          </w:p>
        </w:tc>
        <w:tc>
          <w:tcPr>
            <w:tcW w:w="79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指标性质</w:t>
            </w:r>
          </w:p>
        </w:tc>
        <w:tc>
          <w:tcPr>
            <w:tcW w:w="13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指标值</w:t>
            </w:r>
          </w:p>
        </w:tc>
        <w:tc>
          <w:tcPr>
            <w:tcW w:w="87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度量单位</w:t>
            </w:r>
          </w:p>
        </w:tc>
        <w:tc>
          <w:tcPr>
            <w:tcW w:w="10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完成值</w:t>
            </w:r>
          </w:p>
        </w:tc>
        <w:tc>
          <w:tcPr>
            <w:tcW w:w="54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权重</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得分</w:t>
            </w:r>
          </w:p>
        </w:tc>
        <w:tc>
          <w:tcPr>
            <w:tcW w:w="241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未完成原因分析</w:t>
            </w:r>
          </w:p>
        </w:tc>
      </w:tr>
      <w:tr>
        <w:tblPrEx>
          <w:tblCellMar>
            <w:top w:w="0" w:type="dxa"/>
            <w:left w:w="108" w:type="dxa"/>
            <w:bottom w:w="0" w:type="dxa"/>
            <w:right w:w="108" w:type="dxa"/>
          </w:tblCellMar>
        </w:tblPrEx>
        <w:trPr>
          <w:trHeight w:val="338" w:hRule="atLeast"/>
        </w:trPr>
        <w:tc>
          <w:tcPr>
            <w:tcW w:w="67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194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产出指标</w:t>
            </w:r>
          </w:p>
        </w:tc>
        <w:tc>
          <w:tcPr>
            <w:tcW w:w="169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数量指标</w:t>
            </w:r>
          </w:p>
        </w:tc>
        <w:tc>
          <w:tcPr>
            <w:tcW w:w="213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发明专利新申请量</w:t>
            </w:r>
          </w:p>
        </w:tc>
        <w:tc>
          <w:tcPr>
            <w:tcW w:w="79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13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w:t>
            </w:r>
          </w:p>
        </w:tc>
        <w:tc>
          <w:tcPr>
            <w:tcW w:w="87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件</w:t>
            </w:r>
          </w:p>
        </w:tc>
        <w:tc>
          <w:tcPr>
            <w:tcW w:w="10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2件</w:t>
            </w:r>
          </w:p>
        </w:tc>
        <w:tc>
          <w:tcPr>
            <w:tcW w:w="54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8.6　</w:t>
            </w:r>
          </w:p>
        </w:tc>
        <w:tc>
          <w:tcPr>
            <w:tcW w:w="241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上级部门最终下达任务26件，完成了年度考核目标。　</w:t>
            </w:r>
          </w:p>
        </w:tc>
      </w:tr>
      <w:tr>
        <w:tblPrEx>
          <w:tblCellMar>
            <w:top w:w="0" w:type="dxa"/>
            <w:left w:w="108" w:type="dxa"/>
            <w:bottom w:w="0" w:type="dxa"/>
            <w:right w:w="108" w:type="dxa"/>
          </w:tblCellMar>
        </w:tblPrEx>
        <w:trPr>
          <w:trHeight w:val="338" w:hRule="atLeast"/>
        </w:trPr>
        <w:tc>
          <w:tcPr>
            <w:tcW w:w="67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194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169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13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商标培育量</w:t>
            </w:r>
          </w:p>
        </w:tc>
        <w:tc>
          <w:tcPr>
            <w:tcW w:w="79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13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w:t>
            </w:r>
          </w:p>
        </w:tc>
        <w:tc>
          <w:tcPr>
            <w:tcW w:w="87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件</w:t>
            </w:r>
          </w:p>
        </w:tc>
        <w:tc>
          <w:tcPr>
            <w:tcW w:w="10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未开展</w:t>
            </w:r>
          </w:p>
        </w:tc>
        <w:tc>
          <w:tcPr>
            <w:tcW w:w="54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　</w:t>
            </w:r>
          </w:p>
        </w:tc>
        <w:tc>
          <w:tcPr>
            <w:tcW w:w="241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年度工作任务变化，该项工作不再开展</w:t>
            </w:r>
          </w:p>
        </w:tc>
      </w:tr>
      <w:tr>
        <w:tblPrEx>
          <w:tblCellMar>
            <w:top w:w="0" w:type="dxa"/>
            <w:left w:w="108" w:type="dxa"/>
            <w:bottom w:w="0" w:type="dxa"/>
            <w:right w:w="108" w:type="dxa"/>
          </w:tblCellMar>
        </w:tblPrEx>
        <w:trPr>
          <w:trHeight w:val="338" w:hRule="atLeast"/>
        </w:trPr>
        <w:tc>
          <w:tcPr>
            <w:tcW w:w="67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194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169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13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专利保有量</w:t>
            </w:r>
          </w:p>
        </w:tc>
        <w:tc>
          <w:tcPr>
            <w:tcW w:w="79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13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30</w:t>
            </w:r>
          </w:p>
        </w:tc>
        <w:tc>
          <w:tcPr>
            <w:tcW w:w="87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件</w:t>
            </w:r>
          </w:p>
        </w:tc>
        <w:tc>
          <w:tcPr>
            <w:tcW w:w="10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26</w:t>
            </w:r>
          </w:p>
        </w:tc>
        <w:tc>
          <w:tcPr>
            <w:tcW w:w="54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　</w:t>
            </w:r>
          </w:p>
        </w:tc>
        <w:tc>
          <w:tcPr>
            <w:tcW w:w="241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r>
      <w:tr>
        <w:tblPrEx>
          <w:tblCellMar>
            <w:top w:w="0" w:type="dxa"/>
            <w:left w:w="108" w:type="dxa"/>
            <w:bottom w:w="0" w:type="dxa"/>
            <w:right w:w="108" w:type="dxa"/>
          </w:tblCellMar>
        </w:tblPrEx>
        <w:trPr>
          <w:trHeight w:val="454" w:hRule="atLeast"/>
        </w:trPr>
        <w:tc>
          <w:tcPr>
            <w:tcW w:w="67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194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169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13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开展铝产业专利导航课题研究</w:t>
            </w:r>
          </w:p>
        </w:tc>
        <w:tc>
          <w:tcPr>
            <w:tcW w:w="79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13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w:t>
            </w:r>
          </w:p>
        </w:tc>
        <w:tc>
          <w:tcPr>
            <w:tcW w:w="87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项</w:t>
            </w:r>
          </w:p>
        </w:tc>
        <w:tc>
          <w:tcPr>
            <w:tcW w:w="10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未开展</w:t>
            </w:r>
          </w:p>
        </w:tc>
        <w:tc>
          <w:tcPr>
            <w:tcW w:w="54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　</w:t>
            </w:r>
          </w:p>
        </w:tc>
        <w:tc>
          <w:tcPr>
            <w:tcW w:w="241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年度工作任务变化，该项工作不再开展　</w:t>
            </w:r>
          </w:p>
        </w:tc>
      </w:tr>
      <w:tr>
        <w:tblPrEx>
          <w:tblCellMar>
            <w:top w:w="0" w:type="dxa"/>
            <w:left w:w="108" w:type="dxa"/>
            <w:bottom w:w="0" w:type="dxa"/>
            <w:right w:w="108" w:type="dxa"/>
          </w:tblCellMar>
        </w:tblPrEx>
        <w:trPr>
          <w:trHeight w:val="338" w:hRule="atLeast"/>
        </w:trPr>
        <w:tc>
          <w:tcPr>
            <w:tcW w:w="67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194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169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质量指标</w:t>
            </w:r>
          </w:p>
        </w:tc>
        <w:tc>
          <w:tcPr>
            <w:tcW w:w="213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疫情防控覆盖率</w:t>
            </w:r>
          </w:p>
        </w:tc>
        <w:tc>
          <w:tcPr>
            <w:tcW w:w="79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13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100</w:t>
            </w:r>
          </w:p>
        </w:tc>
        <w:tc>
          <w:tcPr>
            <w:tcW w:w="87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10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100%</w:t>
            </w:r>
          </w:p>
        </w:tc>
        <w:tc>
          <w:tcPr>
            <w:tcW w:w="54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　</w:t>
            </w:r>
          </w:p>
        </w:tc>
        <w:tc>
          <w:tcPr>
            <w:tcW w:w="241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r>
      <w:tr>
        <w:tblPrEx>
          <w:tblCellMar>
            <w:top w:w="0" w:type="dxa"/>
            <w:left w:w="108" w:type="dxa"/>
            <w:bottom w:w="0" w:type="dxa"/>
            <w:right w:w="108" w:type="dxa"/>
          </w:tblCellMar>
        </w:tblPrEx>
        <w:trPr>
          <w:trHeight w:val="338" w:hRule="atLeast"/>
        </w:trPr>
        <w:tc>
          <w:tcPr>
            <w:tcW w:w="67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194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169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13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铝产业专利导航课题研究</w:t>
            </w:r>
          </w:p>
        </w:tc>
        <w:tc>
          <w:tcPr>
            <w:tcW w:w="79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13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50</w:t>
            </w:r>
          </w:p>
        </w:tc>
        <w:tc>
          <w:tcPr>
            <w:tcW w:w="87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10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未开展</w:t>
            </w:r>
          </w:p>
        </w:tc>
        <w:tc>
          <w:tcPr>
            <w:tcW w:w="54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　</w:t>
            </w:r>
          </w:p>
        </w:tc>
        <w:tc>
          <w:tcPr>
            <w:tcW w:w="241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年度工作任务变化，该项工作不再开展　</w:t>
            </w:r>
          </w:p>
        </w:tc>
      </w:tr>
      <w:tr>
        <w:tblPrEx>
          <w:tblCellMar>
            <w:top w:w="0" w:type="dxa"/>
            <w:left w:w="108" w:type="dxa"/>
            <w:bottom w:w="0" w:type="dxa"/>
            <w:right w:w="108" w:type="dxa"/>
          </w:tblCellMar>
        </w:tblPrEx>
        <w:trPr>
          <w:trHeight w:val="338" w:hRule="atLeast"/>
        </w:trPr>
        <w:tc>
          <w:tcPr>
            <w:tcW w:w="67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194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16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时效指标</w:t>
            </w:r>
          </w:p>
        </w:tc>
        <w:tc>
          <w:tcPr>
            <w:tcW w:w="213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任务完成时间</w:t>
            </w:r>
          </w:p>
        </w:tc>
        <w:tc>
          <w:tcPr>
            <w:tcW w:w="79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13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12</w:t>
            </w:r>
          </w:p>
        </w:tc>
        <w:tc>
          <w:tcPr>
            <w:tcW w:w="87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月</w:t>
            </w:r>
          </w:p>
        </w:tc>
        <w:tc>
          <w:tcPr>
            <w:tcW w:w="10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按时完成</w:t>
            </w:r>
          </w:p>
        </w:tc>
        <w:tc>
          <w:tcPr>
            <w:tcW w:w="54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5</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5　</w:t>
            </w:r>
          </w:p>
        </w:tc>
        <w:tc>
          <w:tcPr>
            <w:tcW w:w="241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r>
      <w:tr>
        <w:tblPrEx>
          <w:tblCellMar>
            <w:top w:w="0" w:type="dxa"/>
            <w:left w:w="108" w:type="dxa"/>
            <w:bottom w:w="0" w:type="dxa"/>
            <w:right w:w="108" w:type="dxa"/>
          </w:tblCellMar>
        </w:tblPrEx>
        <w:trPr>
          <w:trHeight w:val="679" w:hRule="atLeast"/>
        </w:trPr>
        <w:tc>
          <w:tcPr>
            <w:tcW w:w="67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194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169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成本指标</w:t>
            </w:r>
          </w:p>
        </w:tc>
        <w:tc>
          <w:tcPr>
            <w:tcW w:w="213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差旅费</w:t>
            </w:r>
          </w:p>
        </w:tc>
        <w:tc>
          <w:tcPr>
            <w:tcW w:w="79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13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180</w:t>
            </w:r>
          </w:p>
        </w:tc>
        <w:tc>
          <w:tcPr>
            <w:tcW w:w="87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元/人·次</w:t>
            </w:r>
          </w:p>
        </w:tc>
        <w:tc>
          <w:tcPr>
            <w:tcW w:w="10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按标准执行</w:t>
            </w:r>
          </w:p>
        </w:tc>
        <w:tc>
          <w:tcPr>
            <w:tcW w:w="54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5</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5　</w:t>
            </w:r>
          </w:p>
        </w:tc>
        <w:tc>
          <w:tcPr>
            <w:tcW w:w="241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r>
      <w:tr>
        <w:tblPrEx>
          <w:tblCellMar>
            <w:top w:w="0" w:type="dxa"/>
            <w:left w:w="108" w:type="dxa"/>
            <w:bottom w:w="0" w:type="dxa"/>
            <w:right w:w="108" w:type="dxa"/>
          </w:tblCellMar>
        </w:tblPrEx>
        <w:trPr>
          <w:trHeight w:val="454" w:hRule="atLeast"/>
        </w:trPr>
        <w:tc>
          <w:tcPr>
            <w:tcW w:w="67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194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169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13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开展铝产业专利导航课题研究</w:t>
            </w:r>
          </w:p>
        </w:tc>
        <w:tc>
          <w:tcPr>
            <w:tcW w:w="79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13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40000</w:t>
            </w:r>
          </w:p>
        </w:tc>
        <w:tc>
          <w:tcPr>
            <w:tcW w:w="87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元</w:t>
            </w:r>
          </w:p>
        </w:tc>
        <w:tc>
          <w:tcPr>
            <w:tcW w:w="10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未开展</w:t>
            </w:r>
          </w:p>
        </w:tc>
        <w:tc>
          <w:tcPr>
            <w:tcW w:w="54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5</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5　</w:t>
            </w:r>
          </w:p>
        </w:tc>
        <w:tc>
          <w:tcPr>
            <w:tcW w:w="241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年度工作任务变化，该项工作不再开展　</w:t>
            </w:r>
          </w:p>
        </w:tc>
      </w:tr>
      <w:tr>
        <w:tblPrEx>
          <w:tblCellMar>
            <w:top w:w="0" w:type="dxa"/>
            <w:left w:w="108" w:type="dxa"/>
            <w:bottom w:w="0" w:type="dxa"/>
            <w:right w:w="108" w:type="dxa"/>
          </w:tblCellMar>
        </w:tblPrEx>
        <w:trPr>
          <w:trHeight w:val="338" w:hRule="atLeast"/>
        </w:trPr>
        <w:tc>
          <w:tcPr>
            <w:tcW w:w="67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194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效益指标</w:t>
            </w:r>
          </w:p>
        </w:tc>
        <w:tc>
          <w:tcPr>
            <w:tcW w:w="169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社会效益指标</w:t>
            </w:r>
          </w:p>
        </w:tc>
        <w:tc>
          <w:tcPr>
            <w:tcW w:w="213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侵权处置率</w:t>
            </w:r>
          </w:p>
        </w:tc>
        <w:tc>
          <w:tcPr>
            <w:tcW w:w="79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13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100</w:t>
            </w:r>
          </w:p>
        </w:tc>
        <w:tc>
          <w:tcPr>
            <w:tcW w:w="87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10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100%</w:t>
            </w:r>
          </w:p>
        </w:tc>
        <w:tc>
          <w:tcPr>
            <w:tcW w:w="54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5</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5　</w:t>
            </w:r>
          </w:p>
        </w:tc>
        <w:tc>
          <w:tcPr>
            <w:tcW w:w="241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r>
      <w:tr>
        <w:tblPrEx>
          <w:tblCellMar>
            <w:top w:w="0" w:type="dxa"/>
            <w:left w:w="108" w:type="dxa"/>
            <w:bottom w:w="0" w:type="dxa"/>
            <w:right w:w="108" w:type="dxa"/>
          </w:tblCellMar>
        </w:tblPrEx>
        <w:trPr>
          <w:trHeight w:val="338" w:hRule="atLeast"/>
        </w:trPr>
        <w:tc>
          <w:tcPr>
            <w:tcW w:w="67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194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169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13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疫情防控效果</w:t>
            </w:r>
          </w:p>
        </w:tc>
        <w:tc>
          <w:tcPr>
            <w:tcW w:w="79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定性</w:t>
            </w:r>
          </w:p>
        </w:tc>
        <w:tc>
          <w:tcPr>
            <w:tcW w:w="13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优良中低差</w:t>
            </w:r>
          </w:p>
        </w:tc>
        <w:tc>
          <w:tcPr>
            <w:tcW w:w="87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　级</w:t>
            </w:r>
          </w:p>
        </w:tc>
        <w:tc>
          <w:tcPr>
            <w:tcW w:w="10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优</w:t>
            </w:r>
          </w:p>
        </w:tc>
        <w:tc>
          <w:tcPr>
            <w:tcW w:w="54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5</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5　</w:t>
            </w:r>
          </w:p>
        </w:tc>
        <w:tc>
          <w:tcPr>
            <w:tcW w:w="241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r>
      <w:tr>
        <w:tblPrEx>
          <w:tblCellMar>
            <w:top w:w="0" w:type="dxa"/>
            <w:left w:w="108" w:type="dxa"/>
            <w:bottom w:w="0" w:type="dxa"/>
            <w:right w:w="108" w:type="dxa"/>
          </w:tblCellMar>
        </w:tblPrEx>
        <w:trPr>
          <w:trHeight w:val="454" w:hRule="atLeast"/>
        </w:trPr>
        <w:tc>
          <w:tcPr>
            <w:tcW w:w="67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194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满意度指标</w:t>
            </w:r>
          </w:p>
        </w:tc>
        <w:tc>
          <w:tcPr>
            <w:tcW w:w="16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服务对象满意度指标</w:t>
            </w:r>
          </w:p>
        </w:tc>
        <w:tc>
          <w:tcPr>
            <w:tcW w:w="213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社会满意度（百分比）</w:t>
            </w:r>
          </w:p>
        </w:tc>
        <w:tc>
          <w:tcPr>
            <w:tcW w:w="79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13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70</w:t>
            </w:r>
          </w:p>
        </w:tc>
        <w:tc>
          <w:tcPr>
            <w:tcW w:w="87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10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90%</w:t>
            </w:r>
          </w:p>
        </w:tc>
        <w:tc>
          <w:tcPr>
            <w:tcW w:w="54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5</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5　</w:t>
            </w:r>
          </w:p>
        </w:tc>
        <w:tc>
          <w:tcPr>
            <w:tcW w:w="241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r>
      <w:tr>
        <w:tblPrEx>
          <w:tblCellMar>
            <w:top w:w="0" w:type="dxa"/>
            <w:left w:w="108" w:type="dxa"/>
            <w:bottom w:w="0" w:type="dxa"/>
            <w:right w:w="108" w:type="dxa"/>
          </w:tblCellMar>
        </w:tblPrEx>
        <w:trPr>
          <w:trHeight w:val="285" w:hRule="atLeast"/>
        </w:trPr>
        <w:tc>
          <w:tcPr>
            <w:tcW w:w="10527" w:type="dxa"/>
            <w:gridSpan w:val="9"/>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合计</w:t>
            </w:r>
          </w:p>
        </w:tc>
        <w:tc>
          <w:tcPr>
            <w:tcW w:w="54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100</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98.1</w:t>
            </w:r>
          </w:p>
        </w:tc>
        <w:tc>
          <w:tcPr>
            <w:tcW w:w="241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　</w:t>
            </w:r>
          </w:p>
        </w:tc>
      </w:tr>
      <w:tr>
        <w:tblPrEx>
          <w:tblCellMar>
            <w:top w:w="0" w:type="dxa"/>
            <w:left w:w="108" w:type="dxa"/>
            <w:bottom w:w="0" w:type="dxa"/>
            <w:right w:w="108" w:type="dxa"/>
          </w:tblCellMar>
        </w:tblPrEx>
        <w:trPr>
          <w:trHeight w:val="604" w:hRule="atLeast"/>
        </w:trPr>
        <w:tc>
          <w:tcPr>
            <w:tcW w:w="67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评价结论</w:t>
            </w:r>
          </w:p>
        </w:tc>
        <w:tc>
          <w:tcPr>
            <w:tcW w:w="13462" w:type="dxa"/>
            <w:gridSpan w:val="11"/>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通过其他市场监督管理专项项目的实施，推进了知识产权保护，激发了产业创新活力。文明城市创建工作的开展，展现了辖区市场良好的风貌，推动了市场的文明进步。疫情防控工作，保护了川陕甘市场的安全，稳住了广元的“菜篮子”，更保障了人民的生命健康。项目自评得分为98.1分。</w:t>
            </w:r>
          </w:p>
        </w:tc>
      </w:tr>
      <w:tr>
        <w:tblPrEx>
          <w:tblCellMar>
            <w:top w:w="0" w:type="dxa"/>
            <w:left w:w="108" w:type="dxa"/>
            <w:bottom w:w="0" w:type="dxa"/>
            <w:right w:w="108" w:type="dxa"/>
          </w:tblCellMar>
        </w:tblPrEx>
        <w:trPr>
          <w:trHeight w:val="574" w:hRule="atLeast"/>
        </w:trPr>
        <w:tc>
          <w:tcPr>
            <w:tcW w:w="678" w:type="dxa"/>
            <w:tcBorders>
              <w:top w:val="single" w:color="auto"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存在问题</w:t>
            </w:r>
          </w:p>
        </w:tc>
        <w:tc>
          <w:tcPr>
            <w:tcW w:w="13462" w:type="dxa"/>
            <w:gridSpan w:val="11"/>
            <w:tcBorders>
              <w:top w:val="single" w:color="auto" w:sz="4" w:space="0"/>
              <w:left w:val="nil"/>
              <w:bottom w:val="single" w:color="000000" w:sz="4" w:space="0"/>
              <w:right w:val="single" w:color="000000" w:sz="4" w:space="0"/>
            </w:tcBorders>
            <w:shd w:val="clear" w:color="auto" w:fill="auto"/>
            <w:vAlign w:val="center"/>
          </w:tcPr>
          <w:p>
            <w:pPr>
              <w:widowControl/>
              <w:jc w:val="left"/>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绩效管理观念不深入，单位对绩效管理工作重视程度不够，预算管理，资金管理，绩效评价专业性不足，缺乏主动性，导致工作脱节。</w:t>
            </w:r>
          </w:p>
        </w:tc>
      </w:tr>
      <w:tr>
        <w:tblPrEx>
          <w:tblCellMar>
            <w:top w:w="0" w:type="dxa"/>
            <w:left w:w="108" w:type="dxa"/>
            <w:bottom w:w="0" w:type="dxa"/>
            <w:right w:w="108" w:type="dxa"/>
          </w:tblCellMar>
        </w:tblPrEx>
        <w:trPr>
          <w:trHeight w:val="634" w:hRule="atLeast"/>
        </w:trPr>
        <w:tc>
          <w:tcPr>
            <w:tcW w:w="678"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改进措施</w:t>
            </w:r>
          </w:p>
        </w:tc>
        <w:tc>
          <w:tcPr>
            <w:tcW w:w="13462" w:type="dxa"/>
            <w:gridSpan w:val="11"/>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由于绩效评价工作要求高、工作量大，项目涉及业务、财务、效益等多方面专业知识，建议对相关人员通过业务培训不断提升绩效人员业务能力。</w:t>
            </w:r>
          </w:p>
        </w:tc>
      </w:tr>
      <w:tr>
        <w:tblPrEx>
          <w:tblCellMar>
            <w:top w:w="0" w:type="dxa"/>
            <w:left w:w="108" w:type="dxa"/>
            <w:bottom w:w="0" w:type="dxa"/>
            <w:right w:w="108" w:type="dxa"/>
          </w:tblCellMar>
        </w:tblPrEx>
        <w:trPr>
          <w:trHeight w:val="506" w:hRule="atLeast"/>
        </w:trPr>
        <w:tc>
          <w:tcPr>
            <w:tcW w:w="6963"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仿宋_GB2312" w:hAnsi="黑体" w:eastAsia="仿宋_GB2312" w:cs="宋体"/>
                <w:color w:val="000000"/>
                <w:kern w:val="0"/>
                <w:sz w:val="22"/>
                <w:szCs w:val="22"/>
              </w:rPr>
            </w:pPr>
            <w:r>
              <w:rPr>
                <w:rFonts w:hint="eastAsia" w:ascii="仿宋_GB2312" w:hAnsi="黑体" w:eastAsia="仿宋_GB2312" w:cs="宋体"/>
                <w:color w:val="000000"/>
                <w:kern w:val="0"/>
                <w:sz w:val="22"/>
                <w:szCs w:val="22"/>
              </w:rPr>
              <w:t>项目负责人：穆伟</w:t>
            </w:r>
          </w:p>
        </w:tc>
        <w:tc>
          <w:tcPr>
            <w:tcW w:w="7177"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仿宋_GB2312" w:hAnsi="黑体" w:eastAsia="仿宋_GB2312" w:cs="宋体"/>
                <w:color w:val="000000"/>
                <w:kern w:val="0"/>
                <w:sz w:val="22"/>
                <w:szCs w:val="22"/>
              </w:rPr>
            </w:pPr>
            <w:r>
              <w:rPr>
                <w:rFonts w:hint="eastAsia" w:ascii="仿宋_GB2312" w:hAnsi="黑体" w:eastAsia="仿宋_GB2312" w:cs="宋体"/>
                <w:color w:val="000000"/>
                <w:kern w:val="0"/>
                <w:sz w:val="22"/>
                <w:szCs w:val="22"/>
              </w:rPr>
              <w:t>财务负责人：岳林</w:t>
            </w:r>
          </w:p>
        </w:tc>
      </w:tr>
    </w:tbl>
    <w:p>
      <w:pPr>
        <w:pStyle w:val="2"/>
        <w:spacing w:before="93"/>
      </w:pPr>
    </w:p>
    <w:p>
      <w:pPr>
        <w:pStyle w:val="2"/>
        <w:spacing w:before="93"/>
      </w:pPr>
    </w:p>
    <w:p>
      <w:pPr>
        <w:pStyle w:val="2"/>
        <w:spacing w:before="93"/>
      </w:pPr>
    </w:p>
    <w:p>
      <w:pPr>
        <w:pStyle w:val="2"/>
        <w:spacing w:before="93"/>
      </w:pPr>
    </w:p>
    <w:p>
      <w:pPr>
        <w:pStyle w:val="2"/>
        <w:spacing w:before="93"/>
      </w:pPr>
    </w:p>
    <w:p>
      <w:pPr>
        <w:pStyle w:val="2"/>
        <w:spacing w:before="93"/>
      </w:pPr>
    </w:p>
    <w:p>
      <w:pPr>
        <w:pStyle w:val="2"/>
        <w:spacing w:before="93"/>
      </w:pPr>
    </w:p>
    <w:p>
      <w:pPr>
        <w:pStyle w:val="2"/>
        <w:spacing w:before="93"/>
        <w:rPr>
          <w:sz w:val="32"/>
          <w:szCs w:val="28"/>
        </w:rPr>
      </w:pPr>
      <w:r>
        <w:rPr>
          <w:rFonts w:hint="eastAsia"/>
          <w:sz w:val="32"/>
          <w:szCs w:val="28"/>
        </w:rPr>
        <w:t>附件9</w:t>
      </w:r>
    </w:p>
    <w:tbl>
      <w:tblPr>
        <w:tblStyle w:val="15"/>
        <w:tblW w:w="14140" w:type="dxa"/>
        <w:tblInd w:w="93" w:type="dxa"/>
        <w:tblLayout w:type="autofit"/>
        <w:tblCellMar>
          <w:top w:w="0" w:type="dxa"/>
          <w:left w:w="108" w:type="dxa"/>
          <w:bottom w:w="0" w:type="dxa"/>
          <w:right w:w="108" w:type="dxa"/>
        </w:tblCellMar>
      </w:tblPr>
      <w:tblGrid>
        <w:gridCol w:w="678"/>
        <w:gridCol w:w="1995"/>
        <w:gridCol w:w="1733"/>
        <w:gridCol w:w="2196"/>
        <w:gridCol w:w="512"/>
        <w:gridCol w:w="297"/>
        <w:gridCol w:w="1120"/>
        <w:gridCol w:w="731"/>
        <w:gridCol w:w="108"/>
        <w:gridCol w:w="987"/>
        <w:gridCol w:w="656"/>
        <w:gridCol w:w="656"/>
        <w:gridCol w:w="2471"/>
      </w:tblGrid>
      <w:tr>
        <w:tblPrEx>
          <w:tblCellMar>
            <w:top w:w="0" w:type="dxa"/>
            <w:left w:w="108" w:type="dxa"/>
            <w:bottom w:w="0" w:type="dxa"/>
            <w:right w:w="108" w:type="dxa"/>
          </w:tblCellMar>
        </w:tblPrEx>
        <w:trPr>
          <w:trHeight w:val="640" w:hRule="atLeast"/>
        </w:trPr>
        <w:tc>
          <w:tcPr>
            <w:tcW w:w="14140" w:type="dxa"/>
            <w:gridSpan w:val="1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b/>
                <w:bCs/>
                <w:color w:val="000000"/>
                <w:kern w:val="0"/>
                <w:sz w:val="22"/>
                <w:szCs w:val="22"/>
              </w:rPr>
            </w:pPr>
            <w:r>
              <w:rPr>
                <w:rFonts w:hint="eastAsia" w:ascii="仿宋_GB2312" w:hAnsi="宋体" w:eastAsia="仿宋_GB2312" w:cs="宋体"/>
                <w:b/>
                <w:bCs/>
                <w:color w:val="000000"/>
                <w:kern w:val="0"/>
                <w:sz w:val="22"/>
                <w:szCs w:val="22"/>
              </w:rPr>
              <w:t>部门预算项目支出绩效自评表（2022年度）</w:t>
            </w:r>
          </w:p>
        </w:tc>
      </w:tr>
      <w:tr>
        <w:tblPrEx>
          <w:tblCellMar>
            <w:top w:w="0" w:type="dxa"/>
            <w:left w:w="108" w:type="dxa"/>
            <w:bottom w:w="0" w:type="dxa"/>
            <w:right w:w="108" w:type="dxa"/>
          </w:tblCellMar>
        </w:tblPrEx>
        <w:trPr>
          <w:trHeight w:val="565" w:hRule="atLeast"/>
        </w:trPr>
        <w:tc>
          <w:tcPr>
            <w:tcW w:w="27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项目名称</w:t>
            </w:r>
          </w:p>
        </w:tc>
        <w:tc>
          <w:tcPr>
            <w:tcW w:w="11427" w:type="dxa"/>
            <w:gridSpan w:val="11"/>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51080021Y000000176770-其他公用经费（福利、工会、公车补贴、党建、退休活动）</w:t>
            </w:r>
          </w:p>
        </w:tc>
      </w:tr>
      <w:tr>
        <w:tblPrEx>
          <w:tblCellMar>
            <w:top w:w="0" w:type="dxa"/>
            <w:left w:w="108" w:type="dxa"/>
            <w:bottom w:w="0" w:type="dxa"/>
            <w:right w:w="108" w:type="dxa"/>
          </w:tblCellMar>
        </w:tblPrEx>
        <w:trPr>
          <w:trHeight w:val="514" w:hRule="atLeast"/>
        </w:trPr>
        <w:tc>
          <w:tcPr>
            <w:tcW w:w="27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主管部门</w:t>
            </w:r>
          </w:p>
        </w:tc>
        <w:tc>
          <w:tcPr>
            <w:tcW w:w="6690"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广元市市场监督管理局部门</w:t>
            </w:r>
          </w:p>
        </w:tc>
        <w:tc>
          <w:tcPr>
            <w:tcW w:w="1097" w:type="dxa"/>
            <w:gridSpan w:val="2"/>
            <w:tcBorders>
              <w:top w:val="nil"/>
              <w:left w:val="nil"/>
              <w:bottom w:val="nil"/>
              <w:right w:val="nil"/>
            </w:tcBorders>
            <w:shd w:val="clear" w:color="auto" w:fill="auto"/>
            <w:vAlign w:val="center"/>
          </w:tcPr>
          <w:p>
            <w:pPr>
              <w:widowControl/>
              <w:jc w:val="left"/>
              <w:rPr>
                <w:rFonts w:ascii="仿宋_GB2312" w:hAnsi="黑体" w:eastAsia="仿宋_GB2312" w:cs="宋体"/>
                <w:color w:val="000000"/>
                <w:kern w:val="0"/>
                <w:sz w:val="22"/>
                <w:szCs w:val="22"/>
              </w:rPr>
            </w:pPr>
            <w:r>
              <w:rPr>
                <w:rFonts w:hint="eastAsia" w:ascii="仿宋_GB2312" w:hAnsi="黑体" w:eastAsia="仿宋_GB2312" w:cs="宋体"/>
                <w:color w:val="000000"/>
                <w:kern w:val="0"/>
                <w:sz w:val="22"/>
                <w:szCs w:val="22"/>
              </w:rPr>
              <w:t>实施单位（盖章）</w:t>
            </w:r>
          </w:p>
        </w:tc>
        <w:tc>
          <w:tcPr>
            <w:tcW w:w="364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广元市市场监督管理局广元经开区分局</w:t>
            </w:r>
          </w:p>
        </w:tc>
      </w:tr>
      <w:tr>
        <w:tblPrEx>
          <w:tblCellMar>
            <w:top w:w="0" w:type="dxa"/>
            <w:left w:w="108" w:type="dxa"/>
            <w:bottom w:w="0" w:type="dxa"/>
            <w:right w:w="108" w:type="dxa"/>
          </w:tblCellMar>
        </w:tblPrEx>
        <w:trPr>
          <w:trHeight w:val="482" w:hRule="atLeast"/>
        </w:trPr>
        <w:tc>
          <w:tcPr>
            <w:tcW w:w="67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项目基本情况</w:t>
            </w:r>
          </w:p>
        </w:tc>
        <w:tc>
          <w:tcPr>
            <w:tcW w:w="2034"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1.项目年度目标完成情况</w:t>
            </w:r>
          </w:p>
        </w:tc>
        <w:tc>
          <w:tcPr>
            <w:tcW w:w="6690"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项目年度目标</w:t>
            </w:r>
          </w:p>
        </w:tc>
        <w:tc>
          <w:tcPr>
            <w:tcW w:w="4737"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仿宋_GB2312" w:hAnsi="黑体" w:eastAsia="仿宋_GB2312" w:cs="宋体"/>
                <w:color w:val="000000"/>
                <w:kern w:val="0"/>
                <w:sz w:val="22"/>
                <w:szCs w:val="22"/>
              </w:rPr>
            </w:pPr>
            <w:r>
              <w:rPr>
                <w:rFonts w:hint="eastAsia" w:ascii="仿宋_GB2312" w:hAnsi="黑体" w:eastAsia="仿宋_GB2312" w:cs="宋体"/>
                <w:color w:val="000000"/>
                <w:kern w:val="0"/>
                <w:sz w:val="22"/>
                <w:szCs w:val="22"/>
              </w:rPr>
              <w:t>年度目标完成情况</w:t>
            </w:r>
          </w:p>
        </w:tc>
      </w:tr>
      <w:tr>
        <w:tblPrEx>
          <w:tblCellMar>
            <w:top w:w="0" w:type="dxa"/>
            <w:left w:w="108" w:type="dxa"/>
            <w:bottom w:w="0" w:type="dxa"/>
            <w:right w:w="108" w:type="dxa"/>
          </w:tblCellMar>
        </w:tblPrEx>
        <w:trPr>
          <w:trHeight w:val="709" w:hRule="atLeast"/>
        </w:trPr>
        <w:tc>
          <w:tcPr>
            <w:tcW w:w="679"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color w:val="000000"/>
                <w:kern w:val="0"/>
                <w:sz w:val="22"/>
                <w:szCs w:val="22"/>
              </w:rPr>
            </w:pPr>
          </w:p>
        </w:tc>
        <w:tc>
          <w:tcPr>
            <w:tcW w:w="2034"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color w:val="000000"/>
                <w:kern w:val="0"/>
                <w:sz w:val="22"/>
                <w:szCs w:val="22"/>
              </w:rPr>
            </w:pPr>
          </w:p>
        </w:tc>
        <w:tc>
          <w:tcPr>
            <w:tcW w:w="6690"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保障单位日常运转，提高预算编制质量，严格执行预算</w:t>
            </w:r>
          </w:p>
        </w:tc>
        <w:tc>
          <w:tcPr>
            <w:tcW w:w="4737" w:type="dxa"/>
            <w:gridSpan w:val="5"/>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仿宋_GB2312" w:hAnsi="黑体" w:eastAsia="仿宋_GB2312" w:cs="宋体"/>
                <w:color w:val="000000"/>
                <w:kern w:val="0"/>
                <w:sz w:val="22"/>
                <w:szCs w:val="22"/>
              </w:rPr>
            </w:pPr>
            <w:r>
              <w:rPr>
                <w:rFonts w:hint="eastAsia" w:ascii="仿宋_GB2312" w:hAnsi="仿宋_GB2312" w:eastAsia="仿宋_GB2312" w:cs="仿宋_GB2312"/>
                <w:bCs/>
                <w:sz w:val="22"/>
                <w:szCs w:val="22"/>
              </w:rPr>
              <w:t>保障16名在职人员工会经费、职工福利费、其他交通费等所需的支出，保障4名退休职工所需的活动费等支出。</w:t>
            </w:r>
          </w:p>
        </w:tc>
      </w:tr>
      <w:tr>
        <w:tblPrEx>
          <w:tblCellMar>
            <w:top w:w="0" w:type="dxa"/>
            <w:left w:w="108" w:type="dxa"/>
            <w:bottom w:w="0" w:type="dxa"/>
            <w:right w:w="108" w:type="dxa"/>
          </w:tblCellMar>
        </w:tblPrEx>
        <w:trPr>
          <w:trHeight w:val="694" w:hRule="atLeast"/>
        </w:trPr>
        <w:tc>
          <w:tcPr>
            <w:tcW w:w="679" w:type="dxa"/>
            <w:vMerge w:val="continue"/>
            <w:tcBorders>
              <w:top w:val="nil"/>
              <w:left w:val="single" w:color="000000" w:sz="4" w:space="0"/>
              <w:bottom w:val="single" w:color="auto" w:sz="4" w:space="0"/>
              <w:right w:val="single" w:color="000000" w:sz="4" w:space="0"/>
            </w:tcBorders>
            <w:vAlign w:val="center"/>
          </w:tcPr>
          <w:p>
            <w:pPr>
              <w:widowControl/>
              <w:jc w:val="left"/>
              <w:rPr>
                <w:rFonts w:ascii="仿宋_GB2312" w:hAnsi="宋体" w:eastAsia="仿宋_GB2312" w:cs="宋体"/>
                <w:color w:val="000000"/>
                <w:kern w:val="0"/>
                <w:sz w:val="22"/>
                <w:szCs w:val="22"/>
              </w:rPr>
            </w:pPr>
          </w:p>
        </w:tc>
        <w:tc>
          <w:tcPr>
            <w:tcW w:w="2034" w:type="dxa"/>
            <w:tcBorders>
              <w:top w:val="nil"/>
              <w:left w:val="nil"/>
              <w:bottom w:val="single" w:color="auto" w:sz="4" w:space="0"/>
              <w:right w:val="single" w:color="000000"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2.项目实施内容及过程概述</w:t>
            </w:r>
          </w:p>
        </w:tc>
        <w:tc>
          <w:tcPr>
            <w:tcW w:w="11427" w:type="dxa"/>
            <w:gridSpan w:val="11"/>
            <w:tcBorders>
              <w:top w:val="single" w:color="000000" w:sz="4" w:space="0"/>
              <w:left w:val="nil"/>
              <w:bottom w:val="single" w:color="auto" w:sz="4" w:space="0"/>
              <w:right w:val="single" w:color="000000"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“其他公用经费”项目由财务股负责组织实施，通过制定专项工作计划方案、确定工作目标、明确组织实施措施和策略，有效地指导工作的正常有序开展。</w:t>
            </w:r>
          </w:p>
        </w:tc>
      </w:tr>
      <w:tr>
        <w:tblPrEx>
          <w:tblCellMar>
            <w:top w:w="0" w:type="dxa"/>
            <w:left w:w="108" w:type="dxa"/>
            <w:bottom w:w="0" w:type="dxa"/>
            <w:right w:w="108" w:type="dxa"/>
          </w:tblCellMar>
        </w:tblPrEx>
        <w:trPr>
          <w:trHeight w:val="360" w:hRule="atLeast"/>
        </w:trPr>
        <w:tc>
          <w:tcPr>
            <w:tcW w:w="67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预算执行情况（10分）</w:t>
            </w:r>
          </w:p>
        </w:tc>
        <w:tc>
          <w:tcPr>
            <w:tcW w:w="20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年度预算数（万元）</w:t>
            </w:r>
          </w:p>
        </w:tc>
        <w:tc>
          <w:tcPr>
            <w:tcW w:w="176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年初预算</w:t>
            </w:r>
          </w:p>
        </w:tc>
        <w:tc>
          <w:tcPr>
            <w:tcW w:w="22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调整后预算数</w:t>
            </w:r>
          </w:p>
        </w:tc>
        <w:tc>
          <w:tcPr>
            <w:tcW w:w="2805"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预算执行数</w:t>
            </w:r>
          </w:p>
        </w:tc>
        <w:tc>
          <w:tcPr>
            <w:tcW w:w="98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预算执行率</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权重</w:t>
            </w:r>
          </w:p>
        </w:tc>
        <w:tc>
          <w:tcPr>
            <w:tcW w:w="4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得分</w:t>
            </w:r>
          </w:p>
        </w:tc>
        <w:tc>
          <w:tcPr>
            <w:tcW w:w="252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原因</w:t>
            </w:r>
          </w:p>
        </w:tc>
      </w:tr>
      <w:tr>
        <w:tblPrEx>
          <w:tblCellMar>
            <w:top w:w="0" w:type="dxa"/>
            <w:left w:w="108" w:type="dxa"/>
            <w:bottom w:w="0" w:type="dxa"/>
            <w:right w:w="108" w:type="dxa"/>
          </w:tblCellMar>
        </w:tblPrEx>
        <w:trPr>
          <w:trHeight w:val="387"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总额</w:t>
            </w:r>
          </w:p>
        </w:tc>
        <w:tc>
          <w:tcPr>
            <w:tcW w:w="176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20.81</w:t>
            </w:r>
          </w:p>
        </w:tc>
        <w:tc>
          <w:tcPr>
            <w:tcW w:w="22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20.81</w:t>
            </w:r>
          </w:p>
        </w:tc>
        <w:tc>
          <w:tcPr>
            <w:tcW w:w="2805"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20.81</w:t>
            </w:r>
          </w:p>
        </w:tc>
        <w:tc>
          <w:tcPr>
            <w:tcW w:w="98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100.00%</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w:t>
            </w:r>
          </w:p>
        </w:tc>
        <w:tc>
          <w:tcPr>
            <w:tcW w:w="4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　</w:t>
            </w:r>
          </w:p>
        </w:tc>
        <w:tc>
          <w:tcPr>
            <w:tcW w:w="252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黑体" w:eastAsia="仿宋_GB2312" w:cs="宋体"/>
                <w:iCs/>
                <w:color w:val="000000"/>
                <w:kern w:val="0"/>
                <w:sz w:val="22"/>
                <w:szCs w:val="22"/>
              </w:rPr>
            </w:pPr>
            <w:r>
              <w:rPr>
                <w:rFonts w:hint="eastAsia" w:ascii="仿宋_GB2312" w:hAnsi="黑体" w:eastAsia="仿宋_GB2312" w:cs="宋体"/>
                <w:iCs/>
                <w:color w:val="000000"/>
                <w:kern w:val="0"/>
                <w:sz w:val="22"/>
                <w:szCs w:val="22"/>
              </w:rPr>
              <w:t>无。</w:t>
            </w:r>
          </w:p>
        </w:tc>
      </w:tr>
      <w:tr>
        <w:tblPrEx>
          <w:tblCellMar>
            <w:top w:w="0" w:type="dxa"/>
            <w:left w:w="108" w:type="dxa"/>
            <w:bottom w:w="0" w:type="dxa"/>
            <w:right w:w="108" w:type="dxa"/>
          </w:tblCellMar>
        </w:tblPrEx>
        <w:trPr>
          <w:trHeight w:val="432"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其中：财政资金</w:t>
            </w:r>
          </w:p>
        </w:tc>
        <w:tc>
          <w:tcPr>
            <w:tcW w:w="176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20.81</w:t>
            </w:r>
          </w:p>
        </w:tc>
        <w:tc>
          <w:tcPr>
            <w:tcW w:w="22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20.81</w:t>
            </w:r>
          </w:p>
        </w:tc>
        <w:tc>
          <w:tcPr>
            <w:tcW w:w="2805"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20.81</w:t>
            </w:r>
          </w:p>
        </w:tc>
        <w:tc>
          <w:tcPr>
            <w:tcW w:w="98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100.00%</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4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252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黑体" w:eastAsia="仿宋_GB2312" w:cs="宋体"/>
                <w:iCs/>
                <w:color w:val="000000"/>
                <w:kern w:val="0"/>
                <w:sz w:val="22"/>
                <w:szCs w:val="22"/>
              </w:rPr>
            </w:pPr>
          </w:p>
        </w:tc>
      </w:tr>
      <w:tr>
        <w:tblPrEx>
          <w:tblCellMar>
            <w:top w:w="0" w:type="dxa"/>
            <w:left w:w="108" w:type="dxa"/>
            <w:bottom w:w="0" w:type="dxa"/>
            <w:right w:w="108" w:type="dxa"/>
          </w:tblCellMar>
        </w:tblPrEx>
        <w:trPr>
          <w:trHeight w:val="447"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财政专户管理资金</w:t>
            </w:r>
          </w:p>
        </w:tc>
        <w:tc>
          <w:tcPr>
            <w:tcW w:w="176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0.00</w:t>
            </w:r>
          </w:p>
        </w:tc>
        <w:tc>
          <w:tcPr>
            <w:tcW w:w="22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0.00</w:t>
            </w:r>
          </w:p>
        </w:tc>
        <w:tc>
          <w:tcPr>
            <w:tcW w:w="2805"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0.00</w:t>
            </w:r>
          </w:p>
        </w:tc>
        <w:tc>
          <w:tcPr>
            <w:tcW w:w="98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0.00%</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4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252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黑体" w:eastAsia="仿宋_GB2312" w:cs="宋体"/>
                <w:iCs/>
                <w:color w:val="000000"/>
                <w:kern w:val="0"/>
                <w:sz w:val="22"/>
                <w:szCs w:val="22"/>
              </w:rPr>
            </w:pPr>
          </w:p>
        </w:tc>
      </w:tr>
      <w:tr>
        <w:tblPrEx>
          <w:tblCellMar>
            <w:top w:w="0" w:type="dxa"/>
            <w:left w:w="108" w:type="dxa"/>
            <w:bottom w:w="0" w:type="dxa"/>
            <w:right w:w="108" w:type="dxa"/>
          </w:tblCellMar>
        </w:tblPrEx>
        <w:trPr>
          <w:trHeight w:val="402"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单位资金</w:t>
            </w:r>
          </w:p>
        </w:tc>
        <w:tc>
          <w:tcPr>
            <w:tcW w:w="176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0.00</w:t>
            </w:r>
          </w:p>
        </w:tc>
        <w:tc>
          <w:tcPr>
            <w:tcW w:w="22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0.00</w:t>
            </w:r>
          </w:p>
        </w:tc>
        <w:tc>
          <w:tcPr>
            <w:tcW w:w="2805"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0.00</w:t>
            </w:r>
          </w:p>
        </w:tc>
        <w:tc>
          <w:tcPr>
            <w:tcW w:w="98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0.00%</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4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252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黑体" w:eastAsia="仿宋_GB2312" w:cs="宋体"/>
                <w:iCs/>
                <w:color w:val="000000"/>
                <w:kern w:val="0"/>
                <w:sz w:val="22"/>
                <w:szCs w:val="22"/>
              </w:rPr>
            </w:pPr>
          </w:p>
        </w:tc>
      </w:tr>
      <w:tr>
        <w:tblPrEx>
          <w:tblCellMar>
            <w:top w:w="0" w:type="dxa"/>
            <w:left w:w="108" w:type="dxa"/>
            <w:bottom w:w="0" w:type="dxa"/>
            <w:right w:w="108" w:type="dxa"/>
          </w:tblCellMar>
        </w:tblPrEx>
        <w:trPr>
          <w:trHeight w:val="472"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其他资金</w:t>
            </w:r>
          </w:p>
        </w:tc>
        <w:tc>
          <w:tcPr>
            <w:tcW w:w="176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c>
          <w:tcPr>
            <w:tcW w:w="22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c>
          <w:tcPr>
            <w:tcW w:w="2805"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c>
          <w:tcPr>
            <w:tcW w:w="98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4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252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黑体" w:eastAsia="仿宋_GB2312" w:cs="宋体"/>
                <w:iCs/>
                <w:color w:val="000000"/>
                <w:kern w:val="0"/>
                <w:sz w:val="22"/>
                <w:szCs w:val="22"/>
              </w:rPr>
            </w:pPr>
          </w:p>
        </w:tc>
      </w:tr>
      <w:tr>
        <w:tblPrEx>
          <w:tblCellMar>
            <w:top w:w="0" w:type="dxa"/>
            <w:left w:w="108" w:type="dxa"/>
            <w:bottom w:w="0" w:type="dxa"/>
            <w:right w:w="108" w:type="dxa"/>
          </w:tblCellMar>
        </w:tblPrEx>
        <w:trPr>
          <w:trHeight w:val="454" w:hRule="atLeast"/>
        </w:trPr>
        <w:tc>
          <w:tcPr>
            <w:tcW w:w="67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绩效指标（90分）</w:t>
            </w:r>
          </w:p>
        </w:tc>
        <w:tc>
          <w:tcPr>
            <w:tcW w:w="20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一级指标</w:t>
            </w:r>
          </w:p>
        </w:tc>
        <w:tc>
          <w:tcPr>
            <w:tcW w:w="176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二级指标</w:t>
            </w:r>
          </w:p>
        </w:tc>
        <w:tc>
          <w:tcPr>
            <w:tcW w:w="22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三级指标</w:t>
            </w:r>
          </w:p>
        </w:tc>
        <w:tc>
          <w:tcPr>
            <w:tcW w:w="82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指标性质</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指标值</w:t>
            </w:r>
          </w:p>
        </w:tc>
        <w:tc>
          <w:tcPr>
            <w:tcW w:w="85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度量单位</w:t>
            </w:r>
          </w:p>
        </w:tc>
        <w:tc>
          <w:tcPr>
            <w:tcW w:w="98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完成值</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权重</w:t>
            </w:r>
          </w:p>
        </w:tc>
        <w:tc>
          <w:tcPr>
            <w:tcW w:w="4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得分</w:t>
            </w:r>
          </w:p>
        </w:tc>
        <w:tc>
          <w:tcPr>
            <w:tcW w:w="252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未完成原因分析</w:t>
            </w:r>
          </w:p>
        </w:tc>
      </w:tr>
      <w:tr>
        <w:tblPrEx>
          <w:tblCellMar>
            <w:top w:w="0" w:type="dxa"/>
            <w:left w:w="108" w:type="dxa"/>
            <w:bottom w:w="0" w:type="dxa"/>
            <w:right w:w="108" w:type="dxa"/>
          </w:tblCellMar>
        </w:tblPrEx>
        <w:trPr>
          <w:trHeight w:val="488"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3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产出指标</w:t>
            </w:r>
          </w:p>
        </w:tc>
        <w:tc>
          <w:tcPr>
            <w:tcW w:w="176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数量指标</w:t>
            </w:r>
          </w:p>
        </w:tc>
        <w:tc>
          <w:tcPr>
            <w:tcW w:w="22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科目调整次数</w:t>
            </w:r>
          </w:p>
        </w:tc>
        <w:tc>
          <w:tcPr>
            <w:tcW w:w="82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w:t>
            </w:r>
          </w:p>
        </w:tc>
        <w:tc>
          <w:tcPr>
            <w:tcW w:w="85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次</w:t>
            </w:r>
          </w:p>
        </w:tc>
        <w:tc>
          <w:tcPr>
            <w:tcW w:w="98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0</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22.5</w:t>
            </w:r>
          </w:p>
        </w:tc>
        <w:tc>
          <w:tcPr>
            <w:tcW w:w="4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22.5</w:t>
            </w:r>
          </w:p>
        </w:tc>
        <w:tc>
          <w:tcPr>
            <w:tcW w:w="252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r>
      <w:tr>
        <w:tblPrEx>
          <w:tblCellMar>
            <w:top w:w="0" w:type="dxa"/>
            <w:left w:w="108" w:type="dxa"/>
            <w:bottom w:w="0" w:type="dxa"/>
            <w:right w:w="108" w:type="dxa"/>
          </w:tblCellMar>
        </w:tblPrEx>
        <w:trPr>
          <w:trHeight w:val="679"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3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176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质量指标</w:t>
            </w:r>
          </w:p>
        </w:tc>
        <w:tc>
          <w:tcPr>
            <w:tcW w:w="22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预算编制准确率（计算方法为：</w:t>
            </w:r>
            <w:r>
              <w:rPr>
                <w:rFonts w:hint="eastAsia" w:ascii="仿宋_GB2312" w:hAnsi="宋体" w:cs="宋体"/>
                <w:color w:val="000000"/>
                <w:kern w:val="0"/>
                <w:sz w:val="22"/>
                <w:szCs w:val="22"/>
              </w:rPr>
              <w:t>∣</w:t>
            </w:r>
            <w:r>
              <w:rPr>
                <w:rFonts w:hint="eastAsia" w:ascii="仿宋_GB2312" w:hAnsi="宋体" w:eastAsia="仿宋_GB2312" w:cs="宋体"/>
                <w:color w:val="000000"/>
                <w:kern w:val="0"/>
                <w:sz w:val="22"/>
                <w:szCs w:val="22"/>
              </w:rPr>
              <w:t>（执行数-预算数）/预算数</w:t>
            </w:r>
            <w:r>
              <w:rPr>
                <w:rFonts w:hint="eastAsia" w:ascii="仿宋_GB2312" w:hAnsi="宋体" w:cs="宋体"/>
                <w:color w:val="000000"/>
                <w:kern w:val="0"/>
                <w:sz w:val="22"/>
                <w:szCs w:val="22"/>
              </w:rPr>
              <w:t>∣</w:t>
            </w:r>
            <w:r>
              <w:rPr>
                <w:rFonts w:hint="eastAsia" w:ascii="仿宋_GB2312" w:hAnsi="宋体" w:eastAsia="仿宋_GB2312" w:cs="宋体"/>
                <w:color w:val="000000"/>
                <w:kern w:val="0"/>
                <w:sz w:val="22"/>
                <w:szCs w:val="22"/>
              </w:rPr>
              <w:t>）</w:t>
            </w:r>
          </w:p>
        </w:tc>
        <w:tc>
          <w:tcPr>
            <w:tcW w:w="82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5</w:t>
            </w:r>
          </w:p>
        </w:tc>
        <w:tc>
          <w:tcPr>
            <w:tcW w:w="85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98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0</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22.5</w:t>
            </w:r>
          </w:p>
        </w:tc>
        <w:tc>
          <w:tcPr>
            <w:tcW w:w="4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22.5</w:t>
            </w:r>
          </w:p>
        </w:tc>
        <w:tc>
          <w:tcPr>
            <w:tcW w:w="252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r>
      <w:tr>
        <w:tblPrEx>
          <w:tblCellMar>
            <w:top w:w="0" w:type="dxa"/>
            <w:left w:w="108" w:type="dxa"/>
            <w:bottom w:w="0" w:type="dxa"/>
            <w:right w:w="108" w:type="dxa"/>
          </w:tblCellMar>
        </w:tblPrEx>
        <w:trPr>
          <w:trHeight w:val="904"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3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效益指标</w:t>
            </w:r>
          </w:p>
        </w:tc>
        <w:tc>
          <w:tcPr>
            <w:tcW w:w="176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经济效益指标</w:t>
            </w:r>
          </w:p>
        </w:tc>
        <w:tc>
          <w:tcPr>
            <w:tcW w:w="22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“三公经费”控制率[计算方法为：（三公经费实际支出数/预算安排数]×100%）</w:t>
            </w:r>
          </w:p>
        </w:tc>
        <w:tc>
          <w:tcPr>
            <w:tcW w:w="82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100</w:t>
            </w:r>
          </w:p>
        </w:tc>
        <w:tc>
          <w:tcPr>
            <w:tcW w:w="85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98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89.95</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22.5</w:t>
            </w:r>
          </w:p>
        </w:tc>
        <w:tc>
          <w:tcPr>
            <w:tcW w:w="4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22.5</w:t>
            </w:r>
          </w:p>
        </w:tc>
        <w:tc>
          <w:tcPr>
            <w:tcW w:w="252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r>
      <w:tr>
        <w:tblPrEx>
          <w:tblCellMar>
            <w:top w:w="0" w:type="dxa"/>
            <w:left w:w="108" w:type="dxa"/>
            <w:bottom w:w="0" w:type="dxa"/>
            <w:right w:w="108" w:type="dxa"/>
          </w:tblCellMar>
        </w:tblPrEx>
        <w:trPr>
          <w:trHeight w:val="496"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3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176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2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运转保障率</w:t>
            </w:r>
          </w:p>
        </w:tc>
        <w:tc>
          <w:tcPr>
            <w:tcW w:w="82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100</w:t>
            </w:r>
          </w:p>
        </w:tc>
        <w:tc>
          <w:tcPr>
            <w:tcW w:w="85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98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100</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22.5</w:t>
            </w:r>
          </w:p>
        </w:tc>
        <w:tc>
          <w:tcPr>
            <w:tcW w:w="4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22.5</w:t>
            </w:r>
          </w:p>
        </w:tc>
        <w:tc>
          <w:tcPr>
            <w:tcW w:w="252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r>
      <w:tr>
        <w:tblPrEx>
          <w:tblCellMar>
            <w:top w:w="0" w:type="dxa"/>
            <w:left w:w="108" w:type="dxa"/>
            <w:bottom w:w="0" w:type="dxa"/>
            <w:right w:w="108" w:type="dxa"/>
          </w:tblCellMar>
        </w:tblPrEx>
        <w:trPr>
          <w:trHeight w:val="404" w:hRule="atLeast"/>
        </w:trPr>
        <w:tc>
          <w:tcPr>
            <w:tcW w:w="10500" w:type="dxa"/>
            <w:gridSpan w:val="10"/>
            <w:tcBorders>
              <w:top w:val="single" w:color="auto"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合计</w:t>
            </w:r>
          </w:p>
        </w:tc>
        <w:tc>
          <w:tcPr>
            <w:tcW w:w="656" w:type="dxa"/>
            <w:tcBorders>
              <w:top w:val="single" w:color="auto" w:sz="4" w:space="0"/>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100</w:t>
            </w:r>
          </w:p>
        </w:tc>
        <w:tc>
          <w:tcPr>
            <w:tcW w:w="460" w:type="dxa"/>
            <w:tcBorders>
              <w:top w:val="single" w:color="auto" w:sz="4" w:space="0"/>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100</w:t>
            </w:r>
          </w:p>
        </w:tc>
        <w:tc>
          <w:tcPr>
            <w:tcW w:w="2524" w:type="dxa"/>
            <w:tcBorders>
              <w:top w:val="single" w:color="auto" w:sz="4" w:space="0"/>
              <w:left w:val="nil"/>
              <w:bottom w:val="single" w:color="000000" w:sz="4" w:space="0"/>
              <w:right w:val="single" w:color="000000"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　</w:t>
            </w:r>
          </w:p>
        </w:tc>
      </w:tr>
      <w:tr>
        <w:tblPrEx>
          <w:tblCellMar>
            <w:top w:w="0" w:type="dxa"/>
            <w:left w:w="108" w:type="dxa"/>
            <w:bottom w:w="0" w:type="dxa"/>
            <w:right w:w="108" w:type="dxa"/>
          </w:tblCellMar>
        </w:tblPrEx>
        <w:trPr>
          <w:trHeight w:val="604" w:hRule="atLeast"/>
        </w:trPr>
        <w:tc>
          <w:tcPr>
            <w:tcW w:w="679"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评价结论</w:t>
            </w:r>
          </w:p>
        </w:tc>
        <w:tc>
          <w:tcPr>
            <w:tcW w:w="13461" w:type="dxa"/>
            <w:gridSpan w:val="12"/>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仿宋_GB2312" w:hAnsi="微软雅黑" w:eastAsia="仿宋_GB2312" w:cs="宋体"/>
                <w:iCs/>
                <w:color w:val="000000"/>
                <w:kern w:val="0"/>
                <w:sz w:val="22"/>
                <w:szCs w:val="22"/>
              </w:rPr>
            </w:pPr>
            <w:r>
              <w:rPr>
                <w:rFonts w:hint="eastAsia" w:ascii="仿宋_GB2312" w:hAnsi="仿宋_GB2312" w:eastAsia="仿宋_GB2312" w:cs="仿宋_GB2312"/>
                <w:bCs/>
                <w:sz w:val="22"/>
                <w:szCs w:val="22"/>
              </w:rPr>
              <w:t>保障了16名在职人员工会经费、职工福利费、其他交通费等所需的支出，保障了4名退休职工所需的活动费等支出，自评得分为100分。</w:t>
            </w:r>
          </w:p>
        </w:tc>
      </w:tr>
      <w:tr>
        <w:tblPrEx>
          <w:tblCellMar>
            <w:top w:w="0" w:type="dxa"/>
            <w:left w:w="108" w:type="dxa"/>
            <w:bottom w:w="0" w:type="dxa"/>
            <w:right w:w="108" w:type="dxa"/>
          </w:tblCellMar>
        </w:tblPrEx>
        <w:trPr>
          <w:trHeight w:val="574" w:hRule="atLeast"/>
        </w:trPr>
        <w:tc>
          <w:tcPr>
            <w:tcW w:w="679"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存在问题</w:t>
            </w:r>
          </w:p>
        </w:tc>
        <w:tc>
          <w:tcPr>
            <w:tcW w:w="13461" w:type="dxa"/>
            <w:gridSpan w:val="12"/>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无。</w:t>
            </w:r>
          </w:p>
        </w:tc>
      </w:tr>
      <w:tr>
        <w:tblPrEx>
          <w:tblCellMar>
            <w:top w:w="0" w:type="dxa"/>
            <w:left w:w="108" w:type="dxa"/>
            <w:bottom w:w="0" w:type="dxa"/>
            <w:right w:w="108" w:type="dxa"/>
          </w:tblCellMar>
        </w:tblPrEx>
        <w:trPr>
          <w:trHeight w:val="634" w:hRule="atLeast"/>
        </w:trPr>
        <w:tc>
          <w:tcPr>
            <w:tcW w:w="679"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改进措施</w:t>
            </w:r>
          </w:p>
        </w:tc>
        <w:tc>
          <w:tcPr>
            <w:tcW w:w="13461" w:type="dxa"/>
            <w:gridSpan w:val="12"/>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无。</w:t>
            </w:r>
          </w:p>
        </w:tc>
      </w:tr>
      <w:tr>
        <w:tblPrEx>
          <w:tblCellMar>
            <w:top w:w="0" w:type="dxa"/>
            <w:left w:w="108" w:type="dxa"/>
            <w:bottom w:w="0" w:type="dxa"/>
            <w:right w:w="108" w:type="dxa"/>
          </w:tblCellMar>
        </w:tblPrEx>
        <w:trPr>
          <w:trHeight w:val="462" w:hRule="atLeast"/>
        </w:trPr>
        <w:tc>
          <w:tcPr>
            <w:tcW w:w="722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仿宋_GB2312" w:hAnsi="黑体" w:eastAsia="仿宋_GB2312" w:cs="宋体"/>
                <w:color w:val="000000"/>
                <w:kern w:val="0"/>
                <w:sz w:val="22"/>
                <w:szCs w:val="22"/>
              </w:rPr>
            </w:pPr>
            <w:r>
              <w:rPr>
                <w:rFonts w:hint="eastAsia" w:ascii="仿宋_GB2312" w:hAnsi="黑体" w:eastAsia="仿宋_GB2312" w:cs="宋体"/>
                <w:color w:val="000000"/>
                <w:kern w:val="0"/>
                <w:sz w:val="22"/>
                <w:szCs w:val="22"/>
              </w:rPr>
              <w:t>项目负责人：廖红</w:t>
            </w:r>
          </w:p>
        </w:tc>
        <w:tc>
          <w:tcPr>
            <w:tcW w:w="6914" w:type="dxa"/>
            <w:gridSpan w:val="8"/>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仿宋_GB2312" w:hAnsi="黑体" w:eastAsia="仿宋_GB2312" w:cs="宋体"/>
                <w:color w:val="000000"/>
                <w:kern w:val="0"/>
                <w:sz w:val="22"/>
                <w:szCs w:val="22"/>
              </w:rPr>
            </w:pPr>
            <w:r>
              <w:rPr>
                <w:rFonts w:hint="eastAsia" w:ascii="仿宋_GB2312" w:hAnsi="黑体" w:eastAsia="仿宋_GB2312" w:cs="宋体"/>
                <w:color w:val="000000"/>
                <w:kern w:val="0"/>
                <w:sz w:val="22"/>
                <w:szCs w:val="22"/>
              </w:rPr>
              <w:t>财务负责人：岳林</w:t>
            </w:r>
          </w:p>
        </w:tc>
      </w:tr>
    </w:tbl>
    <w:p>
      <w:pPr>
        <w:pStyle w:val="2"/>
        <w:spacing w:before="93"/>
      </w:pPr>
    </w:p>
    <w:p>
      <w:pPr>
        <w:pStyle w:val="2"/>
        <w:spacing w:before="93"/>
      </w:pPr>
    </w:p>
    <w:p>
      <w:pPr>
        <w:pStyle w:val="2"/>
        <w:spacing w:before="93"/>
        <w:rPr>
          <w:sz w:val="32"/>
          <w:szCs w:val="28"/>
        </w:rPr>
      </w:pPr>
      <w:r>
        <w:rPr>
          <w:rFonts w:hint="eastAsia"/>
          <w:sz w:val="32"/>
          <w:szCs w:val="28"/>
        </w:rPr>
        <w:t>附件10</w:t>
      </w:r>
    </w:p>
    <w:tbl>
      <w:tblPr>
        <w:tblStyle w:val="15"/>
        <w:tblW w:w="14140" w:type="dxa"/>
        <w:tblInd w:w="93" w:type="dxa"/>
        <w:tblLayout w:type="autofit"/>
        <w:tblCellMar>
          <w:top w:w="0" w:type="dxa"/>
          <w:left w:w="108" w:type="dxa"/>
          <w:bottom w:w="0" w:type="dxa"/>
          <w:right w:w="108" w:type="dxa"/>
        </w:tblCellMar>
      </w:tblPr>
      <w:tblGrid>
        <w:gridCol w:w="677"/>
        <w:gridCol w:w="2000"/>
        <w:gridCol w:w="1732"/>
        <w:gridCol w:w="2192"/>
        <w:gridCol w:w="513"/>
        <w:gridCol w:w="237"/>
        <w:gridCol w:w="1107"/>
        <w:gridCol w:w="804"/>
        <w:gridCol w:w="1096"/>
        <w:gridCol w:w="656"/>
        <w:gridCol w:w="656"/>
        <w:gridCol w:w="2470"/>
      </w:tblGrid>
      <w:tr>
        <w:tblPrEx>
          <w:tblCellMar>
            <w:top w:w="0" w:type="dxa"/>
            <w:left w:w="108" w:type="dxa"/>
            <w:bottom w:w="0" w:type="dxa"/>
            <w:right w:w="108" w:type="dxa"/>
          </w:tblCellMar>
        </w:tblPrEx>
        <w:trPr>
          <w:trHeight w:val="640" w:hRule="atLeast"/>
        </w:trPr>
        <w:tc>
          <w:tcPr>
            <w:tcW w:w="14140" w:type="dxa"/>
            <w:gridSpan w:val="1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b/>
                <w:bCs/>
                <w:color w:val="000000"/>
                <w:kern w:val="0"/>
                <w:sz w:val="22"/>
                <w:szCs w:val="22"/>
              </w:rPr>
            </w:pPr>
            <w:r>
              <w:rPr>
                <w:rFonts w:hint="eastAsia" w:ascii="仿宋_GB2312" w:hAnsi="宋体" w:eastAsia="仿宋_GB2312" w:cs="宋体"/>
                <w:b/>
                <w:bCs/>
                <w:color w:val="000000"/>
                <w:kern w:val="0"/>
                <w:sz w:val="22"/>
                <w:szCs w:val="22"/>
              </w:rPr>
              <w:t>部门预算项目支出绩效自评表（2022年度）</w:t>
            </w:r>
          </w:p>
        </w:tc>
      </w:tr>
      <w:tr>
        <w:tblPrEx>
          <w:tblCellMar>
            <w:top w:w="0" w:type="dxa"/>
            <w:left w:w="108" w:type="dxa"/>
            <w:bottom w:w="0" w:type="dxa"/>
            <w:right w:w="108" w:type="dxa"/>
          </w:tblCellMar>
        </w:tblPrEx>
        <w:trPr>
          <w:trHeight w:val="427" w:hRule="atLeast"/>
        </w:trPr>
        <w:tc>
          <w:tcPr>
            <w:tcW w:w="267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项目名称</w:t>
            </w:r>
          </w:p>
        </w:tc>
        <w:tc>
          <w:tcPr>
            <w:tcW w:w="1146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51080022R000006844873-退休“中人”一次性退休补贴</w:t>
            </w:r>
          </w:p>
        </w:tc>
      </w:tr>
      <w:tr>
        <w:tblPrEx>
          <w:tblCellMar>
            <w:top w:w="0" w:type="dxa"/>
            <w:left w:w="108" w:type="dxa"/>
            <w:bottom w:w="0" w:type="dxa"/>
            <w:right w:w="108" w:type="dxa"/>
          </w:tblCellMar>
        </w:tblPrEx>
        <w:trPr>
          <w:trHeight w:val="514" w:hRule="atLeast"/>
        </w:trPr>
        <w:tc>
          <w:tcPr>
            <w:tcW w:w="267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主管部门</w:t>
            </w:r>
          </w:p>
        </w:tc>
        <w:tc>
          <w:tcPr>
            <w:tcW w:w="6585"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广元市市场监督管理局部门</w:t>
            </w:r>
          </w:p>
        </w:tc>
        <w:tc>
          <w:tcPr>
            <w:tcW w:w="1096" w:type="dxa"/>
            <w:tcBorders>
              <w:top w:val="nil"/>
              <w:left w:val="nil"/>
              <w:bottom w:val="nil"/>
              <w:right w:val="nil"/>
            </w:tcBorders>
            <w:shd w:val="clear" w:color="auto" w:fill="auto"/>
            <w:vAlign w:val="center"/>
          </w:tcPr>
          <w:p>
            <w:pPr>
              <w:widowControl/>
              <w:jc w:val="left"/>
              <w:rPr>
                <w:rFonts w:ascii="仿宋_GB2312" w:hAnsi="黑体" w:eastAsia="仿宋_GB2312" w:cs="宋体"/>
                <w:color w:val="000000"/>
                <w:kern w:val="0"/>
                <w:sz w:val="22"/>
                <w:szCs w:val="22"/>
              </w:rPr>
            </w:pPr>
            <w:r>
              <w:rPr>
                <w:rFonts w:hint="eastAsia" w:ascii="仿宋_GB2312" w:hAnsi="黑体" w:eastAsia="仿宋_GB2312" w:cs="宋体"/>
                <w:color w:val="000000"/>
                <w:kern w:val="0"/>
                <w:sz w:val="22"/>
                <w:szCs w:val="22"/>
              </w:rPr>
              <w:t>实施单位（盖章）</w:t>
            </w:r>
          </w:p>
        </w:tc>
        <w:tc>
          <w:tcPr>
            <w:tcW w:w="378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广元市市场监督管理局广元经开区分局</w:t>
            </w:r>
          </w:p>
        </w:tc>
      </w:tr>
      <w:tr>
        <w:tblPrEx>
          <w:tblCellMar>
            <w:top w:w="0" w:type="dxa"/>
            <w:left w:w="108" w:type="dxa"/>
            <w:bottom w:w="0" w:type="dxa"/>
            <w:right w:w="108" w:type="dxa"/>
          </w:tblCellMar>
        </w:tblPrEx>
        <w:trPr>
          <w:trHeight w:val="465" w:hRule="atLeast"/>
        </w:trPr>
        <w:tc>
          <w:tcPr>
            <w:tcW w:w="677"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项目基本情况</w:t>
            </w:r>
          </w:p>
        </w:tc>
        <w:tc>
          <w:tcPr>
            <w:tcW w:w="2000"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1.项目年度目标完成情况</w:t>
            </w:r>
          </w:p>
        </w:tc>
        <w:tc>
          <w:tcPr>
            <w:tcW w:w="6585"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项目年度目标</w:t>
            </w:r>
          </w:p>
        </w:tc>
        <w:tc>
          <w:tcPr>
            <w:tcW w:w="4878"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仿宋_GB2312" w:hAnsi="黑体" w:eastAsia="仿宋_GB2312" w:cs="宋体"/>
                <w:color w:val="000000"/>
                <w:kern w:val="0"/>
                <w:sz w:val="22"/>
                <w:szCs w:val="22"/>
              </w:rPr>
            </w:pPr>
            <w:r>
              <w:rPr>
                <w:rFonts w:hint="eastAsia" w:ascii="仿宋_GB2312" w:hAnsi="黑体" w:eastAsia="仿宋_GB2312" w:cs="宋体"/>
                <w:color w:val="000000"/>
                <w:kern w:val="0"/>
                <w:sz w:val="22"/>
                <w:szCs w:val="22"/>
              </w:rPr>
              <w:t>年度目标完成情况</w:t>
            </w:r>
          </w:p>
        </w:tc>
      </w:tr>
      <w:tr>
        <w:tblPrEx>
          <w:tblCellMar>
            <w:top w:w="0" w:type="dxa"/>
            <w:left w:w="108" w:type="dxa"/>
            <w:bottom w:w="0" w:type="dxa"/>
            <w:right w:w="108" w:type="dxa"/>
          </w:tblCellMar>
        </w:tblPrEx>
        <w:trPr>
          <w:trHeight w:val="709" w:hRule="atLeast"/>
        </w:trPr>
        <w:tc>
          <w:tcPr>
            <w:tcW w:w="677"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color w:val="000000"/>
                <w:kern w:val="0"/>
                <w:sz w:val="22"/>
                <w:szCs w:val="22"/>
              </w:rPr>
            </w:pPr>
          </w:p>
        </w:tc>
        <w:tc>
          <w:tcPr>
            <w:tcW w:w="2000"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color w:val="000000"/>
                <w:kern w:val="0"/>
                <w:sz w:val="22"/>
                <w:szCs w:val="22"/>
              </w:rPr>
            </w:pPr>
          </w:p>
        </w:tc>
        <w:tc>
          <w:tcPr>
            <w:tcW w:w="6585"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保障单位日常运转，提高预算编制质量，严格执行预算</w:t>
            </w:r>
          </w:p>
        </w:tc>
        <w:tc>
          <w:tcPr>
            <w:tcW w:w="4878"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仿宋_GB2312" w:hAnsi="黑体" w:eastAsia="仿宋_GB2312" w:cs="宋体"/>
                <w:color w:val="000000"/>
                <w:kern w:val="0"/>
                <w:sz w:val="22"/>
                <w:szCs w:val="22"/>
              </w:rPr>
            </w:pPr>
            <w:r>
              <w:rPr>
                <w:rFonts w:hint="eastAsia" w:ascii="仿宋_GB2312" w:hAnsi="黑体" w:eastAsia="仿宋_GB2312" w:cs="宋体"/>
                <w:color w:val="000000"/>
                <w:kern w:val="0"/>
                <w:sz w:val="22"/>
                <w:szCs w:val="22"/>
              </w:rPr>
              <w:t>保障了2名退休人员“独生子女”奖励金补贴的足额发放。</w:t>
            </w:r>
          </w:p>
        </w:tc>
      </w:tr>
      <w:tr>
        <w:tblPrEx>
          <w:tblCellMar>
            <w:top w:w="0" w:type="dxa"/>
            <w:left w:w="108" w:type="dxa"/>
            <w:bottom w:w="0" w:type="dxa"/>
            <w:right w:w="108" w:type="dxa"/>
          </w:tblCellMar>
        </w:tblPrEx>
        <w:trPr>
          <w:trHeight w:val="694" w:hRule="atLeast"/>
        </w:trPr>
        <w:tc>
          <w:tcPr>
            <w:tcW w:w="677" w:type="dxa"/>
            <w:vMerge w:val="continue"/>
            <w:tcBorders>
              <w:top w:val="nil"/>
              <w:left w:val="single" w:color="000000" w:sz="4" w:space="0"/>
              <w:bottom w:val="single" w:color="auto" w:sz="4" w:space="0"/>
              <w:right w:val="single" w:color="000000" w:sz="4" w:space="0"/>
            </w:tcBorders>
            <w:vAlign w:val="center"/>
          </w:tcPr>
          <w:p>
            <w:pPr>
              <w:widowControl/>
              <w:jc w:val="left"/>
              <w:rPr>
                <w:rFonts w:ascii="仿宋_GB2312" w:hAnsi="宋体" w:eastAsia="仿宋_GB2312" w:cs="宋体"/>
                <w:color w:val="000000"/>
                <w:kern w:val="0"/>
                <w:sz w:val="22"/>
                <w:szCs w:val="22"/>
              </w:rPr>
            </w:pPr>
          </w:p>
        </w:tc>
        <w:tc>
          <w:tcPr>
            <w:tcW w:w="2000" w:type="dxa"/>
            <w:tcBorders>
              <w:top w:val="nil"/>
              <w:left w:val="nil"/>
              <w:bottom w:val="single" w:color="auto" w:sz="4" w:space="0"/>
              <w:right w:val="single" w:color="000000"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2.项目实施内容及过程概述</w:t>
            </w:r>
          </w:p>
        </w:tc>
        <w:tc>
          <w:tcPr>
            <w:tcW w:w="11463" w:type="dxa"/>
            <w:gridSpan w:val="10"/>
            <w:tcBorders>
              <w:top w:val="single" w:color="000000" w:sz="4" w:space="0"/>
              <w:left w:val="nil"/>
              <w:bottom w:val="single" w:color="auto" w:sz="4" w:space="0"/>
              <w:right w:val="single" w:color="000000"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退休“中人”一次性退休补贴项目由财务股负责组织实施，通过制定专项工作计划方案、确定工作目标、明确组织实施措施和策略，有效地指导工作的正常有序开展。</w:t>
            </w:r>
          </w:p>
        </w:tc>
      </w:tr>
      <w:tr>
        <w:tblPrEx>
          <w:tblCellMar>
            <w:top w:w="0" w:type="dxa"/>
            <w:left w:w="108" w:type="dxa"/>
            <w:bottom w:w="0" w:type="dxa"/>
            <w:right w:w="108" w:type="dxa"/>
          </w:tblCellMar>
        </w:tblPrEx>
        <w:trPr>
          <w:trHeight w:val="360" w:hRule="atLeast"/>
        </w:trPr>
        <w:tc>
          <w:tcPr>
            <w:tcW w:w="67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预算执行情况（10分）</w:t>
            </w:r>
          </w:p>
        </w:tc>
        <w:tc>
          <w:tcPr>
            <w:tcW w:w="20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年度预算数（万元）</w:t>
            </w:r>
          </w:p>
        </w:tc>
        <w:tc>
          <w:tcPr>
            <w:tcW w:w="173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年初预算</w:t>
            </w:r>
          </w:p>
        </w:tc>
        <w:tc>
          <w:tcPr>
            <w:tcW w:w="21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调整后预算数</w:t>
            </w:r>
          </w:p>
        </w:tc>
        <w:tc>
          <w:tcPr>
            <w:tcW w:w="2661"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预算执行数</w:t>
            </w:r>
          </w:p>
        </w:tc>
        <w:tc>
          <w:tcPr>
            <w:tcW w:w="109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预算执行率</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权重</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得分</w:t>
            </w:r>
          </w:p>
        </w:tc>
        <w:tc>
          <w:tcPr>
            <w:tcW w:w="247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原因</w:t>
            </w:r>
          </w:p>
        </w:tc>
      </w:tr>
      <w:tr>
        <w:tblPrEx>
          <w:tblCellMar>
            <w:top w:w="0" w:type="dxa"/>
            <w:left w:w="108" w:type="dxa"/>
            <w:bottom w:w="0" w:type="dxa"/>
            <w:right w:w="108" w:type="dxa"/>
          </w:tblCellMar>
        </w:tblPrEx>
        <w:trPr>
          <w:trHeight w:val="387" w:hRule="atLeast"/>
        </w:trPr>
        <w:tc>
          <w:tcPr>
            <w:tcW w:w="67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总额</w:t>
            </w:r>
          </w:p>
        </w:tc>
        <w:tc>
          <w:tcPr>
            <w:tcW w:w="173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0.00</w:t>
            </w:r>
          </w:p>
        </w:tc>
        <w:tc>
          <w:tcPr>
            <w:tcW w:w="21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4.43</w:t>
            </w:r>
          </w:p>
        </w:tc>
        <w:tc>
          <w:tcPr>
            <w:tcW w:w="2661"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4.43</w:t>
            </w:r>
          </w:p>
        </w:tc>
        <w:tc>
          <w:tcPr>
            <w:tcW w:w="109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100.00%</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　</w:t>
            </w:r>
          </w:p>
        </w:tc>
        <w:tc>
          <w:tcPr>
            <w:tcW w:w="247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黑体" w:eastAsia="仿宋_GB2312" w:cs="宋体"/>
                <w:iCs/>
                <w:color w:val="000000"/>
                <w:kern w:val="0"/>
                <w:sz w:val="22"/>
                <w:szCs w:val="22"/>
              </w:rPr>
            </w:pPr>
            <w:r>
              <w:rPr>
                <w:rFonts w:hint="eastAsia" w:ascii="仿宋_GB2312" w:hAnsi="黑体" w:eastAsia="仿宋_GB2312" w:cs="宋体"/>
                <w:iCs/>
                <w:color w:val="000000"/>
                <w:kern w:val="0"/>
                <w:sz w:val="22"/>
                <w:szCs w:val="22"/>
              </w:rPr>
              <w:t>无。</w:t>
            </w:r>
          </w:p>
        </w:tc>
      </w:tr>
      <w:tr>
        <w:tblPrEx>
          <w:tblCellMar>
            <w:top w:w="0" w:type="dxa"/>
            <w:left w:w="108" w:type="dxa"/>
            <w:bottom w:w="0" w:type="dxa"/>
            <w:right w:w="108" w:type="dxa"/>
          </w:tblCellMar>
        </w:tblPrEx>
        <w:trPr>
          <w:trHeight w:val="432" w:hRule="atLeast"/>
        </w:trPr>
        <w:tc>
          <w:tcPr>
            <w:tcW w:w="67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其中：财政资金</w:t>
            </w:r>
          </w:p>
        </w:tc>
        <w:tc>
          <w:tcPr>
            <w:tcW w:w="173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0.00</w:t>
            </w:r>
          </w:p>
        </w:tc>
        <w:tc>
          <w:tcPr>
            <w:tcW w:w="21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4.43</w:t>
            </w:r>
          </w:p>
        </w:tc>
        <w:tc>
          <w:tcPr>
            <w:tcW w:w="2661"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4.43</w:t>
            </w:r>
          </w:p>
        </w:tc>
        <w:tc>
          <w:tcPr>
            <w:tcW w:w="109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100.00%</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247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黑体" w:eastAsia="仿宋_GB2312" w:cs="宋体"/>
                <w:iCs/>
                <w:color w:val="000000"/>
                <w:kern w:val="0"/>
                <w:sz w:val="22"/>
                <w:szCs w:val="22"/>
              </w:rPr>
            </w:pPr>
          </w:p>
        </w:tc>
      </w:tr>
      <w:tr>
        <w:tblPrEx>
          <w:tblCellMar>
            <w:top w:w="0" w:type="dxa"/>
            <w:left w:w="108" w:type="dxa"/>
            <w:bottom w:w="0" w:type="dxa"/>
            <w:right w:w="108" w:type="dxa"/>
          </w:tblCellMar>
        </w:tblPrEx>
        <w:trPr>
          <w:trHeight w:val="447" w:hRule="atLeast"/>
        </w:trPr>
        <w:tc>
          <w:tcPr>
            <w:tcW w:w="67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财政专户管理资金</w:t>
            </w:r>
          </w:p>
        </w:tc>
        <w:tc>
          <w:tcPr>
            <w:tcW w:w="173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0.00</w:t>
            </w:r>
          </w:p>
        </w:tc>
        <w:tc>
          <w:tcPr>
            <w:tcW w:w="21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0.00</w:t>
            </w:r>
          </w:p>
        </w:tc>
        <w:tc>
          <w:tcPr>
            <w:tcW w:w="2661"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0.00</w:t>
            </w:r>
          </w:p>
        </w:tc>
        <w:tc>
          <w:tcPr>
            <w:tcW w:w="109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0.00%</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247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黑体" w:eastAsia="仿宋_GB2312" w:cs="宋体"/>
                <w:iCs/>
                <w:color w:val="000000"/>
                <w:kern w:val="0"/>
                <w:sz w:val="22"/>
                <w:szCs w:val="22"/>
              </w:rPr>
            </w:pPr>
          </w:p>
        </w:tc>
      </w:tr>
      <w:tr>
        <w:tblPrEx>
          <w:tblCellMar>
            <w:top w:w="0" w:type="dxa"/>
            <w:left w:w="108" w:type="dxa"/>
            <w:bottom w:w="0" w:type="dxa"/>
            <w:right w:w="108" w:type="dxa"/>
          </w:tblCellMar>
        </w:tblPrEx>
        <w:trPr>
          <w:trHeight w:val="402" w:hRule="atLeast"/>
        </w:trPr>
        <w:tc>
          <w:tcPr>
            <w:tcW w:w="67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单位资金</w:t>
            </w:r>
          </w:p>
        </w:tc>
        <w:tc>
          <w:tcPr>
            <w:tcW w:w="173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0.00</w:t>
            </w:r>
          </w:p>
        </w:tc>
        <w:tc>
          <w:tcPr>
            <w:tcW w:w="21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0.00</w:t>
            </w:r>
          </w:p>
        </w:tc>
        <w:tc>
          <w:tcPr>
            <w:tcW w:w="2661"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0.00</w:t>
            </w:r>
          </w:p>
        </w:tc>
        <w:tc>
          <w:tcPr>
            <w:tcW w:w="109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0.00%</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247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黑体" w:eastAsia="仿宋_GB2312" w:cs="宋体"/>
                <w:iCs/>
                <w:color w:val="000000"/>
                <w:kern w:val="0"/>
                <w:sz w:val="22"/>
                <w:szCs w:val="22"/>
              </w:rPr>
            </w:pPr>
          </w:p>
        </w:tc>
      </w:tr>
      <w:tr>
        <w:tblPrEx>
          <w:tblCellMar>
            <w:top w:w="0" w:type="dxa"/>
            <w:left w:w="108" w:type="dxa"/>
            <w:bottom w:w="0" w:type="dxa"/>
            <w:right w:w="108" w:type="dxa"/>
          </w:tblCellMar>
        </w:tblPrEx>
        <w:trPr>
          <w:trHeight w:val="379" w:hRule="atLeast"/>
        </w:trPr>
        <w:tc>
          <w:tcPr>
            <w:tcW w:w="67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其他资金</w:t>
            </w:r>
          </w:p>
        </w:tc>
        <w:tc>
          <w:tcPr>
            <w:tcW w:w="173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c>
          <w:tcPr>
            <w:tcW w:w="21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c>
          <w:tcPr>
            <w:tcW w:w="2661"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c>
          <w:tcPr>
            <w:tcW w:w="109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247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黑体" w:eastAsia="仿宋_GB2312" w:cs="宋体"/>
                <w:iCs/>
                <w:color w:val="000000"/>
                <w:kern w:val="0"/>
                <w:sz w:val="22"/>
                <w:szCs w:val="22"/>
              </w:rPr>
            </w:pPr>
          </w:p>
        </w:tc>
      </w:tr>
      <w:tr>
        <w:tblPrEx>
          <w:tblCellMar>
            <w:top w:w="0" w:type="dxa"/>
            <w:left w:w="108" w:type="dxa"/>
            <w:bottom w:w="0" w:type="dxa"/>
            <w:right w:w="108" w:type="dxa"/>
          </w:tblCellMar>
        </w:tblPrEx>
        <w:trPr>
          <w:trHeight w:val="454" w:hRule="atLeast"/>
        </w:trPr>
        <w:tc>
          <w:tcPr>
            <w:tcW w:w="67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绩效指标（90分）</w:t>
            </w:r>
          </w:p>
        </w:tc>
        <w:tc>
          <w:tcPr>
            <w:tcW w:w="20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一级指标</w:t>
            </w:r>
          </w:p>
        </w:tc>
        <w:tc>
          <w:tcPr>
            <w:tcW w:w="173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二级指标</w:t>
            </w:r>
          </w:p>
        </w:tc>
        <w:tc>
          <w:tcPr>
            <w:tcW w:w="21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三级指标</w:t>
            </w:r>
          </w:p>
        </w:tc>
        <w:tc>
          <w:tcPr>
            <w:tcW w:w="75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指标性质</w:t>
            </w:r>
          </w:p>
        </w:tc>
        <w:tc>
          <w:tcPr>
            <w:tcW w:w="110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指标值</w:t>
            </w:r>
          </w:p>
        </w:tc>
        <w:tc>
          <w:tcPr>
            <w:tcW w:w="80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度量单位</w:t>
            </w:r>
          </w:p>
        </w:tc>
        <w:tc>
          <w:tcPr>
            <w:tcW w:w="109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完成值</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权重</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得分</w:t>
            </w:r>
          </w:p>
        </w:tc>
        <w:tc>
          <w:tcPr>
            <w:tcW w:w="247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未完成原因分析</w:t>
            </w:r>
          </w:p>
        </w:tc>
      </w:tr>
      <w:tr>
        <w:tblPrEx>
          <w:tblCellMar>
            <w:top w:w="0" w:type="dxa"/>
            <w:left w:w="108" w:type="dxa"/>
            <w:bottom w:w="0" w:type="dxa"/>
            <w:right w:w="108" w:type="dxa"/>
          </w:tblCellMar>
        </w:tblPrEx>
        <w:trPr>
          <w:trHeight w:val="486" w:hRule="atLeast"/>
        </w:trPr>
        <w:tc>
          <w:tcPr>
            <w:tcW w:w="67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产出指标　</w:t>
            </w:r>
          </w:p>
        </w:tc>
        <w:tc>
          <w:tcPr>
            <w:tcW w:w="173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数量指标</w:t>
            </w:r>
          </w:p>
        </w:tc>
        <w:tc>
          <w:tcPr>
            <w:tcW w:w="21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科目调整次数</w:t>
            </w:r>
          </w:p>
        </w:tc>
        <w:tc>
          <w:tcPr>
            <w:tcW w:w="75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110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w:t>
            </w:r>
          </w:p>
        </w:tc>
        <w:tc>
          <w:tcPr>
            <w:tcW w:w="80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次</w:t>
            </w:r>
          </w:p>
        </w:tc>
        <w:tc>
          <w:tcPr>
            <w:tcW w:w="109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0</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45</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45</w:t>
            </w:r>
          </w:p>
        </w:tc>
        <w:tc>
          <w:tcPr>
            <w:tcW w:w="247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r>
      <w:tr>
        <w:tblPrEx>
          <w:tblCellMar>
            <w:top w:w="0" w:type="dxa"/>
            <w:left w:w="108" w:type="dxa"/>
            <w:bottom w:w="0" w:type="dxa"/>
            <w:right w:w="108" w:type="dxa"/>
          </w:tblCellMar>
        </w:tblPrEx>
        <w:trPr>
          <w:trHeight w:val="419" w:hRule="atLeast"/>
        </w:trPr>
        <w:tc>
          <w:tcPr>
            <w:tcW w:w="677" w:type="dxa"/>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效益指标</w:t>
            </w:r>
          </w:p>
        </w:tc>
        <w:tc>
          <w:tcPr>
            <w:tcW w:w="173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经济效益指标</w:t>
            </w:r>
          </w:p>
        </w:tc>
        <w:tc>
          <w:tcPr>
            <w:tcW w:w="219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运转保障率</w:t>
            </w:r>
          </w:p>
        </w:tc>
        <w:tc>
          <w:tcPr>
            <w:tcW w:w="75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110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100</w:t>
            </w:r>
          </w:p>
        </w:tc>
        <w:tc>
          <w:tcPr>
            <w:tcW w:w="80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109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100</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45</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45</w:t>
            </w:r>
          </w:p>
        </w:tc>
        <w:tc>
          <w:tcPr>
            <w:tcW w:w="247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r>
      <w:tr>
        <w:tblPrEx>
          <w:tblCellMar>
            <w:top w:w="0" w:type="dxa"/>
            <w:left w:w="108" w:type="dxa"/>
            <w:bottom w:w="0" w:type="dxa"/>
            <w:right w:w="108" w:type="dxa"/>
          </w:tblCellMar>
        </w:tblPrEx>
        <w:trPr>
          <w:trHeight w:val="495" w:hRule="atLeast"/>
        </w:trPr>
        <w:tc>
          <w:tcPr>
            <w:tcW w:w="10358" w:type="dxa"/>
            <w:gridSpan w:val="9"/>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合计</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100</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100</w:t>
            </w:r>
          </w:p>
        </w:tc>
        <w:tc>
          <w:tcPr>
            <w:tcW w:w="247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　</w:t>
            </w:r>
          </w:p>
        </w:tc>
      </w:tr>
      <w:tr>
        <w:tblPrEx>
          <w:tblCellMar>
            <w:top w:w="0" w:type="dxa"/>
            <w:left w:w="108" w:type="dxa"/>
            <w:bottom w:w="0" w:type="dxa"/>
            <w:right w:w="108" w:type="dxa"/>
          </w:tblCellMar>
        </w:tblPrEx>
        <w:trPr>
          <w:trHeight w:val="604" w:hRule="atLeast"/>
        </w:trPr>
        <w:tc>
          <w:tcPr>
            <w:tcW w:w="6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评价结论</w:t>
            </w:r>
          </w:p>
        </w:tc>
        <w:tc>
          <w:tcPr>
            <w:tcW w:w="13463" w:type="dxa"/>
            <w:gridSpan w:val="11"/>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黑体" w:eastAsia="仿宋_GB2312" w:cs="宋体"/>
                <w:color w:val="000000"/>
                <w:kern w:val="0"/>
                <w:sz w:val="22"/>
                <w:szCs w:val="22"/>
              </w:rPr>
            </w:pPr>
            <w:r>
              <w:rPr>
                <w:rFonts w:hint="eastAsia" w:ascii="仿宋_GB2312" w:hAnsi="黑体" w:eastAsia="仿宋_GB2312" w:cs="宋体"/>
                <w:color w:val="000000"/>
                <w:kern w:val="0"/>
                <w:sz w:val="22"/>
                <w:szCs w:val="22"/>
              </w:rPr>
              <w:t>保障了2名退休人员“独生子女”奖励金补贴的足额发放，自评得分为100分。</w:t>
            </w:r>
          </w:p>
        </w:tc>
      </w:tr>
      <w:tr>
        <w:tblPrEx>
          <w:tblCellMar>
            <w:top w:w="0" w:type="dxa"/>
            <w:left w:w="108" w:type="dxa"/>
            <w:bottom w:w="0" w:type="dxa"/>
            <w:right w:w="108" w:type="dxa"/>
          </w:tblCellMar>
        </w:tblPrEx>
        <w:trPr>
          <w:trHeight w:val="574" w:hRule="atLeast"/>
        </w:trPr>
        <w:tc>
          <w:tcPr>
            <w:tcW w:w="6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存在问题</w:t>
            </w:r>
          </w:p>
        </w:tc>
        <w:tc>
          <w:tcPr>
            <w:tcW w:w="13463" w:type="dxa"/>
            <w:gridSpan w:val="11"/>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无。</w:t>
            </w:r>
          </w:p>
        </w:tc>
      </w:tr>
      <w:tr>
        <w:tblPrEx>
          <w:tblCellMar>
            <w:top w:w="0" w:type="dxa"/>
            <w:left w:w="108" w:type="dxa"/>
            <w:bottom w:w="0" w:type="dxa"/>
            <w:right w:w="108" w:type="dxa"/>
          </w:tblCellMar>
        </w:tblPrEx>
        <w:trPr>
          <w:trHeight w:val="634" w:hRule="atLeast"/>
        </w:trPr>
        <w:tc>
          <w:tcPr>
            <w:tcW w:w="6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改进措施</w:t>
            </w:r>
          </w:p>
        </w:tc>
        <w:tc>
          <w:tcPr>
            <w:tcW w:w="13463" w:type="dxa"/>
            <w:gridSpan w:val="11"/>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无。</w:t>
            </w:r>
          </w:p>
        </w:tc>
      </w:tr>
      <w:tr>
        <w:tblPrEx>
          <w:tblCellMar>
            <w:top w:w="0" w:type="dxa"/>
            <w:left w:w="108" w:type="dxa"/>
            <w:bottom w:w="0" w:type="dxa"/>
            <w:right w:w="108" w:type="dxa"/>
          </w:tblCellMar>
        </w:tblPrEx>
        <w:trPr>
          <w:trHeight w:val="558" w:hRule="atLeast"/>
        </w:trPr>
        <w:tc>
          <w:tcPr>
            <w:tcW w:w="7114"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黑体" w:eastAsia="仿宋_GB2312" w:cs="宋体"/>
                <w:color w:val="000000"/>
                <w:kern w:val="0"/>
                <w:sz w:val="22"/>
                <w:szCs w:val="22"/>
              </w:rPr>
            </w:pPr>
            <w:r>
              <w:rPr>
                <w:rFonts w:hint="eastAsia" w:ascii="仿宋_GB2312" w:hAnsi="黑体" w:eastAsia="仿宋_GB2312" w:cs="宋体"/>
                <w:color w:val="000000"/>
                <w:kern w:val="0"/>
                <w:sz w:val="22"/>
                <w:szCs w:val="22"/>
              </w:rPr>
              <w:t>项目负责人：廖红</w:t>
            </w:r>
          </w:p>
        </w:tc>
        <w:tc>
          <w:tcPr>
            <w:tcW w:w="7026" w:type="dxa"/>
            <w:gridSpan w:val="7"/>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黑体" w:eastAsia="仿宋_GB2312" w:cs="宋体"/>
                <w:color w:val="000000"/>
                <w:kern w:val="0"/>
                <w:sz w:val="22"/>
                <w:szCs w:val="22"/>
              </w:rPr>
            </w:pPr>
            <w:r>
              <w:rPr>
                <w:rFonts w:hint="eastAsia" w:ascii="仿宋_GB2312" w:hAnsi="黑体" w:eastAsia="仿宋_GB2312" w:cs="宋体"/>
                <w:color w:val="000000"/>
                <w:kern w:val="0"/>
                <w:sz w:val="22"/>
                <w:szCs w:val="22"/>
              </w:rPr>
              <w:t>财务负责人：岳林</w:t>
            </w:r>
          </w:p>
        </w:tc>
      </w:tr>
    </w:tbl>
    <w:p>
      <w:pPr>
        <w:pStyle w:val="2"/>
        <w:spacing w:before="93"/>
      </w:pPr>
    </w:p>
    <w:p>
      <w:pPr>
        <w:pStyle w:val="2"/>
        <w:spacing w:before="93"/>
      </w:pPr>
    </w:p>
    <w:p>
      <w:pPr>
        <w:pStyle w:val="2"/>
        <w:spacing w:before="93"/>
      </w:pPr>
    </w:p>
    <w:p>
      <w:pPr>
        <w:pStyle w:val="2"/>
        <w:spacing w:before="93"/>
      </w:pPr>
    </w:p>
    <w:p>
      <w:pPr>
        <w:pStyle w:val="2"/>
        <w:spacing w:before="93"/>
      </w:pPr>
    </w:p>
    <w:p>
      <w:pPr>
        <w:pStyle w:val="2"/>
        <w:spacing w:before="93"/>
      </w:pPr>
    </w:p>
    <w:p>
      <w:pPr>
        <w:pStyle w:val="2"/>
        <w:spacing w:before="93"/>
        <w:rPr>
          <w:sz w:val="32"/>
          <w:szCs w:val="28"/>
        </w:rPr>
      </w:pPr>
      <w:r>
        <w:rPr>
          <w:rFonts w:hint="eastAsia"/>
          <w:sz w:val="32"/>
          <w:szCs w:val="28"/>
        </w:rPr>
        <w:t>附件11</w:t>
      </w:r>
    </w:p>
    <w:tbl>
      <w:tblPr>
        <w:tblStyle w:val="15"/>
        <w:tblW w:w="13907" w:type="dxa"/>
        <w:tblInd w:w="93" w:type="dxa"/>
        <w:tblLayout w:type="fixed"/>
        <w:tblCellMar>
          <w:top w:w="0" w:type="dxa"/>
          <w:left w:w="108" w:type="dxa"/>
          <w:bottom w:w="0" w:type="dxa"/>
          <w:right w:w="108" w:type="dxa"/>
        </w:tblCellMar>
      </w:tblPr>
      <w:tblGrid>
        <w:gridCol w:w="679"/>
        <w:gridCol w:w="2039"/>
        <w:gridCol w:w="1125"/>
        <w:gridCol w:w="2693"/>
        <w:gridCol w:w="704"/>
        <w:gridCol w:w="430"/>
        <w:gridCol w:w="850"/>
        <w:gridCol w:w="851"/>
        <w:gridCol w:w="50"/>
        <w:gridCol w:w="1098"/>
        <w:gridCol w:w="269"/>
        <w:gridCol w:w="709"/>
        <w:gridCol w:w="709"/>
        <w:gridCol w:w="1701"/>
      </w:tblGrid>
      <w:tr>
        <w:tblPrEx>
          <w:tblCellMar>
            <w:top w:w="0" w:type="dxa"/>
            <w:left w:w="108" w:type="dxa"/>
            <w:bottom w:w="0" w:type="dxa"/>
            <w:right w:w="108" w:type="dxa"/>
          </w:tblCellMar>
        </w:tblPrEx>
        <w:trPr>
          <w:trHeight w:val="498" w:hRule="atLeast"/>
        </w:trPr>
        <w:tc>
          <w:tcPr>
            <w:tcW w:w="13907" w:type="dxa"/>
            <w:gridSpan w:val="14"/>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b/>
                <w:bCs/>
                <w:color w:val="000000"/>
                <w:kern w:val="0"/>
                <w:sz w:val="22"/>
                <w:szCs w:val="22"/>
              </w:rPr>
            </w:pPr>
            <w:r>
              <w:rPr>
                <w:rFonts w:hint="eastAsia" w:ascii="仿宋_GB2312" w:hAnsi="宋体" w:eastAsia="仿宋_GB2312" w:cs="宋体"/>
                <w:b/>
                <w:bCs/>
                <w:color w:val="000000"/>
                <w:kern w:val="0"/>
                <w:sz w:val="22"/>
                <w:szCs w:val="22"/>
              </w:rPr>
              <w:t>部门预算项目支出绩效自评表（2022年度）</w:t>
            </w:r>
          </w:p>
        </w:tc>
      </w:tr>
      <w:tr>
        <w:tblPrEx>
          <w:tblCellMar>
            <w:top w:w="0" w:type="dxa"/>
            <w:left w:w="108" w:type="dxa"/>
            <w:bottom w:w="0" w:type="dxa"/>
            <w:right w:w="108" w:type="dxa"/>
          </w:tblCellMar>
        </w:tblPrEx>
        <w:trPr>
          <w:trHeight w:val="549" w:hRule="atLeast"/>
        </w:trPr>
        <w:tc>
          <w:tcPr>
            <w:tcW w:w="271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项目名称</w:t>
            </w:r>
          </w:p>
        </w:tc>
        <w:tc>
          <w:tcPr>
            <w:tcW w:w="11189" w:type="dxa"/>
            <w:gridSpan w:val="12"/>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51080022T000006134984-食品药品监管补助资金</w:t>
            </w:r>
          </w:p>
        </w:tc>
      </w:tr>
      <w:tr>
        <w:tblPrEx>
          <w:tblCellMar>
            <w:top w:w="0" w:type="dxa"/>
            <w:left w:w="108" w:type="dxa"/>
            <w:bottom w:w="0" w:type="dxa"/>
            <w:right w:w="108" w:type="dxa"/>
          </w:tblCellMar>
        </w:tblPrEx>
        <w:trPr>
          <w:trHeight w:val="514" w:hRule="atLeast"/>
        </w:trPr>
        <w:tc>
          <w:tcPr>
            <w:tcW w:w="271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主管部门</w:t>
            </w:r>
          </w:p>
        </w:tc>
        <w:tc>
          <w:tcPr>
            <w:tcW w:w="6653"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广元市市场监督管理局部门</w:t>
            </w:r>
          </w:p>
        </w:tc>
        <w:tc>
          <w:tcPr>
            <w:tcW w:w="1148" w:type="dxa"/>
            <w:gridSpan w:val="2"/>
            <w:tcBorders>
              <w:top w:val="nil"/>
              <w:left w:val="nil"/>
              <w:bottom w:val="nil"/>
              <w:right w:val="nil"/>
            </w:tcBorders>
            <w:shd w:val="clear" w:color="auto" w:fill="auto"/>
            <w:vAlign w:val="center"/>
          </w:tcPr>
          <w:p>
            <w:pPr>
              <w:widowControl/>
              <w:jc w:val="left"/>
              <w:rPr>
                <w:rFonts w:ascii="仿宋_GB2312" w:hAnsi="黑体" w:eastAsia="仿宋_GB2312" w:cs="宋体"/>
                <w:color w:val="000000"/>
                <w:kern w:val="0"/>
                <w:sz w:val="22"/>
                <w:szCs w:val="22"/>
              </w:rPr>
            </w:pPr>
            <w:r>
              <w:rPr>
                <w:rFonts w:hint="eastAsia" w:ascii="仿宋_GB2312" w:hAnsi="黑体" w:eastAsia="仿宋_GB2312" w:cs="宋体"/>
                <w:color w:val="000000"/>
                <w:kern w:val="0"/>
                <w:sz w:val="22"/>
                <w:szCs w:val="22"/>
              </w:rPr>
              <w:t>实施单位（盖章）</w:t>
            </w:r>
          </w:p>
        </w:tc>
        <w:tc>
          <w:tcPr>
            <w:tcW w:w="3388"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广元市市场监督管理局广元经开区分局</w:t>
            </w:r>
          </w:p>
        </w:tc>
      </w:tr>
      <w:tr>
        <w:tblPrEx>
          <w:tblCellMar>
            <w:top w:w="0" w:type="dxa"/>
            <w:left w:w="108" w:type="dxa"/>
            <w:bottom w:w="0" w:type="dxa"/>
            <w:right w:w="108" w:type="dxa"/>
          </w:tblCellMar>
        </w:tblPrEx>
        <w:trPr>
          <w:trHeight w:val="494" w:hRule="atLeast"/>
        </w:trPr>
        <w:tc>
          <w:tcPr>
            <w:tcW w:w="67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项目基本情况</w:t>
            </w:r>
          </w:p>
        </w:tc>
        <w:tc>
          <w:tcPr>
            <w:tcW w:w="203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1.项目年度目标完成情况</w:t>
            </w:r>
          </w:p>
        </w:tc>
        <w:tc>
          <w:tcPr>
            <w:tcW w:w="6653"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项目年度目标</w:t>
            </w:r>
          </w:p>
        </w:tc>
        <w:tc>
          <w:tcPr>
            <w:tcW w:w="4536"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仿宋_GB2312" w:hAnsi="黑体" w:eastAsia="仿宋_GB2312" w:cs="宋体"/>
                <w:color w:val="000000"/>
                <w:kern w:val="0"/>
                <w:sz w:val="22"/>
                <w:szCs w:val="22"/>
              </w:rPr>
            </w:pPr>
            <w:r>
              <w:rPr>
                <w:rFonts w:hint="eastAsia" w:ascii="仿宋_GB2312" w:hAnsi="黑体" w:eastAsia="仿宋_GB2312" w:cs="宋体"/>
                <w:color w:val="000000"/>
                <w:kern w:val="0"/>
                <w:sz w:val="22"/>
                <w:szCs w:val="22"/>
              </w:rPr>
              <w:t>年度目标完成情况</w:t>
            </w:r>
          </w:p>
        </w:tc>
      </w:tr>
      <w:tr>
        <w:tblPrEx>
          <w:tblCellMar>
            <w:top w:w="0" w:type="dxa"/>
            <w:left w:w="108" w:type="dxa"/>
            <w:bottom w:w="0" w:type="dxa"/>
            <w:right w:w="108" w:type="dxa"/>
          </w:tblCellMar>
        </w:tblPrEx>
        <w:trPr>
          <w:trHeight w:val="709" w:hRule="atLeast"/>
        </w:trPr>
        <w:tc>
          <w:tcPr>
            <w:tcW w:w="679"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color w:val="000000"/>
                <w:kern w:val="0"/>
                <w:sz w:val="22"/>
                <w:szCs w:val="22"/>
              </w:rPr>
            </w:pPr>
          </w:p>
        </w:tc>
        <w:tc>
          <w:tcPr>
            <w:tcW w:w="2039"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color w:val="000000"/>
                <w:kern w:val="0"/>
                <w:sz w:val="22"/>
                <w:szCs w:val="22"/>
              </w:rPr>
            </w:pPr>
          </w:p>
        </w:tc>
        <w:tc>
          <w:tcPr>
            <w:tcW w:w="6653"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药品、医疗器械抽验各5批次，化妆品抽验3批次；2.药品监管企业数10家，化妆品监管企业数2家，医疗器械监管企业数5家；3.药品监管人员专业化培训32学时/人；培训人员覆盖率100%4.药品、化妆品、医疗器械抽检、抽验完成率100%，不合格产品处置率100%；5.药品、医疗器械、化妆品监管水平与队伍素质和装备配置水平总体提升，群众对药品安全满意度达80%以上。</w:t>
            </w:r>
          </w:p>
        </w:tc>
        <w:tc>
          <w:tcPr>
            <w:tcW w:w="4536" w:type="dxa"/>
            <w:gridSpan w:val="6"/>
            <w:tcBorders>
              <w:top w:val="single" w:color="000000" w:sz="4" w:space="0"/>
              <w:left w:val="nil"/>
              <w:bottom w:val="single" w:color="000000" w:sz="4" w:space="0"/>
              <w:right w:val="single" w:color="000000" w:sz="4" w:space="0"/>
            </w:tcBorders>
            <w:shd w:val="clear" w:color="auto" w:fill="auto"/>
            <w:vAlign w:val="center"/>
          </w:tcPr>
          <w:p>
            <w:pPr>
              <w:tabs>
                <w:tab w:val="left" w:pos="3195"/>
              </w:tabs>
              <w:adjustRightInd w:val="0"/>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“两品一械”总体安全水平提升，“两品一械”安全科普知识宣传覆盖面拓宽，公众自我保护意识不断提高，假冒伪劣产品制售行为不断下降。</w:t>
            </w:r>
          </w:p>
          <w:p>
            <w:pPr>
              <w:widowControl/>
              <w:jc w:val="left"/>
              <w:rPr>
                <w:rFonts w:ascii="仿宋_GB2312" w:hAnsi="黑体" w:eastAsia="仿宋_GB2312" w:cs="宋体"/>
                <w:color w:val="000000"/>
                <w:kern w:val="0"/>
                <w:sz w:val="22"/>
                <w:szCs w:val="22"/>
              </w:rPr>
            </w:pPr>
          </w:p>
        </w:tc>
      </w:tr>
      <w:tr>
        <w:tblPrEx>
          <w:tblCellMar>
            <w:top w:w="0" w:type="dxa"/>
            <w:left w:w="108" w:type="dxa"/>
            <w:bottom w:w="0" w:type="dxa"/>
            <w:right w:w="108" w:type="dxa"/>
          </w:tblCellMar>
        </w:tblPrEx>
        <w:trPr>
          <w:trHeight w:val="694" w:hRule="atLeast"/>
        </w:trPr>
        <w:tc>
          <w:tcPr>
            <w:tcW w:w="679" w:type="dxa"/>
            <w:vMerge w:val="continue"/>
            <w:tcBorders>
              <w:top w:val="nil"/>
              <w:left w:val="single" w:color="000000" w:sz="4" w:space="0"/>
              <w:bottom w:val="single" w:color="auto" w:sz="4" w:space="0"/>
              <w:right w:val="single" w:color="000000" w:sz="4" w:space="0"/>
            </w:tcBorders>
            <w:vAlign w:val="center"/>
          </w:tcPr>
          <w:p>
            <w:pPr>
              <w:widowControl/>
              <w:jc w:val="left"/>
              <w:rPr>
                <w:rFonts w:ascii="仿宋_GB2312" w:hAnsi="宋体" w:eastAsia="仿宋_GB2312" w:cs="宋体"/>
                <w:color w:val="000000"/>
                <w:kern w:val="0"/>
                <w:sz w:val="22"/>
                <w:szCs w:val="22"/>
              </w:rPr>
            </w:pPr>
          </w:p>
        </w:tc>
        <w:tc>
          <w:tcPr>
            <w:tcW w:w="2039" w:type="dxa"/>
            <w:tcBorders>
              <w:top w:val="nil"/>
              <w:left w:val="nil"/>
              <w:bottom w:val="single" w:color="auto" w:sz="4" w:space="0"/>
              <w:right w:val="single" w:color="000000"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2.项目实施内容及过程概述</w:t>
            </w:r>
          </w:p>
        </w:tc>
        <w:tc>
          <w:tcPr>
            <w:tcW w:w="11189" w:type="dxa"/>
            <w:gridSpan w:val="12"/>
            <w:tcBorders>
              <w:top w:val="single" w:color="000000" w:sz="4" w:space="0"/>
              <w:left w:val="nil"/>
              <w:bottom w:val="single" w:color="auto" w:sz="4" w:space="0"/>
              <w:right w:val="single" w:color="000000"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“食品药品监管补助资金”项目由食药股负责组织实施，通过制定专项工作计划方案、确定工作目标、明确组织实施措施和策略，有效地指导工作的正常有序开展。</w:t>
            </w:r>
          </w:p>
        </w:tc>
      </w:tr>
      <w:tr>
        <w:tblPrEx>
          <w:tblCellMar>
            <w:top w:w="0" w:type="dxa"/>
            <w:left w:w="108" w:type="dxa"/>
            <w:bottom w:w="0" w:type="dxa"/>
            <w:right w:w="108" w:type="dxa"/>
          </w:tblCellMar>
        </w:tblPrEx>
        <w:trPr>
          <w:trHeight w:val="360" w:hRule="atLeast"/>
        </w:trPr>
        <w:tc>
          <w:tcPr>
            <w:tcW w:w="67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预算执行情况（10分）</w:t>
            </w:r>
          </w:p>
        </w:tc>
        <w:tc>
          <w:tcPr>
            <w:tcW w:w="203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年度预算数（万元）</w:t>
            </w:r>
          </w:p>
        </w:tc>
        <w:tc>
          <w:tcPr>
            <w:tcW w:w="11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年初预算</w:t>
            </w:r>
          </w:p>
        </w:tc>
        <w:tc>
          <w:tcPr>
            <w:tcW w:w="269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调整后预算数</w:t>
            </w:r>
          </w:p>
        </w:tc>
        <w:tc>
          <w:tcPr>
            <w:tcW w:w="2885"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预算执行数</w:t>
            </w:r>
          </w:p>
        </w:tc>
        <w:tc>
          <w:tcPr>
            <w:tcW w:w="136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预算执行率</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权重</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得分</w:t>
            </w:r>
          </w:p>
        </w:tc>
        <w:tc>
          <w:tcPr>
            <w:tcW w:w="170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原因</w:t>
            </w:r>
          </w:p>
        </w:tc>
      </w:tr>
      <w:tr>
        <w:tblPrEx>
          <w:tblCellMar>
            <w:top w:w="0" w:type="dxa"/>
            <w:left w:w="108" w:type="dxa"/>
            <w:bottom w:w="0" w:type="dxa"/>
            <w:right w:w="108" w:type="dxa"/>
          </w:tblCellMar>
        </w:tblPrEx>
        <w:trPr>
          <w:trHeight w:val="387"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3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总额</w:t>
            </w:r>
          </w:p>
        </w:tc>
        <w:tc>
          <w:tcPr>
            <w:tcW w:w="11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14.00</w:t>
            </w:r>
          </w:p>
        </w:tc>
        <w:tc>
          <w:tcPr>
            <w:tcW w:w="269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28.50</w:t>
            </w:r>
          </w:p>
        </w:tc>
        <w:tc>
          <w:tcPr>
            <w:tcW w:w="2885"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17.71</w:t>
            </w:r>
          </w:p>
        </w:tc>
        <w:tc>
          <w:tcPr>
            <w:tcW w:w="136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62.14%</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6　</w:t>
            </w:r>
          </w:p>
        </w:tc>
        <w:tc>
          <w:tcPr>
            <w:tcW w:w="170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黑体" w:eastAsia="仿宋_GB2312" w:cs="宋体"/>
                <w:iCs/>
                <w:color w:val="000000"/>
                <w:kern w:val="0"/>
                <w:sz w:val="22"/>
                <w:szCs w:val="22"/>
              </w:rPr>
            </w:pPr>
            <w:r>
              <w:rPr>
                <w:rFonts w:hint="eastAsia" w:ascii="仿宋_GB2312" w:hAnsi="黑体" w:eastAsia="仿宋_GB2312" w:cs="宋体"/>
                <w:iCs/>
                <w:color w:val="000000"/>
                <w:kern w:val="0"/>
                <w:sz w:val="22"/>
                <w:szCs w:val="22"/>
              </w:rPr>
              <w:t>追加原因：年终追加预算资金14.5万元。</w:t>
            </w:r>
          </w:p>
        </w:tc>
      </w:tr>
      <w:tr>
        <w:tblPrEx>
          <w:tblCellMar>
            <w:top w:w="0" w:type="dxa"/>
            <w:left w:w="108" w:type="dxa"/>
            <w:bottom w:w="0" w:type="dxa"/>
            <w:right w:w="108" w:type="dxa"/>
          </w:tblCellMar>
        </w:tblPrEx>
        <w:trPr>
          <w:trHeight w:val="432"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3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其中：财政资金</w:t>
            </w:r>
          </w:p>
        </w:tc>
        <w:tc>
          <w:tcPr>
            <w:tcW w:w="11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0.00</w:t>
            </w:r>
          </w:p>
        </w:tc>
        <w:tc>
          <w:tcPr>
            <w:tcW w:w="269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14.50</w:t>
            </w:r>
          </w:p>
        </w:tc>
        <w:tc>
          <w:tcPr>
            <w:tcW w:w="2885"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3.71</w:t>
            </w:r>
          </w:p>
        </w:tc>
        <w:tc>
          <w:tcPr>
            <w:tcW w:w="136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25.58%</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170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黑体" w:eastAsia="仿宋_GB2312" w:cs="宋体"/>
                <w:iCs/>
                <w:color w:val="000000"/>
                <w:kern w:val="0"/>
                <w:sz w:val="22"/>
                <w:szCs w:val="22"/>
              </w:rPr>
            </w:pPr>
          </w:p>
        </w:tc>
      </w:tr>
      <w:tr>
        <w:tblPrEx>
          <w:tblCellMar>
            <w:top w:w="0" w:type="dxa"/>
            <w:left w:w="108" w:type="dxa"/>
            <w:bottom w:w="0" w:type="dxa"/>
            <w:right w:w="108" w:type="dxa"/>
          </w:tblCellMar>
        </w:tblPrEx>
        <w:trPr>
          <w:trHeight w:val="447"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3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财政专户管理资金</w:t>
            </w:r>
          </w:p>
        </w:tc>
        <w:tc>
          <w:tcPr>
            <w:tcW w:w="11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0.00</w:t>
            </w:r>
          </w:p>
        </w:tc>
        <w:tc>
          <w:tcPr>
            <w:tcW w:w="269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0.00</w:t>
            </w:r>
          </w:p>
        </w:tc>
        <w:tc>
          <w:tcPr>
            <w:tcW w:w="2885"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0.00</w:t>
            </w:r>
          </w:p>
        </w:tc>
        <w:tc>
          <w:tcPr>
            <w:tcW w:w="136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0.00%</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170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黑体" w:eastAsia="仿宋_GB2312" w:cs="宋体"/>
                <w:iCs/>
                <w:color w:val="000000"/>
                <w:kern w:val="0"/>
                <w:sz w:val="22"/>
                <w:szCs w:val="22"/>
              </w:rPr>
            </w:pPr>
          </w:p>
        </w:tc>
      </w:tr>
      <w:tr>
        <w:tblPrEx>
          <w:tblCellMar>
            <w:top w:w="0" w:type="dxa"/>
            <w:left w:w="108" w:type="dxa"/>
            <w:bottom w:w="0" w:type="dxa"/>
            <w:right w:w="108" w:type="dxa"/>
          </w:tblCellMar>
        </w:tblPrEx>
        <w:trPr>
          <w:trHeight w:val="402"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3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单位资金</w:t>
            </w:r>
          </w:p>
        </w:tc>
        <w:tc>
          <w:tcPr>
            <w:tcW w:w="11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0.00</w:t>
            </w:r>
          </w:p>
        </w:tc>
        <w:tc>
          <w:tcPr>
            <w:tcW w:w="269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0.00</w:t>
            </w:r>
          </w:p>
        </w:tc>
        <w:tc>
          <w:tcPr>
            <w:tcW w:w="2885"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0.00</w:t>
            </w:r>
          </w:p>
        </w:tc>
        <w:tc>
          <w:tcPr>
            <w:tcW w:w="136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0.00%</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170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黑体" w:eastAsia="仿宋_GB2312" w:cs="宋体"/>
                <w:iCs/>
                <w:color w:val="000000"/>
                <w:kern w:val="0"/>
                <w:sz w:val="22"/>
                <w:szCs w:val="22"/>
              </w:rPr>
            </w:pPr>
          </w:p>
        </w:tc>
      </w:tr>
      <w:tr>
        <w:tblPrEx>
          <w:tblCellMar>
            <w:top w:w="0" w:type="dxa"/>
            <w:left w:w="108" w:type="dxa"/>
            <w:bottom w:w="0" w:type="dxa"/>
            <w:right w:w="108" w:type="dxa"/>
          </w:tblCellMar>
        </w:tblPrEx>
        <w:trPr>
          <w:trHeight w:val="439"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3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其他资金</w:t>
            </w:r>
          </w:p>
        </w:tc>
        <w:tc>
          <w:tcPr>
            <w:tcW w:w="11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14.00　</w:t>
            </w:r>
          </w:p>
        </w:tc>
        <w:tc>
          <w:tcPr>
            <w:tcW w:w="269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highlight w:val="yellow"/>
              </w:rPr>
            </w:pPr>
            <w:r>
              <w:rPr>
                <w:rFonts w:hint="eastAsia" w:ascii="仿宋_GB2312" w:hAnsi="微软雅黑" w:eastAsia="仿宋_GB2312" w:cs="宋体"/>
                <w:iCs/>
                <w:color w:val="000000"/>
                <w:kern w:val="0"/>
                <w:sz w:val="22"/>
                <w:szCs w:val="22"/>
              </w:rPr>
              <w:t>14.00　</w:t>
            </w:r>
          </w:p>
        </w:tc>
        <w:tc>
          <w:tcPr>
            <w:tcW w:w="2885"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highlight w:val="yellow"/>
              </w:rPr>
            </w:pPr>
            <w:r>
              <w:rPr>
                <w:rFonts w:hint="eastAsia" w:ascii="仿宋_GB2312" w:hAnsi="微软雅黑" w:eastAsia="仿宋_GB2312" w:cs="宋体"/>
                <w:iCs/>
                <w:color w:val="000000"/>
                <w:kern w:val="0"/>
                <w:sz w:val="22"/>
                <w:szCs w:val="22"/>
              </w:rPr>
              <w:t>14.00　</w:t>
            </w:r>
          </w:p>
        </w:tc>
        <w:tc>
          <w:tcPr>
            <w:tcW w:w="136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100.00%　</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170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黑体" w:eastAsia="仿宋_GB2312" w:cs="宋体"/>
                <w:iCs/>
                <w:color w:val="000000"/>
                <w:kern w:val="0"/>
                <w:sz w:val="22"/>
                <w:szCs w:val="22"/>
              </w:rPr>
            </w:pPr>
          </w:p>
        </w:tc>
      </w:tr>
      <w:tr>
        <w:tblPrEx>
          <w:tblCellMar>
            <w:top w:w="0" w:type="dxa"/>
            <w:left w:w="108" w:type="dxa"/>
            <w:bottom w:w="0" w:type="dxa"/>
            <w:right w:w="108" w:type="dxa"/>
          </w:tblCellMar>
        </w:tblPrEx>
        <w:trPr>
          <w:trHeight w:val="454" w:hRule="atLeast"/>
        </w:trPr>
        <w:tc>
          <w:tcPr>
            <w:tcW w:w="67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绩效指标（90分）</w:t>
            </w:r>
          </w:p>
        </w:tc>
        <w:tc>
          <w:tcPr>
            <w:tcW w:w="203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一级指标</w:t>
            </w:r>
          </w:p>
        </w:tc>
        <w:tc>
          <w:tcPr>
            <w:tcW w:w="11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二级指标</w:t>
            </w:r>
          </w:p>
        </w:tc>
        <w:tc>
          <w:tcPr>
            <w:tcW w:w="269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三级指标</w:t>
            </w:r>
          </w:p>
        </w:tc>
        <w:tc>
          <w:tcPr>
            <w:tcW w:w="113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指标性质</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指标值</w:t>
            </w:r>
          </w:p>
        </w:tc>
        <w:tc>
          <w:tcPr>
            <w:tcW w:w="90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度量单位</w:t>
            </w:r>
          </w:p>
        </w:tc>
        <w:tc>
          <w:tcPr>
            <w:tcW w:w="136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完成值</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权重</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得分</w:t>
            </w:r>
          </w:p>
        </w:tc>
        <w:tc>
          <w:tcPr>
            <w:tcW w:w="170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未完成原因分析</w:t>
            </w:r>
          </w:p>
        </w:tc>
      </w:tr>
      <w:tr>
        <w:tblPrEx>
          <w:tblCellMar>
            <w:top w:w="0" w:type="dxa"/>
            <w:left w:w="108" w:type="dxa"/>
            <w:bottom w:w="0" w:type="dxa"/>
            <w:right w:w="108" w:type="dxa"/>
          </w:tblCellMar>
        </w:tblPrEx>
        <w:trPr>
          <w:trHeight w:val="338"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3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产出指标</w:t>
            </w:r>
          </w:p>
          <w:p>
            <w:pPr>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　</w:t>
            </w:r>
          </w:p>
        </w:tc>
        <w:tc>
          <w:tcPr>
            <w:tcW w:w="112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数量指标</w:t>
            </w:r>
          </w:p>
          <w:p>
            <w:pPr>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　</w:t>
            </w:r>
          </w:p>
        </w:tc>
        <w:tc>
          <w:tcPr>
            <w:tcW w:w="269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仿宋_GB2312" w:eastAsia="仿宋_GB2312"/>
                <w:sz w:val="22"/>
                <w:szCs w:val="22"/>
              </w:rPr>
            </w:pPr>
            <w:r>
              <w:rPr>
                <w:rFonts w:hint="eastAsia" w:ascii="仿宋_GB2312" w:eastAsia="仿宋_GB2312"/>
                <w:sz w:val="22"/>
                <w:szCs w:val="22"/>
              </w:rPr>
              <w:t>药品抽验品种/批次</w:t>
            </w:r>
          </w:p>
        </w:tc>
        <w:tc>
          <w:tcPr>
            <w:tcW w:w="113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eastAsia="仿宋_GB2312"/>
                <w:sz w:val="22"/>
                <w:szCs w:val="22"/>
              </w:rPr>
            </w:pPr>
            <w:r>
              <w:rPr>
                <w:rFonts w:hint="eastAsia" w:ascii="仿宋_GB2312" w:eastAsia="仿宋_GB2312"/>
                <w:sz w:val="22"/>
                <w:szCs w:val="22"/>
              </w:rPr>
              <w:t>5</w:t>
            </w:r>
          </w:p>
        </w:tc>
        <w:tc>
          <w:tcPr>
            <w:tcW w:w="90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eastAsia="仿宋_GB2312"/>
                <w:sz w:val="22"/>
                <w:szCs w:val="22"/>
              </w:rPr>
              <w:t>批次</w:t>
            </w:r>
          </w:p>
        </w:tc>
        <w:tc>
          <w:tcPr>
            <w:tcW w:w="136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eastAsia="仿宋_GB2312"/>
                <w:sz w:val="22"/>
                <w:szCs w:val="22"/>
              </w:rPr>
            </w:pPr>
            <w:r>
              <w:rPr>
                <w:rFonts w:hint="eastAsia" w:ascii="仿宋_GB2312" w:eastAsia="仿宋_GB2312"/>
                <w:sz w:val="22"/>
                <w:szCs w:val="22"/>
              </w:rPr>
              <w:t>10</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3</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eastAsia="仿宋_GB2312"/>
                <w:sz w:val="22"/>
                <w:szCs w:val="22"/>
              </w:rPr>
            </w:pPr>
            <w:r>
              <w:rPr>
                <w:rFonts w:hint="eastAsia" w:ascii="仿宋_GB2312" w:hAnsi="宋体" w:eastAsia="仿宋_GB2312" w:cs="宋体"/>
                <w:color w:val="000000"/>
                <w:kern w:val="0"/>
                <w:sz w:val="22"/>
                <w:szCs w:val="22"/>
              </w:rPr>
              <w:t>3</w:t>
            </w:r>
          </w:p>
        </w:tc>
        <w:tc>
          <w:tcPr>
            <w:tcW w:w="170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p>
        </w:tc>
      </w:tr>
      <w:tr>
        <w:tblPrEx>
          <w:tblCellMar>
            <w:top w:w="0" w:type="dxa"/>
            <w:left w:w="108" w:type="dxa"/>
            <w:bottom w:w="0" w:type="dxa"/>
            <w:right w:w="108" w:type="dxa"/>
          </w:tblCellMar>
        </w:tblPrEx>
        <w:trPr>
          <w:trHeight w:val="338"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3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p>
        </w:tc>
        <w:tc>
          <w:tcPr>
            <w:tcW w:w="112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p>
        </w:tc>
        <w:tc>
          <w:tcPr>
            <w:tcW w:w="269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仿宋_GB2312" w:eastAsia="仿宋_GB2312"/>
                <w:sz w:val="22"/>
                <w:szCs w:val="22"/>
              </w:rPr>
            </w:pPr>
            <w:r>
              <w:rPr>
                <w:rFonts w:hint="eastAsia" w:ascii="仿宋_GB2312" w:eastAsia="仿宋_GB2312"/>
                <w:sz w:val="22"/>
                <w:szCs w:val="22"/>
              </w:rPr>
              <w:t>化妆品抽验批次</w:t>
            </w:r>
          </w:p>
        </w:tc>
        <w:tc>
          <w:tcPr>
            <w:tcW w:w="113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eastAsia="仿宋_GB2312"/>
                <w:sz w:val="22"/>
                <w:szCs w:val="22"/>
              </w:rPr>
            </w:pPr>
            <w:r>
              <w:rPr>
                <w:rFonts w:hint="eastAsia" w:ascii="仿宋_GB2312" w:hAnsi="宋体" w:eastAsia="仿宋_GB2312" w:cs="宋体"/>
                <w:color w:val="000000"/>
                <w:kern w:val="0"/>
                <w:sz w:val="22"/>
                <w:szCs w:val="22"/>
              </w:rPr>
              <w:t>=</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eastAsia="仿宋_GB2312"/>
                <w:sz w:val="22"/>
                <w:szCs w:val="22"/>
              </w:rPr>
            </w:pPr>
            <w:r>
              <w:rPr>
                <w:rFonts w:hint="eastAsia" w:ascii="仿宋_GB2312" w:eastAsia="仿宋_GB2312"/>
                <w:sz w:val="22"/>
                <w:szCs w:val="22"/>
              </w:rPr>
              <w:t>3</w:t>
            </w:r>
          </w:p>
        </w:tc>
        <w:tc>
          <w:tcPr>
            <w:tcW w:w="90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eastAsia="仿宋_GB2312"/>
                <w:sz w:val="22"/>
                <w:szCs w:val="22"/>
              </w:rPr>
              <w:t>批次</w:t>
            </w:r>
          </w:p>
        </w:tc>
        <w:tc>
          <w:tcPr>
            <w:tcW w:w="136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eastAsia="仿宋_GB2312"/>
                <w:sz w:val="22"/>
                <w:szCs w:val="22"/>
              </w:rPr>
            </w:pPr>
            <w:r>
              <w:rPr>
                <w:rFonts w:hint="eastAsia" w:ascii="仿宋_GB2312" w:eastAsia="仿宋_GB2312"/>
                <w:sz w:val="22"/>
                <w:szCs w:val="22"/>
              </w:rPr>
              <w:t>14</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eastAsia="仿宋_GB2312"/>
                <w:sz w:val="22"/>
                <w:szCs w:val="22"/>
              </w:rPr>
            </w:pPr>
            <w:r>
              <w:rPr>
                <w:rFonts w:hint="eastAsia" w:ascii="仿宋_GB2312" w:hAnsi="宋体" w:eastAsia="仿宋_GB2312" w:cs="宋体"/>
                <w:color w:val="000000"/>
                <w:kern w:val="0"/>
                <w:sz w:val="22"/>
                <w:szCs w:val="22"/>
              </w:rPr>
              <w:t>3</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eastAsia="仿宋_GB2312"/>
                <w:sz w:val="22"/>
                <w:szCs w:val="22"/>
              </w:rPr>
            </w:pPr>
            <w:r>
              <w:rPr>
                <w:rFonts w:hint="eastAsia" w:ascii="仿宋_GB2312" w:hAnsi="宋体" w:eastAsia="仿宋_GB2312" w:cs="宋体"/>
                <w:color w:val="000000"/>
                <w:kern w:val="0"/>
                <w:sz w:val="22"/>
                <w:szCs w:val="22"/>
              </w:rPr>
              <w:t>3</w:t>
            </w:r>
          </w:p>
        </w:tc>
        <w:tc>
          <w:tcPr>
            <w:tcW w:w="170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p>
        </w:tc>
      </w:tr>
      <w:tr>
        <w:tblPrEx>
          <w:tblCellMar>
            <w:top w:w="0" w:type="dxa"/>
            <w:left w:w="108" w:type="dxa"/>
            <w:bottom w:w="0" w:type="dxa"/>
            <w:right w:w="108" w:type="dxa"/>
          </w:tblCellMar>
        </w:tblPrEx>
        <w:trPr>
          <w:trHeight w:val="338"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3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p>
        </w:tc>
        <w:tc>
          <w:tcPr>
            <w:tcW w:w="112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p>
        </w:tc>
        <w:tc>
          <w:tcPr>
            <w:tcW w:w="269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仿宋_GB2312" w:eastAsia="仿宋_GB2312"/>
                <w:sz w:val="22"/>
                <w:szCs w:val="22"/>
              </w:rPr>
            </w:pPr>
            <w:r>
              <w:rPr>
                <w:rFonts w:hint="eastAsia" w:ascii="仿宋_GB2312" w:eastAsia="仿宋_GB2312"/>
                <w:sz w:val="22"/>
                <w:szCs w:val="22"/>
              </w:rPr>
              <w:t>医疗器械检验批次</w:t>
            </w:r>
          </w:p>
        </w:tc>
        <w:tc>
          <w:tcPr>
            <w:tcW w:w="113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eastAsia="仿宋_GB2312"/>
                <w:sz w:val="22"/>
                <w:szCs w:val="22"/>
              </w:rPr>
            </w:pPr>
            <w:r>
              <w:rPr>
                <w:rFonts w:hint="eastAsia" w:ascii="仿宋_GB2312" w:hAnsi="宋体" w:eastAsia="仿宋_GB2312" w:cs="宋体"/>
                <w:color w:val="000000"/>
                <w:kern w:val="0"/>
                <w:sz w:val="22"/>
                <w:szCs w:val="22"/>
              </w:rPr>
              <w:t>=</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eastAsia="仿宋_GB2312"/>
                <w:sz w:val="22"/>
                <w:szCs w:val="22"/>
              </w:rPr>
            </w:pPr>
            <w:r>
              <w:rPr>
                <w:rFonts w:hint="eastAsia" w:ascii="仿宋_GB2312" w:eastAsia="仿宋_GB2312"/>
                <w:sz w:val="22"/>
                <w:szCs w:val="22"/>
              </w:rPr>
              <w:t>5</w:t>
            </w:r>
          </w:p>
        </w:tc>
        <w:tc>
          <w:tcPr>
            <w:tcW w:w="90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eastAsia="仿宋_GB2312"/>
                <w:sz w:val="22"/>
                <w:szCs w:val="22"/>
              </w:rPr>
              <w:t>批次</w:t>
            </w:r>
          </w:p>
        </w:tc>
        <w:tc>
          <w:tcPr>
            <w:tcW w:w="136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eastAsia="仿宋_GB2312"/>
                <w:sz w:val="22"/>
                <w:szCs w:val="22"/>
              </w:rPr>
            </w:pPr>
            <w:r>
              <w:rPr>
                <w:rFonts w:hint="eastAsia" w:ascii="仿宋_GB2312" w:eastAsia="仿宋_GB2312"/>
                <w:sz w:val="22"/>
                <w:szCs w:val="22"/>
              </w:rPr>
              <w:t>6</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eastAsia="仿宋_GB2312"/>
                <w:sz w:val="22"/>
                <w:szCs w:val="22"/>
              </w:rPr>
            </w:pPr>
            <w:r>
              <w:rPr>
                <w:rFonts w:hint="eastAsia" w:ascii="仿宋_GB2312" w:hAnsi="宋体" w:eastAsia="仿宋_GB2312" w:cs="宋体"/>
                <w:color w:val="000000"/>
                <w:kern w:val="0"/>
                <w:sz w:val="22"/>
                <w:szCs w:val="22"/>
              </w:rPr>
              <w:t>3</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eastAsia="仿宋_GB2312"/>
                <w:sz w:val="22"/>
                <w:szCs w:val="22"/>
              </w:rPr>
            </w:pPr>
            <w:r>
              <w:rPr>
                <w:rFonts w:hint="eastAsia" w:ascii="仿宋_GB2312" w:hAnsi="宋体" w:eastAsia="仿宋_GB2312" w:cs="宋体"/>
                <w:color w:val="000000"/>
                <w:kern w:val="0"/>
                <w:sz w:val="22"/>
                <w:szCs w:val="22"/>
              </w:rPr>
              <w:t>3</w:t>
            </w:r>
          </w:p>
        </w:tc>
        <w:tc>
          <w:tcPr>
            <w:tcW w:w="170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p>
        </w:tc>
      </w:tr>
      <w:tr>
        <w:tblPrEx>
          <w:tblCellMar>
            <w:top w:w="0" w:type="dxa"/>
            <w:left w:w="108" w:type="dxa"/>
            <w:bottom w:w="0" w:type="dxa"/>
            <w:right w:w="108" w:type="dxa"/>
          </w:tblCellMar>
        </w:tblPrEx>
        <w:trPr>
          <w:trHeight w:val="338"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3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p>
        </w:tc>
        <w:tc>
          <w:tcPr>
            <w:tcW w:w="112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p>
        </w:tc>
        <w:tc>
          <w:tcPr>
            <w:tcW w:w="269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仿宋_GB2312" w:eastAsia="仿宋_GB2312"/>
                <w:sz w:val="22"/>
                <w:szCs w:val="22"/>
              </w:rPr>
            </w:pPr>
            <w:r>
              <w:rPr>
                <w:rFonts w:hint="eastAsia" w:ascii="仿宋_GB2312" w:eastAsia="仿宋_GB2312"/>
                <w:sz w:val="22"/>
                <w:szCs w:val="22"/>
              </w:rPr>
              <w:t>药品监管企业数</w:t>
            </w:r>
          </w:p>
        </w:tc>
        <w:tc>
          <w:tcPr>
            <w:tcW w:w="113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eastAsia="仿宋_GB2312"/>
                <w:sz w:val="22"/>
                <w:szCs w:val="22"/>
              </w:rPr>
            </w:pPr>
            <w:r>
              <w:rPr>
                <w:rFonts w:hint="eastAsia" w:ascii="仿宋_GB2312" w:hAnsi="宋体" w:eastAsia="仿宋_GB2312" w:cs="宋体"/>
                <w:color w:val="000000"/>
                <w:kern w:val="0"/>
                <w:sz w:val="22"/>
                <w:szCs w:val="22"/>
              </w:rPr>
              <w:t>=</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eastAsia="仿宋_GB2312"/>
                <w:sz w:val="22"/>
                <w:szCs w:val="22"/>
              </w:rPr>
            </w:pPr>
            <w:r>
              <w:rPr>
                <w:rFonts w:hint="eastAsia" w:ascii="仿宋_GB2312" w:eastAsia="仿宋_GB2312"/>
                <w:sz w:val="22"/>
                <w:szCs w:val="22"/>
              </w:rPr>
              <w:t>10</w:t>
            </w:r>
          </w:p>
        </w:tc>
        <w:tc>
          <w:tcPr>
            <w:tcW w:w="90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家</w:t>
            </w:r>
          </w:p>
        </w:tc>
        <w:tc>
          <w:tcPr>
            <w:tcW w:w="136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eastAsia="仿宋_GB2312"/>
                <w:sz w:val="22"/>
                <w:szCs w:val="22"/>
              </w:rPr>
            </w:pPr>
            <w:r>
              <w:rPr>
                <w:rFonts w:hint="eastAsia" w:ascii="仿宋_GB2312" w:eastAsia="仿宋_GB2312"/>
                <w:sz w:val="22"/>
                <w:szCs w:val="22"/>
              </w:rPr>
              <w:t>22</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eastAsia="仿宋_GB2312"/>
                <w:sz w:val="22"/>
                <w:szCs w:val="22"/>
              </w:rPr>
            </w:pPr>
            <w:r>
              <w:rPr>
                <w:rFonts w:hint="eastAsia" w:ascii="仿宋_GB2312" w:hAnsi="宋体" w:eastAsia="仿宋_GB2312" w:cs="宋体"/>
                <w:color w:val="000000"/>
                <w:kern w:val="0"/>
                <w:sz w:val="22"/>
                <w:szCs w:val="22"/>
              </w:rPr>
              <w:t>3</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eastAsia="仿宋_GB2312"/>
                <w:sz w:val="22"/>
                <w:szCs w:val="22"/>
              </w:rPr>
            </w:pPr>
            <w:r>
              <w:rPr>
                <w:rFonts w:hint="eastAsia" w:ascii="仿宋_GB2312" w:hAnsi="宋体" w:eastAsia="仿宋_GB2312" w:cs="宋体"/>
                <w:color w:val="000000"/>
                <w:kern w:val="0"/>
                <w:sz w:val="22"/>
                <w:szCs w:val="22"/>
              </w:rPr>
              <w:t>3</w:t>
            </w:r>
          </w:p>
        </w:tc>
        <w:tc>
          <w:tcPr>
            <w:tcW w:w="170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p>
        </w:tc>
      </w:tr>
      <w:tr>
        <w:tblPrEx>
          <w:tblCellMar>
            <w:top w:w="0" w:type="dxa"/>
            <w:left w:w="108" w:type="dxa"/>
            <w:bottom w:w="0" w:type="dxa"/>
            <w:right w:w="108" w:type="dxa"/>
          </w:tblCellMar>
        </w:tblPrEx>
        <w:trPr>
          <w:trHeight w:val="338"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3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p>
        </w:tc>
        <w:tc>
          <w:tcPr>
            <w:tcW w:w="112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p>
        </w:tc>
        <w:tc>
          <w:tcPr>
            <w:tcW w:w="269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仿宋_GB2312" w:eastAsia="仿宋_GB2312"/>
                <w:sz w:val="22"/>
                <w:szCs w:val="22"/>
              </w:rPr>
            </w:pPr>
            <w:r>
              <w:rPr>
                <w:rFonts w:hint="eastAsia" w:ascii="仿宋_GB2312" w:eastAsia="仿宋_GB2312"/>
                <w:sz w:val="22"/>
                <w:szCs w:val="22"/>
              </w:rPr>
              <w:t>化妆品监管企业数</w:t>
            </w:r>
          </w:p>
        </w:tc>
        <w:tc>
          <w:tcPr>
            <w:tcW w:w="113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eastAsia="仿宋_GB2312"/>
                <w:sz w:val="22"/>
                <w:szCs w:val="22"/>
              </w:rPr>
            </w:pPr>
            <w:r>
              <w:rPr>
                <w:rFonts w:hint="eastAsia" w:ascii="仿宋_GB2312" w:hAnsi="宋体" w:eastAsia="仿宋_GB2312" w:cs="宋体"/>
                <w:color w:val="000000"/>
                <w:kern w:val="0"/>
                <w:sz w:val="22"/>
                <w:szCs w:val="22"/>
              </w:rPr>
              <w:t>=</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eastAsia="仿宋_GB2312"/>
                <w:sz w:val="22"/>
                <w:szCs w:val="22"/>
              </w:rPr>
            </w:pPr>
            <w:r>
              <w:rPr>
                <w:rFonts w:hint="eastAsia" w:ascii="仿宋_GB2312" w:eastAsia="仿宋_GB2312"/>
                <w:sz w:val="22"/>
                <w:szCs w:val="22"/>
              </w:rPr>
              <w:t>2</w:t>
            </w:r>
          </w:p>
        </w:tc>
        <w:tc>
          <w:tcPr>
            <w:tcW w:w="90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eastAsia="仿宋_GB2312"/>
                <w:sz w:val="22"/>
                <w:szCs w:val="22"/>
              </w:rPr>
            </w:pPr>
            <w:r>
              <w:rPr>
                <w:rFonts w:hint="eastAsia" w:ascii="仿宋_GB2312" w:hAnsi="宋体" w:eastAsia="仿宋_GB2312" w:cs="宋体"/>
                <w:color w:val="000000"/>
                <w:kern w:val="0"/>
                <w:sz w:val="22"/>
                <w:szCs w:val="22"/>
              </w:rPr>
              <w:t>家</w:t>
            </w:r>
          </w:p>
        </w:tc>
        <w:tc>
          <w:tcPr>
            <w:tcW w:w="136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eastAsia="仿宋_GB2312"/>
                <w:sz w:val="22"/>
                <w:szCs w:val="22"/>
              </w:rPr>
            </w:pPr>
            <w:r>
              <w:rPr>
                <w:rFonts w:hint="eastAsia" w:ascii="仿宋_GB2312" w:eastAsia="仿宋_GB2312"/>
                <w:sz w:val="22"/>
                <w:szCs w:val="22"/>
              </w:rPr>
              <w:t>15</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eastAsia="仿宋_GB2312"/>
                <w:sz w:val="22"/>
                <w:szCs w:val="22"/>
              </w:rPr>
            </w:pPr>
            <w:r>
              <w:rPr>
                <w:rFonts w:hint="eastAsia" w:ascii="仿宋_GB2312" w:hAnsi="宋体" w:eastAsia="仿宋_GB2312" w:cs="宋体"/>
                <w:color w:val="000000"/>
                <w:kern w:val="0"/>
                <w:sz w:val="22"/>
                <w:szCs w:val="22"/>
              </w:rPr>
              <w:t>3</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eastAsia="仿宋_GB2312"/>
                <w:sz w:val="22"/>
                <w:szCs w:val="22"/>
              </w:rPr>
            </w:pPr>
            <w:r>
              <w:rPr>
                <w:rFonts w:hint="eastAsia" w:ascii="仿宋_GB2312" w:hAnsi="宋体" w:eastAsia="仿宋_GB2312" w:cs="宋体"/>
                <w:color w:val="000000"/>
                <w:kern w:val="0"/>
                <w:sz w:val="22"/>
                <w:szCs w:val="22"/>
              </w:rPr>
              <w:t>3</w:t>
            </w:r>
          </w:p>
        </w:tc>
        <w:tc>
          <w:tcPr>
            <w:tcW w:w="170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p>
        </w:tc>
      </w:tr>
      <w:tr>
        <w:tblPrEx>
          <w:tblCellMar>
            <w:top w:w="0" w:type="dxa"/>
            <w:left w:w="108" w:type="dxa"/>
            <w:bottom w:w="0" w:type="dxa"/>
            <w:right w:w="108" w:type="dxa"/>
          </w:tblCellMar>
        </w:tblPrEx>
        <w:trPr>
          <w:trHeight w:val="338"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3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p>
        </w:tc>
        <w:tc>
          <w:tcPr>
            <w:tcW w:w="112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p>
        </w:tc>
        <w:tc>
          <w:tcPr>
            <w:tcW w:w="269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仿宋_GB2312" w:eastAsia="仿宋_GB2312"/>
                <w:sz w:val="22"/>
                <w:szCs w:val="22"/>
              </w:rPr>
            </w:pPr>
            <w:r>
              <w:rPr>
                <w:rFonts w:hint="eastAsia" w:ascii="仿宋_GB2312" w:eastAsia="仿宋_GB2312"/>
                <w:sz w:val="22"/>
                <w:szCs w:val="22"/>
              </w:rPr>
              <w:t>医疗器械监管企业数</w:t>
            </w:r>
          </w:p>
        </w:tc>
        <w:tc>
          <w:tcPr>
            <w:tcW w:w="113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eastAsia="仿宋_GB2312"/>
                <w:sz w:val="22"/>
                <w:szCs w:val="22"/>
              </w:rPr>
            </w:pPr>
            <w:r>
              <w:rPr>
                <w:rFonts w:hint="eastAsia" w:ascii="仿宋_GB2312" w:hAnsi="宋体" w:eastAsia="仿宋_GB2312" w:cs="宋体"/>
                <w:color w:val="000000"/>
                <w:kern w:val="0"/>
                <w:sz w:val="22"/>
                <w:szCs w:val="22"/>
              </w:rPr>
              <w:t>=</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eastAsia="仿宋_GB2312"/>
                <w:sz w:val="22"/>
                <w:szCs w:val="22"/>
              </w:rPr>
            </w:pPr>
            <w:r>
              <w:rPr>
                <w:rFonts w:hint="eastAsia" w:ascii="仿宋_GB2312" w:eastAsia="仿宋_GB2312"/>
                <w:sz w:val="22"/>
                <w:szCs w:val="22"/>
              </w:rPr>
              <w:t>5</w:t>
            </w:r>
          </w:p>
        </w:tc>
        <w:tc>
          <w:tcPr>
            <w:tcW w:w="90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eastAsia="仿宋_GB2312"/>
                <w:sz w:val="22"/>
                <w:szCs w:val="22"/>
              </w:rPr>
            </w:pPr>
            <w:r>
              <w:rPr>
                <w:rFonts w:hint="eastAsia" w:ascii="仿宋_GB2312" w:hAnsi="宋体" w:eastAsia="仿宋_GB2312" w:cs="宋体"/>
                <w:color w:val="000000"/>
                <w:kern w:val="0"/>
                <w:sz w:val="22"/>
                <w:szCs w:val="22"/>
              </w:rPr>
              <w:t>家</w:t>
            </w:r>
          </w:p>
        </w:tc>
        <w:tc>
          <w:tcPr>
            <w:tcW w:w="136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eastAsia="仿宋_GB2312"/>
                <w:sz w:val="22"/>
                <w:szCs w:val="22"/>
              </w:rPr>
            </w:pPr>
            <w:r>
              <w:rPr>
                <w:rFonts w:hint="eastAsia" w:ascii="仿宋_GB2312" w:eastAsia="仿宋_GB2312"/>
                <w:sz w:val="22"/>
                <w:szCs w:val="22"/>
              </w:rPr>
              <w:t>44</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eastAsia="仿宋_GB2312"/>
                <w:sz w:val="22"/>
                <w:szCs w:val="22"/>
              </w:rPr>
            </w:pPr>
            <w:r>
              <w:rPr>
                <w:rFonts w:hint="eastAsia" w:ascii="仿宋_GB2312" w:hAnsi="宋体" w:eastAsia="仿宋_GB2312" w:cs="宋体"/>
                <w:color w:val="000000"/>
                <w:kern w:val="0"/>
                <w:sz w:val="22"/>
                <w:szCs w:val="22"/>
              </w:rPr>
              <w:t>3</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eastAsia="仿宋_GB2312"/>
                <w:sz w:val="22"/>
                <w:szCs w:val="22"/>
              </w:rPr>
            </w:pPr>
            <w:r>
              <w:rPr>
                <w:rFonts w:hint="eastAsia" w:ascii="仿宋_GB2312" w:hAnsi="宋体" w:eastAsia="仿宋_GB2312" w:cs="宋体"/>
                <w:color w:val="000000"/>
                <w:kern w:val="0"/>
                <w:sz w:val="22"/>
                <w:szCs w:val="22"/>
              </w:rPr>
              <w:t>3</w:t>
            </w:r>
          </w:p>
        </w:tc>
        <w:tc>
          <w:tcPr>
            <w:tcW w:w="170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p>
        </w:tc>
      </w:tr>
      <w:tr>
        <w:tblPrEx>
          <w:tblCellMar>
            <w:top w:w="0" w:type="dxa"/>
            <w:left w:w="108" w:type="dxa"/>
            <w:bottom w:w="0" w:type="dxa"/>
            <w:right w:w="108" w:type="dxa"/>
          </w:tblCellMar>
        </w:tblPrEx>
        <w:trPr>
          <w:trHeight w:val="338"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3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p>
        </w:tc>
        <w:tc>
          <w:tcPr>
            <w:tcW w:w="112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p>
        </w:tc>
        <w:tc>
          <w:tcPr>
            <w:tcW w:w="269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仿宋_GB2312" w:eastAsia="仿宋_GB2312"/>
                <w:sz w:val="22"/>
                <w:szCs w:val="22"/>
              </w:rPr>
            </w:pPr>
            <w:r>
              <w:rPr>
                <w:rFonts w:hint="eastAsia" w:ascii="仿宋_GB2312" w:eastAsia="仿宋_GB2312"/>
                <w:sz w:val="22"/>
                <w:szCs w:val="22"/>
              </w:rPr>
              <w:t>药品监管人员人均培训学时</w:t>
            </w:r>
          </w:p>
        </w:tc>
        <w:tc>
          <w:tcPr>
            <w:tcW w:w="113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eastAsia="仿宋_GB2312"/>
                <w:sz w:val="22"/>
                <w:szCs w:val="22"/>
              </w:rPr>
            </w:pPr>
            <w:r>
              <w:rPr>
                <w:rFonts w:hint="eastAsia" w:ascii="仿宋_GB2312" w:hAnsi="宋体" w:eastAsia="仿宋_GB2312" w:cs="宋体"/>
                <w:color w:val="000000"/>
                <w:kern w:val="0"/>
                <w:sz w:val="22"/>
                <w:szCs w:val="22"/>
              </w:rPr>
              <w:t>=</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eastAsia="仿宋_GB2312"/>
                <w:sz w:val="22"/>
                <w:szCs w:val="22"/>
              </w:rPr>
            </w:pPr>
            <w:r>
              <w:rPr>
                <w:rFonts w:hint="eastAsia" w:ascii="仿宋_GB2312" w:eastAsia="仿宋_GB2312"/>
                <w:sz w:val="22"/>
                <w:szCs w:val="22"/>
              </w:rPr>
              <w:t>8</w:t>
            </w:r>
          </w:p>
        </w:tc>
        <w:tc>
          <w:tcPr>
            <w:tcW w:w="90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学时/人</w:t>
            </w:r>
          </w:p>
        </w:tc>
        <w:tc>
          <w:tcPr>
            <w:tcW w:w="136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eastAsia="仿宋_GB2312"/>
                <w:sz w:val="22"/>
                <w:szCs w:val="22"/>
              </w:rPr>
            </w:pPr>
            <w:r>
              <w:rPr>
                <w:rFonts w:hint="eastAsia" w:ascii="仿宋_GB2312" w:eastAsia="仿宋_GB2312"/>
                <w:sz w:val="22"/>
                <w:szCs w:val="22"/>
              </w:rPr>
              <w:t>8</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eastAsia="仿宋_GB2312"/>
                <w:sz w:val="22"/>
                <w:szCs w:val="22"/>
              </w:rPr>
            </w:pPr>
            <w:r>
              <w:rPr>
                <w:rFonts w:hint="eastAsia" w:ascii="仿宋_GB2312" w:hAnsi="宋体" w:eastAsia="仿宋_GB2312" w:cs="宋体"/>
                <w:color w:val="000000"/>
                <w:kern w:val="0"/>
                <w:sz w:val="22"/>
                <w:szCs w:val="22"/>
              </w:rPr>
              <w:t>3</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eastAsia="仿宋_GB2312"/>
                <w:sz w:val="22"/>
                <w:szCs w:val="22"/>
              </w:rPr>
            </w:pPr>
            <w:r>
              <w:rPr>
                <w:rFonts w:hint="eastAsia" w:ascii="仿宋_GB2312" w:hAnsi="宋体" w:eastAsia="仿宋_GB2312" w:cs="宋体"/>
                <w:color w:val="000000"/>
                <w:kern w:val="0"/>
                <w:sz w:val="22"/>
                <w:szCs w:val="22"/>
              </w:rPr>
              <w:t>3</w:t>
            </w:r>
          </w:p>
        </w:tc>
        <w:tc>
          <w:tcPr>
            <w:tcW w:w="170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p>
        </w:tc>
      </w:tr>
      <w:tr>
        <w:tblPrEx>
          <w:tblCellMar>
            <w:top w:w="0" w:type="dxa"/>
            <w:left w:w="108" w:type="dxa"/>
            <w:bottom w:w="0" w:type="dxa"/>
            <w:right w:w="108" w:type="dxa"/>
          </w:tblCellMar>
        </w:tblPrEx>
        <w:trPr>
          <w:trHeight w:val="338"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3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p>
        </w:tc>
        <w:tc>
          <w:tcPr>
            <w:tcW w:w="112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质量指标</w:t>
            </w:r>
          </w:p>
        </w:tc>
        <w:tc>
          <w:tcPr>
            <w:tcW w:w="269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仿宋_GB2312" w:eastAsia="仿宋_GB2312"/>
                <w:sz w:val="22"/>
                <w:szCs w:val="22"/>
              </w:rPr>
            </w:pPr>
            <w:r>
              <w:rPr>
                <w:rFonts w:hint="eastAsia" w:ascii="仿宋_GB2312" w:eastAsia="仿宋_GB2312"/>
                <w:sz w:val="22"/>
                <w:szCs w:val="22"/>
              </w:rPr>
              <w:t>药品抽检完成率</w:t>
            </w:r>
          </w:p>
        </w:tc>
        <w:tc>
          <w:tcPr>
            <w:tcW w:w="113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eastAsia="仿宋_GB2312"/>
                <w:sz w:val="22"/>
                <w:szCs w:val="22"/>
              </w:rPr>
            </w:pPr>
            <w:r>
              <w:rPr>
                <w:rFonts w:hint="eastAsia" w:ascii="仿宋_GB2312" w:hAnsi="宋体" w:eastAsia="仿宋_GB2312" w:cs="宋体"/>
                <w:color w:val="000000"/>
                <w:kern w:val="0"/>
                <w:sz w:val="22"/>
                <w:szCs w:val="22"/>
              </w:rPr>
              <w:t>=</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eastAsia="仿宋_GB2312"/>
                <w:sz w:val="22"/>
                <w:szCs w:val="22"/>
              </w:rPr>
            </w:pPr>
            <w:r>
              <w:rPr>
                <w:rFonts w:hint="eastAsia" w:ascii="仿宋_GB2312" w:eastAsia="仿宋_GB2312"/>
                <w:sz w:val="22"/>
                <w:szCs w:val="22"/>
              </w:rPr>
              <w:t>100</w:t>
            </w:r>
          </w:p>
        </w:tc>
        <w:tc>
          <w:tcPr>
            <w:tcW w:w="90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eastAsia="仿宋_GB2312"/>
                <w:sz w:val="22"/>
                <w:szCs w:val="22"/>
              </w:rPr>
            </w:pPr>
            <w:r>
              <w:rPr>
                <w:rFonts w:hint="eastAsia" w:ascii="仿宋_GB2312" w:eastAsia="仿宋_GB2312"/>
                <w:sz w:val="22"/>
                <w:szCs w:val="22"/>
              </w:rPr>
              <w:t>%</w:t>
            </w:r>
          </w:p>
        </w:tc>
        <w:tc>
          <w:tcPr>
            <w:tcW w:w="136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eastAsia="仿宋_GB2312"/>
                <w:sz w:val="22"/>
                <w:szCs w:val="22"/>
              </w:rPr>
            </w:pPr>
            <w:r>
              <w:rPr>
                <w:rFonts w:hint="eastAsia" w:ascii="仿宋_GB2312" w:eastAsia="仿宋_GB2312"/>
                <w:sz w:val="22"/>
                <w:szCs w:val="22"/>
              </w:rPr>
              <w:t>100</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eastAsia="仿宋_GB2312"/>
                <w:sz w:val="22"/>
                <w:szCs w:val="22"/>
              </w:rPr>
            </w:pPr>
            <w:r>
              <w:rPr>
                <w:rFonts w:hint="eastAsia" w:ascii="仿宋_GB2312" w:hAnsi="宋体" w:eastAsia="仿宋_GB2312" w:cs="宋体"/>
                <w:color w:val="000000"/>
                <w:kern w:val="0"/>
                <w:sz w:val="22"/>
                <w:szCs w:val="22"/>
              </w:rPr>
              <w:t>3</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eastAsia="仿宋_GB2312"/>
                <w:sz w:val="22"/>
                <w:szCs w:val="22"/>
              </w:rPr>
            </w:pPr>
            <w:r>
              <w:rPr>
                <w:rFonts w:hint="eastAsia" w:ascii="仿宋_GB2312" w:hAnsi="宋体" w:eastAsia="仿宋_GB2312" w:cs="宋体"/>
                <w:color w:val="000000"/>
                <w:kern w:val="0"/>
                <w:sz w:val="22"/>
                <w:szCs w:val="22"/>
              </w:rPr>
              <w:t>3</w:t>
            </w:r>
          </w:p>
        </w:tc>
        <w:tc>
          <w:tcPr>
            <w:tcW w:w="170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p>
        </w:tc>
      </w:tr>
      <w:tr>
        <w:tblPrEx>
          <w:tblCellMar>
            <w:top w:w="0" w:type="dxa"/>
            <w:left w:w="108" w:type="dxa"/>
            <w:bottom w:w="0" w:type="dxa"/>
            <w:right w:w="108" w:type="dxa"/>
          </w:tblCellMar>
        </w:tblPrEx>
        <w:trPr>
          <w:trHeight w:val="338"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3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p>
        </w:tc>
        <w:tc>
          <w:tcPr>
            <w:tcW w:w="112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p>
        </w:tc>
        <w:tc>
          <w:tcPr>
            <w:tcW w:w="269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仿宋_GB2312" w:eastAsia="仿宋_GB2312"/>
                <w:sz w:val="22"/>
                <w:szCs w:val="22"/>
              </w:rPr>
            </w:pPr>
            <w:r>
              <w:rPr>
                <w:rFonts w:hint="eastAsia" w:ascii="仿宋_GB2312" w:eastAsia="仿宋_GB2312"/>
                <w:sz w:val="22"/>
                <w:szCs w:val="22"/>
              </w:rPr>
              <w:t>化妆品抽验完成率</w:t>
            </w:r>
          </w:p>
        </w:tc>
        <w:tc>
          <w:tcPr>
            <w:tcW w:w="113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eastAsia="仿宋_GB2312"/>
                <w:sz w:val="22"/>
                <w:szCs w:val="22"/>
              </w:rPr>
            </w:pPr>
            <w:r>
              <w:rPr>
                <w:rFonts w:hint="eastAsia" w:ascii="仿宋_GB2312" w:hAnsi="宋体" w:eastAsia="仿宋_GB2312" w:cs="宋体"/>
                <w:color w:val="000000"/>
                <w:kern w:val="0"/>
                <w:sz w:val="22"/>
                <w:szCs w:val="22"/>
              </w:rPr>
              <w:t>=</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eastAsia="仿宋_GB2312"/>
                <w:sz w:val="22"/>
                <w:szCs w:val="22"/>
              </w:rPr>
            </w:pPr>
            <w:r>
              <w:rPr>
                <w:rFonts w:hint="eastAsia" w:ascii="仿宋_GB2312" w:eastAsia="仿宋_GB2312"/>
                <w:sz w:val="22"/>
                <w:szCs w:val="22"/>
              </w:rPr>
              <w:t>100</w:t>
            </w:r>
          </w:p>
        </w:tc>
        <w:tc>
          <w:tcPr>
            <w:tcW w:w="90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eastAsia="仿宋_GB2312"/>
                <w:sz w:val="22"/>
                <w:szCs w:val="22"/>
              </w:rPr>
            </w:pPr>
            <w:r>
              <w:rPr>
                <w:rFonts w:hint="eastAsia" w:ascii="仿宋_GB2312" w:eastAsia="仿宋_GB2312"/>
                <w:sz w:val="22"/>
                <w:szCs w:val="22"/>
              </w:rPr>
              <w:t>%</w:t>
            </w:r>
          </w:p>
        </w:tc>
        <w:tc>
          <w:tcPr>
            <w:tcW w:w="136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eastAsia="仿宋_GB2312"/>
                <w:sz w:val="22"/>
                <w:szCs w:val="22"/>
              </w:rPr>
            </w:pPr>
            <w:r>
              <w:rPr>
                <w:rFonts w:hint="eastAsia" w:ascii="仿宋_GB2312" w:eastAsia="仿宋_GB2312"/>
                <w:sz w:val="22"/>
                <w:szCs w:val="22"/>
              </w:rPr>
              <w:t>100</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eastAsia="仿宋_GB2312"/>
                <w:sz w:val="22"/>
                <w:szCs w:val="22"/>
              </w:rPr>
            </w:pPr>
            <w:r>
              <w:rPr>
                <w:rFonts w:hint="eastAsia" w:ascii="仿宋_GB2312" w:hAnsi="宋体" w:eastAsia="仿宋_GB2312" w:cs="宋体"/>
                <w:color w:val="000000"/>
                <w:kern w:val="0"/>
                <w:sz w:val="22"/>
                <w:szCs w:val="22"/>
              </w:rPr>
              <w:t>3</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eastAsia="仿宋_GB2312"/>
                <w:sz w:val="22"/>
                <w:szCs w:val="22"/>
              </w:rPr>
            </w:pPr>
            <w:r>
              <w:rPr>
                <w:rFonts w:hint="eastAsia" w:ascii="仿宋_GB2312" w:hAnsi="宋体" w:eastAsia="仿宋_GB2312" w:cs="宋体"/>
                <w:color w:val="000000"/>
                <w:kern w:val="0"/>
                <w:sz w:val="22"/>
                <w:szCs w:val="22"/>
              </w:rPr>
              <w:t>3</w:t>
            </w:r>
          </w:p>
        </w:tc>
        <w:tc>
          <w:tcPr>
            <w:tcW w:w="170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p>
        </w:tc>
      </w:tr>
      <w:tr>
        <w:tblPrEx>
          <w:tblCellMar>
            <w:top w:w="0" w:type="dxa"/>
            <w:left w:w="108" w:type="dxa"/>
            <w:bottom w:w="0" w:type="dxa"/>
            <w:right w:w="108" w:type="dxa"/>
          </w:tblCellMar>
        </w:tblPrEx>
        <w:trPr>
          <w:trHeight w:val="454"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3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p>
        </w:tc>
        <w:tc>
          <w:tcPr>
            <w:tcW w:w="112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p>
        </w:tc>
        <w:tc>
          <w:tcPr>
            <w:tcW w:w="269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仿宋_GB2312" w:eastAsia="仿宋_GB2312"/>
                <w:sz w:val="22"/>
                <w:szCs w:val="22"/>
              </w:rPr>
            </w:pPr>
            <w:r>
              <w:rPr>
                <w:rFonts w:hint="eastAsia" w:ascii="仿宋_GB2312" w:eastAsia="仿宋_GB2312"/>
                <w:sz w:val="22"/>
                <w:szCs w:val="22"/>
              </w:rPr>
              <w:t>医疗器械抽验完成率</w:t>
            </w:r>
          </w:p>
        </w:tc>
        <w:tc>
          <w:tcPr>
            <w:tcW w:w="113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eastAsia="仿宋_GB2312"/>
                <w:sz w:val="22"/>
                <w:szCs w:val="22"/>
              </w:rPr>
            </w:pPr>
            <w:r>
              <w:rPr>
                <w:rFonts w:hint="eastAsia" w:ascii="仿宋_GB2312" w:hAnsi="宋体" w:eastAsia="仿宋_GB2312" w:cs="宋体"/>
                <w:color w:val="000000"/>
                <w:kern w:val="0"/>
                <w:sz w:val="22"/>
                <w:szCs w:val="22"/>
              </w:rPr>
              <w:t>=</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eastAsia="仿宋_GB2312"/>
                <w:sz w:val="22"/>
                <w:szCs w:val="22"/>
              </w:rPr>
            </w:pPr>
            <w:r>
              <w:rPr>
                <w:rFonts w:hint="eastAsia" w:ascii="仿宋_GB2312" w:eastAsia="仿宋_GB2312"/>
                <w:sz w:val="22"/>
                <w:szCs w:val="22"/>
              </w:rPr>
              <w:t>100</w:t>
            </w:r>
          </w:p>
        </w:tc>
        <w:tc>
          <w:tcPr>
            <w:tcW w:w="90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eastAsia="仿宋_GB2312"/>
                <w:sz w:val="22"/>
                <w:szCs w:val="22"/>
              </w:rPr>
            </w:pPr>
            <w:r>
              <w:rPr>
                <w:rFonts w:hint="eastAsia" w:ascii="仿宋_GB2312" w:eastAsia="仿宋_GB2312"/>
                <w:sz w:val="22"/>
                <w:szCs w:val="22"/>
              </w:rPr>
              <w:t>%</w:t>
            </w:r>
          </w:p>
        </w:tc>
        <w:tc>
          <w:tcPr>
            <w:tcW w:w="136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eastAsia="仿宋_GB2312"/>
                <w:sz w:val="22"/>
                <w:szCs w:val="22"/>
              </w:rPr>
            </w:pPr>
            <w:r>
              <w:rPr>
                <w:rFonts w:hint="eastAsia" w:ascii="仿宋_GB2312" w:eastAsia="仿宋_GB2312"/>
                <w:sz w:val="22"/>
                <w:szCs w:val="22"/>
              </w:rPr>
              <w:t>100</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eastAsia="仿宋_GB2312"/>
                <w:sz w:val="22"/>
                <w:szCs w:val="22"/>
              </w:rPr>
            </w:pPr>
            <w:r>
              <w:rPr>
                <w:rFonts w:hint="eastAsia" w:ascii="仿宋_GB2312" w:hAnsi="宋体" w:eastAsia="仿宋_GB2312" w:cs="宋体"/>
                <w:color w:val="000000"/>
                <w:kern w:val="0"/>
                <w:sz w:val="22"/>
                <w:szCs w:val="22"/>
              </w:rPr>
              <w:t>3</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eastAsia="仿宋_GB2312"/>
                <w:sz w:val="22"/>
                <w:szCs w:val="22"/>
              </w:rPr>
            </w:pPr>
            <w:r>
              <w:rPr>
                <w:rFonts w:hint="eastAsia" w:ascii="仿宋_GB2312" w:hAnsi="宋体" w:eastAsia="仿宋_GB2312" w:cs="宋体"/>
                <w:color w:val="000000"/>
                <w:kern w:val="0"/>
                <w:sz w:val="22"/>
                <w:szCs w:val="22"/>
              </w:rPr>
              <w:t>3</w:t>
            </w:r>
          </w:p>
        </w:tc>
        <w:tc>
          <w:tcPr>
            <w:tcW w:w="170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p>
        </w:tc>
      </w:tr>
      <w:tr>
        <w:tblPrEx>
          <w:tblCellMar>
            <w:top w:w="0" w:type="dxa"/>
            <w:left w:w="108" w:type="dxa"/>
            <w:bottom w:w="0" w:type="dxa"/>
            <w:right w:w="108" w:type="dxa"/>
          </w:tblCellMar>
        </w:tblPrEx>
        <w:trPr>
          <w:trHeight w:val="338"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3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p>
        </w:tc>
        <w:tc>
          <w:tcPr>
            <w:tcW w:w="112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p>
        </w:tc>
        <w:tc>
          <w:tcPr>
            <w:tcW w:w="269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仿宋_GB2312" w:eastAsia="仿宋_GB2312"/>
                <w:sz w:val="22"/>
                <w:szCs w:val="22"/>
              </w:rPr>
            </w:pPr>
            <w:r>
              <w:rPr>
                <w:rFonts w:hint="eastAsia" w:ascii="仿宋_GB2312" w:eastAsia="仿宋_GB2312"/>
                <w:sz w:val="22"/>
                <w:szCs w:val="22"/>
              </w:rPr>
              <w:t>不合格产品处置率</w:t>
            </w:r>
          </w:p>
        </w:tc>
        <w:tc>
          <w:tcPr>
            <w:tcW w:w="113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eastAsia="仿宋_GB2312"/>
                <w:sz w:val="22"/>
                <w:szCs w:val="22"/>
              </w:rPr>
            </w:pPr>
            <w:r>
              <w:rPr>
                <w:rFonts w:hint="eastAsia" w:ascii="仿宋_GB2312" w:hAnsi="宋体" w:eastAsia="仿宋_GB2312" w:cs="宋体"/>
                <w:color w:val="000000"/>
                <w:kern w:val="0"/>
                <w:sz w:val="22"/>
                <w:szCs w:val="22"/>
              </w:rPr>
              <w:t>=</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eastAsia="仿宋_GB2312"/>
                <w:sz w:val="22"/>
                <w:szCs w:val="22"/>
              </w:rPr>
            </w:pPr>
            <w:r>
              <w:rPr>
                <w:rFonts w:hint="eastAsia" w:ascii="仿宋_GB2312" w:eastAsia="仿宋_GB2312"/>
                <w:sz w:val="22"/>
                <w:szCs w:val="22"/>
              </w:rPr>
              <w:t>100</w:t>
            </w:r>
          </w:p>
        </w:tc>
        <w:tc>
          <w:tcPr>
            <w:tcW w:w="90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eastAsia="仿宋_GB2312"/>
                <w:sz w:val="22"/>
                <w:szCs w:val="22"/>
              </w:rPr>
            </w:pPr>
            <w:r>
              <w:rPr>
                <w:rFonts w:hint="eastAsia" w:ascii="仿宋_GB2312" w:eastAsia="仿宋_GB2312"/>
                <w:sz w:val="22"/>
                <w:szCs w:val="22"/>
              </w:rPr>
              <w:t>%</w:t>
            </w:r>
          </w:p>
        </w:tc>
        <w:tc>
          <w:tcPr>
            <w:tcW w:w="136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eastAsia="仿宋_GB2312"/>
                <w:sz w:val="22"/>
                <w:szCs w:val="22"/>
              </w:rPr>
            </w:pPr>
            <w:r>
              <w:rPr>
                <w:rFonts w:hint="eastAsia" w:ascii="仿宋_GB2312" w:eastAsia="仿宋_GB2312"/>
                <w:sz w:val="22"/>
                <w:szCs w:val="22"/>
              </w:rPr>
              <w:t>100</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eastAsia="仿宋_GB2312"/>
                <w:sz w:val="22"/>
                <w:szCs w:val="22"/>
              </w:rPr>
            </w:pPr>
            <w:r>
              <w:rPr>
                <w:rFonts w:hint="eastAsia" w:ascii="仿宋_GB2312" w:hAnsi="宋体" w:eastAsia="仿宋_GB2312" w:cs="宋体"/>
                <w:color w:val="000000"/>
                <w:kern w:val="0"/>
                <w:sz w:val="22"/>
                <w:szCs w:val="22"/>
              </w:rPr>
              <w:t>3</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eastAsia="仿宋_GB2312"/>
                <w:sz w:val="22"/>
                <w:szCs w:val="22"/>
              </w:rPr>
            </w:pPr>
            <w:r>
              <w:rPr>
                <w:rFonts w:hint="eastAsia" w:ascii="仿宋_GB2312" w:hAnsi="宋体" w:eastAsia="仿宋_GB2312" w:cs="宋体"/>
                <w:color w:val="000000"/>
                <w:kern w:val="0"/>
                <w:sz w:val="22"/>
                <w:szCs w:val="22"/>
              </w:rPr>
              <w:t>3</w:t>
            </w:r>
          </w:p>
        </w:tc>
        <w:tc>
          <w:tcPr>
            <w:tcW w:w="170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p>
        </w:tc>
      </w:tr>
      <w:tr>
        <w:tblPrEx>
          <w:tblCellMar>
            <w:top w:w="0" w:type="dxa"/>
            <w:left w:w="108" w:type="dxa"/>
            <w:bottom w:w="0" w:type="dxa"/>
            <w:right w:w="108" w:type="dxa"/>
          </w:tblCellMar>
        </w:tblPrEx>
        <w:trPr>
          <w:trHeight w:val="470"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3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p>
        </w:tc>
        <w:tc>
          <w:tcPr>
            <w:tcW w:w="112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p>
        </w:tc>
        <w:tc>
          <w:tcPr>
            <w:tcW w:w="269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仿宋_GB2312" w:eastAsia="仿宋_GB2312"/>
                <w:sz w:val="22"/>
                <w:szCs w:val="22"/>
              </w:rPr>
            </w:pPr>
            <w:r>
              <w:rPr>
                <w:rFonts w:hint="eastAsia" w:ascii="仿宋_GB2312" w:eastAsia="仿宋_GB2312"/>
                <w:sz w:val="22"/>
                <w:szCs w:val="22"/>
              </w:rPr>
              <w:t>培训人员覆盖率</w:t>
            </w:r>
          </w:p>
        </w:tc>
        <w:tc>
          <w:tcPr>
            <w:tcW w:w="113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eastAsia="仿宋_GB2312"/>
                <w:sz w:val="22"/>
                <w:szCs w:val="22"/>
              </w:rPr>
            </w:pPr>
            <w:r>
              <w:rPr>
                <w:rFonts w:hint="eastAsia" w:ascii="仿宋_GB2312" w:hAnsi="宋体" w:eastAsia="仿宋_GB2312" w:cs="宋体"/>
                <w:color w:val="000000"/>
                <w:kern w:val="0"/>
                <w:sz w:val="22"/>
                <w:szCs w:val="22"/>
              </w:rPr>
              <w:t>=</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eastAsia="仿宋_GB2312"/>
                <w:sz w:val="22"/>
                <w:szCs w:val="22"/>
              </w:rPr>
            </w:pPr>
            <w:r>
              <w:rPr>
                <w:rFonts w:hint="eastAsia" w:ascii="仿宋_GB2312" w:eastAsia="仿宋_GB2312"/>
                <w:sz w:val="22"/>
                <w:szCs w:val="22"/>
              </w:rPr>
              <w:t>100</w:t>
            </w:r>
          </w:p>
        </w:tc>
        <w:tc>
          <w:tcPr>
            <w:tcW w:w="90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eastAsia="仿宋_GB2312"/>
                <w:sz w:val="22"/>
                <w:szCs w:val="22"/>
              </w:rPr>
            </w:pPr>
            <w:r>
              <w:rPr>
                <w:rFonts w:hint="eastAsia" w:ascii="仿宋_GB2312" w:eastAsia="仿宋_GB2312"/>
                <w:sz w:val="22"/>
                <w:szCs w:val="22"/>
              </w:rPr>
              <w:t>%</w:t>
            </w:r>
          </w:p>
        </w:tc>
        <w:tc>
          <w:tcPr>
            <w:tcW w:w="136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eastAsia="仿宋_GB2312"/>
                <w:sz w:val="22"/>
                <w:szCs w:val="22"/>
              </w:rPr>
            </w:pPr>
            <w:r>
              <w:rPr>
                <w:rFonts w:hint="eastAsia" w:ascii="仿宋_GB2312" w:eastAsia="仿宋_GB2312"/>
                <w:sz w:val="22"/>
                <w:szCs w:val="22"/>
              </w:rPr>
              <w:t>100</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eastAsia="仿宋_GB2312"/>
                <w:sz w:val="22"/>
                <w:szCs w:val="22"/>
              </w:rPr>
            </w:pPr>
            <w:r>
              <w:rPr>
                <w:rFonts w:hint="eastAsia" w:ascii="仿宋_GB2312" w:hAnsi="宋体" w:eastAsia="仿宋_GB2312" w:cs="宋体"/>
                <w:color w:val="000000"/>
                <w:kern w:val="0"/>
                <w:sz w:val="22"/>
                <w:szCs w:val="22"/>
              </w:rPr>
              <w:t>3</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eastAsia="仿宋_GB2312"/>
                <w:sz w:val="22"/>
                <w:szCs w:val="22"/>
              </w:rPr>
            </w:pPr>
            <w:r>
              <w:rPr>
                <w:rFonts w:hint="eastAsia" w:ascii="仿宋_GB2312" w:hAnsi="宋体" w:eastAsia="仿宋_GB2312" w:cs="宋体"/>
                <w:color w:val="000000"/>
                <w:kern w:val="0"/>
                <w:sz w:val="22"/>
                <w:szCs w:val="22"/>
              </w:rPr>
              <w:t>3</w:t>
            </w:r>
          </w:p>
        </w:tc>
        <w:tc>
          <w:tcPr>
            <w:tcW w:w="170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p>
        </w:tc>
      </w:tr>
      <w:tr>
        <w:tblPrEx>
          <w:tblCellMar>
            <w:top w:w="0" w:type="dxa"/>
            <w:left w:w="108" w:type="dxa"/>
            <w:bottom w:w="0" w:type="dxa"/>
            <w:right w:w="108" w:type="dxa"/>
          </w:tblCellMar>
        </w:tblPrEx>
        <w:trPr>
          <w:trHeight w:val="338"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3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p>
        </w:tc>
        <w:tc>
          <w:tcPr>
            <w:tcW w:w="11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时效指标</w:t>
            </w:r>
          </w:p>
        </w:tc>
        <w:tc>
          <w:tcPr>
            <w:tcW w:w="269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仿宋_GB2312" w:eastAsia="仿宋_GB2312"/>
                <w:sz w:val="22"/>
                <w:szCs w:val="22"/>
              </w:rPr>
            </w:pPr>
            <w:r>
              <w:rPr>
                <w:rFonts w:hint="eastAsia" w:ascii="仿宋_GB2312" w:eastAsia="仿宋_GB2312"/>
                <w:sz w:val="22"/>
                <w:szCs w:val="22"/>
              </w:rPr>
              <w:t>任务完成时间</w:t>
            </w:r>
          </w:p>
        </w:tc>
        <w:tc>
          <w:tcPr>
            <w:tcW w:w="113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eastAsia="仿宋_GB2312"/>
                <w:sz w:val="22"/>
                <w:szCs w:val="22"/>
              </w:rPr>
            </w:pPr>
            <w:r>
              <w:rPr>
                <w:rFonts w:hint="eastAsia" w:ascii="仿宋_GB2312" w:hAnsi="宋体" w:eastAsia="仿宋_GB2312" w:cs="宋体"/>
                <w:color w:val="000000"/>
                <w:kern w:val="0"/>
                <w:sz w:val="22"/>
                <w:szCs w:val="22"/>
              </w:rPr>
              <w:t>≤</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eastAsia="仿宋_GB2312"/>
                <w:sz w:val="22"/>
                <w:szCs w:val="22"/>
              </w:rPr>
            </w:pPr>
            <w:r>
              <w:rPr>
                <w:rFonts w:hint="eastAsia" w:ascii="仿宋_GB2312" w:eastAsia="仿宋_GB2312"/>
                <w:sz w:val="22"/>
                <w:szCs w:val="22"/>
              </w:rPr>
              <w:t>12</w:t>
            </w:r>
          </w:p>
        </w:tc>
        <w:tc>
          <w:tcPr>
            <w:tcW w:w="90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eastAsia="仿宋_GB2312"/>
                <w:sz w:val="22"/>
                <w:szCs w:val="22"/>
              </w:rPr>
              <w:t>月</w:t>
            </w:r>
          </w:p>
        </w:tc>
        <w:tc>
          <w:tcPr>
            <w:tcW w:w="136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12</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4</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eastAsia="仿宋_GB2312"/>
                <w:sz w:val="22"/>
                <w:szCs w:val="22"/>
              </w:rPr>
            </w:pPr>
            <w:r>
              <w:rPr>
                <w:rFonts w:hint="eastAsia" w:ascii="仿宋_GB2312" w:hAnsi="宋体" w:eastAsia="仿宋_GB2312" w:cs="宋体"/>
                <w:color w:val="000000"/>
                <w:kern w:val="0"/>
                <w:sz w:val="22"/>
                <w:szCs w:val="22"/>
              </w:rPr>
              <w:t>4</w:t>
            </w:r>
          </w:p>
        </w:tc>
        <w:tc>
          <w:tcPr>
            <w:tcW w:w="170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p>
        </w:tc>
      </w:tr>
      <w:tr>
        <w:tblPrEx>
          <w:tblCellMar>
            <w:top w:w="0" w:type="dxa"/>
            <w:left w:w="108" w:type="dxa"/>
            <w:bottom w:w="0" w:type="dxa"/>
            <w:right w:w="108" w:type="dxa"/>
          </w:tblCellMar>
        </w:tblPrEx>
        <w:trPr>
          <w:trHeight w:val="338"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3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成本指标</w:t>
            </w:r>
          </w:p>
        </w:tc>
        <w:tc>
          <w:tcPr>
            <w:tcW w:w="112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经济成本指标</w:t>
            </w:r>
          </w:p>
        </w:tc>
        <w:tc>
          <w:tcPr>
            <w:tcW w:w="269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仿宋_GB2312" w:eastAsia="仿宋_GB2312"/>
                <w:sz w:val="22"/>
                <w:szCs w:val="22"/>
              </w:rPr>
            </w:pPr>
            <w:r>
              <w:rPr>
                <w:rFonts w:hint="eastAsia" w:ascii="仿宋_GB2312" w:eastAsia="仿宋_GB2312"/>
                <w:sz w:val="22"/>
                <w:szCs w:val="22"/>
              </w:rPr>
              <w:t>培训成本</w:t>
            </w:r>
          </w:p>
        </w:tc>
        <w:tc>
          <w:tcPr>
            <w:tcW w:w="113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eastAsia="仿宋_GB2312"/>
                <w:sz w:val="22"/>
                <w:szCs w:val="22"/>
              </w:rPr>
            </w:pPr>
            <w:r>
              <w:rPr>
                <w:rFonts w:hint="eastAsia" w:ascii="仿宋_GB2312" w:hAnsi="宋体" w:eastAsia="仿宋_GB2312" w:cs="宋体"/>
                <w:color w:val="000000"/>
                <w:kern w:val="0"/>
                <w:sz w:val="22"/>
                <w:szCs w:val="22"/>
              </w:rPr>
              <w:t>≤</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eastAsia="仿宋_GB2312"/>
                <w:sz w:val="22"/>
                <w:szCs w:val="22"/>
              </w:rPr>
            </w:pPr>
            <w:r>
              <w:rPr>
                <w:rFonts w:hint="eastAsia" w:ascii="仿宋_GB2312" w:eastAsia="仿宋_GB2312"/>
                <w:sz w:val="22"/>
                <w:szCs w:val="22"/>
              </w:rPr>
              <w:t>200</w:t>
            </w:r>
          </w:p>
        </w:tc>
        <w:tc>
          <w:tcPr>
            <w:tcW w:w="90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eastAsia="仿宋_GB2312"/>
                <w:sz w:val="22"/>
                <w:szCs w:val="22"/>
              </w:rPr>
              <w:t>元/学时</w:t>
            </w:r>
          </w:p>
        </w:tc>
        <w:tc>
          <w:tcPr>
            <w:tcW w:w="136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eastAsia="仿宋_GB2312"/>
                <w:sz w:val="22"/>
                <w:szCs w:val="22"/>
              </w:rPr>
            </w:pPr>
            <w:r>
              <w:rPr>
                <w:rFonts w:hint="eastAsia" w:ascii="仿宋_GB2312" w:eastAsia="仿宋_GB2312"/>
                <w:sz w:val="22"/>
                <w:szCs w:val="22"/>
              </w:rPr>
              <w:t>按标准执行</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5</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5</w:t>
            </w:r>
          </w:p>
        </w:tc>
        <w:tc>
          <w:tcPr>
            <w:tcW w:w="170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p>
        </w:tc>
      </w:tr>
      <w:tr>
        <w:tblPrEx>
          <w:tblCellMar>
            <w:top w:w="0" w:type="dxa"/>
            <w:left w:w="108" w:type="dxa"/>
            <w:bottom w:w="0" w:type="dxa"/>
            <w:right w:w="108" w:type="dxa"/>
          </w:tblCellMar>
        </w:tblPrEx>
        <w:trPr>
          <w:trHeight w:val="414"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3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p>
        </w:tc>
        <w:tc>
          <w:tcPr>
            <w:tcW w:w="112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p>
        </w:tc>
        <w:tc>
          <w:tcPr>
            <w:tcW w:w="269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仿宋_GB2312" w:eastAsia="仿宋_GB2312"/>
                <w:sz w:val="22"/>
                <w:szCs w:val="22"/>
              </w:rPr>
            </w:pPr>
            <w:r>
              <w:rPr>
                <w:rFonts w:hint="eastAsia" w:ascii="仿宋_GB2312" w:eastAsia="仿宋_GB2312"/>
                <w:sz w:val="22"/>
                <w:szCs w:val="22"/>
              </w:rPr>
              <w:t>药品抽验平均标准</w:t>
            </w:r>
          </w:p>
        </w:tc>
        <w:tc>
          <w:tcPr>
            <w:tcW w:w="113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eastAsia="仿宋_GB2312"/>
                <w:sz w:val="22"/>
                <w:szCs w:val="22"/>
              </w:rPr>
            </w:pPr>
            <w:r>
              <w:rPr>
                <w:rFonts w:hint="eastAsia" w:ascii="仿宋_GB2312" w:eastAsia="仿宋_GB2312"/>
                <w:sz w:val="22"/>
                <w:szCs w:val="22"/>
              </w:rPr>
              <w:t>1500</w:t>
            </w:r>
          </w:p>
        </w:tc>
        <w:tc>
          <w:tcPr>
            <w:tcW w:w="90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eastAsia="仿宋_GB2312"/>
                <w:sz w:val="22"/>
                <w:szCs w:val="22"/>
              </w:rPr>
              <w:t>元/样</w:t>
            </w:r>
          </w:p>
        </w:tc>
        <w:tc>
          <w:tcPr>
            <w:tcW w:w="136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eastAsia="仿宋_GB2312"/>
                <w:sz w:val="22"/>
                <w:szCs w:val="22"/>
              </w:rPr>
            </w:pPr>
            <w:r>
              <w:rPr>
                <w:rFonts w:hint="eastAsia" w:ascii="仿宋_GB2312" w:eastAsia="仿宋_GB2312"/>
                <w:sz w:val="22"/>
                <w:szCs w:val="22"/>
              </w:rPr>
              <w:t>按标准执行</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5</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5</w:t>
            </w:r>
          </w:p>
        </w:tc>
        <w:tc>
          <w:tcPr>
            <w:tcW w:w="170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p>
        </w:tc>
      </w:tr>
      <w:tr>
        <w:tblPrEx>
          <w:tblCellMar>
            <w:top w:w="0" w:type="dxa"/>
            <w:left w:w="108" w:type="dxa"/>
            <w:bottom w:w="0" w:type="dxa"/>
            <w:right w:w="108" w:type="dxa"/>
          </w:tblCellMar>
        </w:tblPrEx>
        <w:trPr>
          <w:trHeight w:val="450"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3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p>
        </w:tc>
        <w:tc>
          <w:tcPr>
            <w:tcW w:w="112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p>
        </w:tc>
        <w:tc>
          <w:tcPr>
            <w:tcW w:w="269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仿宋_GB2312" w:eastAsia="仿宋_GB2312"/>
                <w:sz w:val="22"/>
                <w:szCs w:val="22"/>
              </w:rPr>
            </w:pPr>
            <w:r>
              <w:rPr>
                <w:rFonts w:hint="eastAsia" w:ascii="仿宋_GB2312" w:eastAsia="仿宋_GB2312"/>
                <w:sz w:val="22"/>
                <w:szCs w:val="22"/>
              </w:rPr>
              <w:t>医疗器械抽验平均标准</w:t>
            </w:r>
          </w:p>
        </w:tc>
        <w:tc>
          <w:tcPr>
            <w:tcW w:w="113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eastAsia="仿宋_GB2312"/>
                <w:sz w:val="22"/>
                <w:szCs w:val="22"/>
              </w:rPr>
            </w:pPr>
            <w:r>
              <w:rPr>
                <w:rFonts w:hint="eastAsia" w:ascii="仿宋_GB2312" w:hAnsi="宋体" w:eastAsia="仿宋_GB2312" w:cs="宋体"/>
                <w:color w:val="000000"/>
                <w:kern w:val="0"/>
                <w:sz w:val="22"/>
                <w:szCs w:val="22"/>
              </w:rPr>
              <w:t>≤</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eastAsia="仿宋_GB2312"/>
                <w:sz w:val="22"/>
                <w:szCs w:val="22"/>
              </w:rPr>
            </w:pPr>
            <w:r>
              <w:rPr>
                <w:rFonts w:hint="eastAsia" w:ascii="仿宋_GB2312" w:eastAsia="仿宋_GB2312"/>
                <w:sz w:val="22"/>
                <w:szCs w:val="22"/>
              </w:rPr>
              <w:t>1500</w:t>
            </w:r>
          </w:p>
        </w:tc>
        <w:tc>
          <w:tcPr>
            <w:tcW w:w="90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eastAsia="仿宋_GB2312"/>
                <w:sz w:val="22"/>
                <w:szCs w:val="22"/>
              </w:rPr>
              <w:t>元/样</w:t>
            </w:r>
          </w:p>
        </w:tc>
        <w:tc>
          <w:tcPr>
            <w:tcW w:w="136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eastAsia="仿宋_GB2312"/>
                <w:sz w:val="22"/>
                <w:szCs w:val="22"/>
              </w:rPr>
            </w:pPr>
            <w:r>
              <w:rPr>
                <w:rFonts w:hint="eastAsia" w:ascii="仿宋_GB2312" w:eastAsia="仿宋_GB2312"/>
                <w:sz w:val="22"/>
                <w:szCs w:val="22"/>
              </w:rPr>
              <w:t>按标准执行</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5</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5</w:t>
            </w:r>
          </w:p>
        </w:tc>
        <w:tc>
          <w:tcPr>
            <w:tcW w:w="170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p>
        </w:tc>
      </w:tr>
      <w:tr>
        <w:tblPrEx>
          <w:tblCellMar>
            <w:top w:w="0" w:type="dxa"/>
            <w:left w:w="108" w:type="dxa"/>
            <w:bottom w:w="0" w:type="dxa"/>
            <w:right w:w="108" w:type="dxa"/>
          </w:tblCellMar>
        </w:tblPrEx>
        <w:trPr>
          <w:trHeight w:val="338"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3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p>
        </w:tc>
        <w:tc>
          <w:tcPr>
            <w:tcW w:w="112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p>
        </w:tc>
        <w:tc>
          <w:tcPr>
            <w:tcW w:w="269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仿宋_GB2312" w:eastAsia="仿宋_GB2312"/>
                <w:sz w:val="22"/>
                <w:szCs w:val="22"/>
              </w:rPr>
            </w:pPr>
            <w:r>
              <w:rPr>
                <w:rFonts w:hint="eastAsia" w:ascii="仿宋_GB2312" w:eastAsia="仿宋_GB2312"/>
                <w:sz w:val="22"/>
                <w:szCs w:val="22"/>
              </w:rPr>
              <w:t>化妆品抽验平均标准</w:t>
            </w:r>
          </w:p>
        </w:tc>
        <w:tc>
          <w:tcPr>
            <w:tcW w:w="113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eastAsia="仿宋_GB2312"/>
                <w:sz w:val="22"/>
                <w:szCs w:val="22"/>
              </w:rPr>
            </w:pPr>
            <w:r>
              <w:rPr>
                <w:rFonts w:hint="eastAsia" w:ascii="仿宋_GB2312" w:hAnsi="宋体" w:eastAsia="仿宋_GB2312" w:cs="宋体"/>
                <w:color w:val="000000"/>
                <w:kern w:val="0"/>
                <w:sz w:val="22"/>
                <w:szCs w:val="22"/>
              </w:rPr>
              <w:t>≤</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eastAsia="仿宋_GB2312"/>
                <w:sz w:val="22"/>
                <w:szCs w:val="22"/>
              </w:rPr>
            </w:pPr>
            <w:r>
              <w:rPr>
                <w:rFonts w:hint="eastAsia" w:ascii="仿宋_GB2312" w:eastAsia="仿宋_GB2312"/>
                <w:sz w:val="22"/>
                <w:szCs w:val="22"/>
              </w:rPr>
              <w:t>1000</w:t>
            </w:r>
          </w:p>
        </w:tc>
        <w:tc>
          <w:tcPr>
            <w:tcW w:w="90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eastAsia="仿宋_GB2312"/>
                <w:sz w:val="22"/>
                <w:szCs w:val="22"/>
              </w:rPr>
              <w:t>元/样</w:t>
            </w:r>
          </w:p>
        </w:tc>
        <w:tc>
          <w:tcPr>
            <w:tcW w:w="136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eastAsia="仿宋_GB2312"/>
                <w:sz w:val="22"/>
                <w:szCs w:val="22"/>
              </w:rPr>
            </w:pPr>
            <w:r>
              <w:rPr>
                <w:rFonts w:hint="eastAsia" w:ascii="仿宋_GB2312" w:eastAsia="仿宋_GB2312"/>
                <w:sz w:val="22"/>
                <w:szCs w:val="22"/>
              </w:rPr>
              <w:t>按标准执行</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5</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5</w:t>
            </w:r>
          </w:p>
        </w:tc>
        <w:tc>
          <w:tcPr>
            <w:tcW w:w="170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p>
        </w:tc>
      </w:tr>
      <w:tr>
        <w:tblPrEx>
          <w:tblCellMar>
            <w:top w:w="0" w:type="dxa"/>
            <w:left w:w="108" w:type="dxa"/>
            <w:bottom w:w="0" w:type="dxa"/>
            <w:right w:w="108" w:type="dxa"/>
          </w:tblCellMar>
        </w:tblPrEx>
        <w:trPr>
          <w:trHeight w:val="338"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3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效益指标</w:t>
            </w:r>
          </w:p>
        </w:tc>
        <w:tc>
          <w:tcPr>
            <w:tcW w:w="112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社会效益</w:t>
            </w:r>
          </w:p>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指标</w:t>
            </w:r>
          </w:p>
        </w:tc>
        <w:tc>
          <w:tcPr>
            <w:tcW w:w="269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仿宋_GB2312" w:eastAsia="仿宋_GB2312"/>
                <w:sz w:val="22"/>
                <w:szCs w:val="22"/>
              </w:rPr>
            </w:pPr>
            <w:r>
              <w:rPr>
                <w:rFonts w:hint="eastAsia" w:ascii="仿宋_GB2312" w:eastAsia="仿宋_GB2312"/>
                <w:sz w:val="22"/>
                <w:szCs w:val="22"/>
              </w:rPr>
              <w:t>“两品一械”总体安全水平</w:t>
            </w:r>
          </w:p>
        </w:tc>
        <w:tc>
          <w:tcPr>
            <w:tcW w:w="113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定性</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hAnsi="宋体" w:eastAsia="仿宋_GB2312" w:cs="宋体"/>
                <w:color w:val="000000"/>
                <w:sz w:val="22"/>
                <w:szCs w:val="22"/>
              </w:rPr>
            </w:pPr>
            <w:r>
              <w:rPr>
                <w:rFonts w:hint="eastAsia" w:ascii="仿宋_GB2312" w:eastAsia="仿宋_GB2312"/>
                <w:color w:val="000000"/>
                <w:sz w:val="22"/>
                <w:szCs w:val="22"/>
              </w:rPr>
              <w:t>优</w:t>
            </w:r>
          </w:p>
        </w:tc>
        <w:tc>
          <w:tcPr>
            <w:tcW w:w="90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级</w:t>
            </w:r>
          </w:p>
        </w:tc>
        <w:tc>
          <w:tcPr>
            <w:tcW w:w="136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优</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w:t>
            </w:r>
          </w:p>
        </w:tc>
        <w:tc>
          <w:tcPr>
            <w:tcW w:w="170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p>
        </w:tc>
      </w:tr>
      <w:tr>
        <w:tblPrEx>
          <w:tblCellMar>
            <w:top w:w="0" w:type="dxa"/>
            <w:left w:w="108" w:type="dxa"/>
            <w:bottom w:w="0" w:type="dxa"/>
            <w:right w:w="108" w:type="dxa"/>
          </w:tblCellMar>
        </w:tblPrEx>
        <w:trPr>
          <w:trHeight w:val="338"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3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p>
        </w:tc>
        <w:tc>
          <w:tcPr>
            <w:tcW w:w="112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p>
        </w:tc>
        <w:tc>
          <w:tcPr>
            <w:tcW w:w="269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仿宋_GB2312" w:eastAsia="仿宋_GB2312"/>
                <w:sz w:val="22"/>
                <w:szCs w:val="22"/>
              </w:rPr>
            </w:pPr>
            <w:r>
              <w:rPr>
                <w:rFonts w:hint="eastAsia" w:ascii="仿宋_GB2312" w:eastAsia="仿宋_GB2312"/>
                <w:sz w:val="22"/>
                <w:szCs w:val="22"/>
              </w:rPr>
              <w:t>提高“两品一械”安全科普知识宣传覆盖面，公众自我保护意识不断提高</w:t>
            </w:r>
          </w:p>
        </w:tc>
        <w:tc>
          <w:tcPr>
            <w:tcW w:w="113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定性</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eastAsia="仿宋_GB2312"/>
                <w:sz w:val="22"/>
                <w:szCs w:val="22"/>
              </w:rPr>
            </w:pPr>
            <w:r>
              <w:rPr>
                <w:rFonts w:hint="eastAsia" w:ascii="仿宋_GB2312" w:eastAsia="仿宋_GB2312"/>
                <w:color w:val="000000"/>
                <w:sz w:val="22"/>
                <w:szCs w:val="22"/>
              </w:rPr>
              <w:t>优</w:t>
            </w:r>
          </w:p>
        </w:tc>
        <w:tc>
          <w:tcPr>
            <w:tcW w:w="90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eastAsia="仿宋_GB2312"/>
                <w:sz w:val="22"/>
                <w:szCs w:val="22"/>
              </w:rPr>
            </w:pPr>
            <w:r>
              <w:rPr>
                <w:rFonts w:hint="eastAsia" w:ascii="仿宋_GB2312" w:hAnsi="宋体" w:eastAsia="仿宋_GB2312" w:cs="宋体"/>
                <w:color w:val="000000"/>
                <w:kern w:val="0"/>
                <w:sz w:val="22"/>
                <w:szCs w:val="22"/>
              </w:rPr>
              <w:t>级</w:t>
            </w:r>
          </w:p>
        </w:tc>
        <w:tc>
          <w:tcPr>
            <w:tcW w:w="136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优</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w:t>
            </w:r>
          </w:p>
        </w:tc>
        <w:tc>
          <w:tcPr>
            <w:tcW w:w="170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p>
        </w:tc>
      </w:tr>
      <w:tr>
        <w:tblPrEx>
          <w:tblCellMar>
            <w:top w:w="0" w:type="dxa"/>
            <w:left w:w="108" w:type="dxa"/>
            <w:bottom w:w="0" w:type="dxa"/>
            <w:right w:w="108" w:type="dxa"/>
          </w:tblCellMar>
        </w:tblPrEx>
        <w:trPr>
          <w:trHeight w:val="338"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3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p>
        </w:tc>
        <w:tc>
          <w:tcPr>
            <w:tcW w:w="112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p>
        </w:tc>
        <w:tc>
          <w:tcPr>
            <w:tcW w:w="269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仿宋_GB2312" w:eastAsia="仿宋_GB2312"/>
                <w:sz w:val="22"/>
                <w:szCs w:val="22"/>
              </w:rPr>
            </w:pPr>
            <w:r>
              <w:rPr>
                <w:rFonts w:hint="eastAsia" w:ascii="仿宋_GB2312" w:eastAsia="仿宋_GB2312"/>
                <w:sz w:val="22"/>
                <w:szCs w:val="22"/>
              </w:rPr>
              <w:t>假冒伪劣产品制售行为</w:t>
            </w:r>
          </w:p>
        </w:tc>
        <w:tc>
          <w:tcPr>
            <w:tcW w:w="113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定性</w:t>
            </w:r>
          </w:p>
        </w:tc>
        <w:tc>
          <w:tcPr>
            <w:tcW w:w="850" w:type="dxa"/>
            <w:tcBorders>
              <w:top w:val="single" w:color="auto" w:sz="4" w:space="0"/>
              <w:left w:val="single" w:color="auto" w:sz="4" w:space="0"/>
              <w:bottom w:val="single" w:color="auto" w:sz="4" w:space="0"/>
              <w:right w:val="single" w:color="auto" w:sz="4" w:space="0"/>
            </w:tcBorders>
            <w:shd w:val="clear" w:color="auto" w:fill="auto"/>
          </w:tcPr>
          <w:p>
            <w:pPr>
              <w:jc w:val="center"/>
              <w:rPr>
                <w:rFonts w:ascii="仿宋_GB2312" w:eastAsia="仿宋_GB2312"/>
                <w:sz w:val="22"/>
                <w:szCs w:val="22"/>
              </w:rPr>
            </w:pPr>
            <w:r>
              <w:rPr>
                <w:rFonts w:hint="eastAsia" w:ascii="仿宋_GB2312" w:eastAsia="仿宋_GB2312"/>
                <w:color w:val="000000"/>
                <w:sz w:val="22"/>
                <w:szCs w:val="22"/>
              </w:rPr>
              <w:t>低</w:t>
            </w:r>
          </w:p>
        </w:tc>
        <w:tc>
          <w:tcPr>
            <w:tcW w:w="901" w:type="dxa"/>
            <w:gridSpan w:val="2"/>
            <w:tcBorders>
              <w:top w:val="single" w:color="auto" w:sz="4" w:space="0"/>
              <w:left w:val="single" w:color="auto" w:sz="4" w:space="0"/>
              <w:bottom w:val="single" w:color="auto" w:sz="4" w:space="0"/>
              <w:right w:val="single" w:color="auto" w:sz="4" w:space="0"/>
            </w:tcBorders>
            <w:shd w:val="clear" w:color="auto" w:fill="auto"/>
          </w:tcPr>
          <w:p>
            <w:pPr>
              <w:jc w:val="center"/>
              <w:rPr>
                <w:rFonts w:ascii="仿宋_GB2312" w:eastAsia="仿宋_GB2312"/>
                <w:sz w:val="22"/>
                <w:szCs w:val="22"/>
              </w:rPr>
            </w:pPr>
            <w:r>
              <w:rPr>
                <w:rFonts w:hint="eastAsia" w:ascii="仿宋_GB2312" w:hAnsi="宋体" w:eastAsia="仿宋_GB2312" w:cs="宋体"/>
                <w:color w:val="000000"/>
                <w:kern w:val="0"/>
                <w:sz w:val="22"/>
                <w:szCs w:val="22"/>
              </w:rPr>
              <w:t>级</w:t>
            </w:r>
          </w:p>
        </w:tc>
        <w:tc>
          <w:tcPr>
            <w:tcW w:w="136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低</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w:t>
            </w:r>
          </w:p>
        </w:tc>
        <w:tc>
          <w:tcPr>
            <w:tcW w:w="170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p>
        </w:tc>
      </w:tr>
      <w:tr>
        <w:tblPrEx>
          <w:tblCellMar>
            <w:top w:w="0" w:type="dxa"/>
            <w:left w:w="108" w:type="dxa"/>
            <w:bottom w:w="0" w:type="dxa"/>
            <w:right w:w="108" w:type="dxa"/>
          </w:tblCellMar>
        </w:tblPrEx>
        <w:trPr>
          <w:trHeight w:val="338"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3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p>
        </w:tc>
        <w:tc>
          <w:tcPr>
            <w:tcW w:w="112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可持续</w:t>
            </w:r>
          </w:p>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影响指标</w:t>
            </w:r>
          </w:p>
        </w:tc>
        <w:tc>
          <w:tcPr>
            <w:tcW w:w="269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仿宋_GB2312" w:eastAsia="仿宋_GB2312"/>
                <w:sz w:val="22"/>
                <w:szCs w:val="22"/>
              </w:rPr>
            </w:pPr>
            <w:r>
              <w:rPr>
                <w:rFonts w:hint="eastAsia" w:ascii="仿宋_GB2312" w:eastAsia="仿宋_GB2312"/>
                <w:sz w:val="22"/>
                <w:szCs w:val="22"/>
              </w:rPr>
              <w:t>药品监管水平</w:t>
            </w:r>
          </w:p>
        </w:tc>
        <w:tc>
          <w:tcPr>
            <w:tcW w:w="113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定性</w:t>
            </w:r>
          </w:p>
        </w:tc>
        <w:tc>
          <w:tcPr>
            <w:tcW w:w="850" w:type="dxa"/>
            <w:tcBorders>
              <w:top w:val="single" w:color="auto" w:sz="4" w:space="0"/>
              <w:left w:val="single" w:color="auto" w:sz="4" w:space="0"/>
              <w:bottom w:val="single" w:color="auto" w:sz="4" w:space="0"/>
              <w:right w:val="single" w:color="auto" w:sz="4" w:space="0"/>
            </w:tcBorders>
            <w:shd w:val="clear" w:color="auto" w:fill="auto"/>
          </w:tcPr>
          <w:p>
            <w:pPr>
              <w:jc w:val="center"/>
              <w:rPr>
                <w:rFonts w:ascii="仿宋_GB2312" w:eastAsia="仿宋_GB2312"/>
                <w:sz w:val="22"/>
                <w:szCs w:val="22"/>
              </w:rPr>
            </w:pPr>
            <w:r>
              <w:rPr>
                <w:rFonts w:hint="eastAsia" w:ascii="仿宋_GB2312" w:eastAsia="仿宋_GB2312"/>
                <w:color w:val="000000"/>
                <w:sz w:val="22"/>
                <w:szCs w:val="22"/>
              </w:rPr>
              <w:t>优</w:t>
            </w:r>
          </w:p>
        </w:tc>
        <w:tc>
          <w:tcPr>
            <w:tcW w:w="901" w:type="dxa"/>
            <w:gridSpan w:val="2"/>
            <w:tcBorders>
              <w:top w:val="single" w:color="auto" w:sz="4" w:space="0"/>
              <w:left w:val="single" w:color="auto" w:sz="4" w:space="0"/>
              <w:bottom w:val="single" w:color="auto" w:sz="4" w:space="0"/>
              <w:right w:val="single" w:color="auto" w:sz="4" w:space="0"/>
            </w:tcBorders>
            <w:shd w:val="clear" w:color="auto" w:fill="auto"/>
          </w:tcPr>
          <w:p>
            <w:pPr>
              <w:jc w:val="center"/>
              <w:rPr>
                <w:rFonts w:ascii="仿宋_GB2312" w:eastAsia="仿宋_GB2312"/>
                <w:sz w:val="22"/>
                <w:szCs w:val="22"/>
              </w:rPr>
            </w:pPr>
            <w:r>
              <w:rPr>
                <w:rFonts w:hint="eastAsia" w:ascii="仿宋_GB2312" w:hAnsi="宋体" w:eastAsia="仿宋_GB2312" w:cs="宋体"/>
                <w:color w:val="000000"/>
                <w:kern w:val="0"/>
                <w:sz w:val="22"/>
                <w:szCs w:val="22"/>
              </w:rPr>
              <w:t>级</w:t>
            </w:r>
          </w:p>
        </w:tc>
        <w:tc>
          <w:tcPr>
            <w:tcW w:w="1367" w:type="dxa"/>
            <w:gridSpan w:val="2"/>
            <w:tcBorders>
              <w:top w:val="single" w:color="auto" w:sz="4" w:space="0"/>
              <w:left w:val="single" w:color="auto" w:sz="4" w:space="0"/>
              <w:bottom w:val="single" w:color="auto" w:sz="4" w:space="0"/>
              <w:right w:val="single" w:color="auto" w:sz="4" w:space="0"/>
            </w:tcBorders>
            <w:shd w:val="clear" w:color="auto" w:fill="auto"/>
          </w:tcPr>
          <w:p>
            <w:pPr>
              <w:jc w:val="center"/>
              <w:rPr>
                <w:rFonts w:ascii="仿宋_GB2312" w:eastAsia="仿宋_GB2312"/>
                <w:sz w:val="22"/>
                <w:szCs w:val="22"/>
              </w:rPr>
            </w:pPr>
            <w:r>
              <w:rPr>
                <w:rFonts w:hint="eastAsia" w:ascii="仿宋_GB2312" w:eastAsia="仿宋_GB2312"/>
                <w:color w:val="000000"/>
                <w:sz w:val="22"/>
                <w:szCs w:val="22"/>
              </w:rPr>
              <w:t>优</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3.5</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3</w:t>
            </w:r>
          </w:p>
        </w:tc>
        <w:tc>
          <w:tcPr>
            <w:tcW w:w="170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p>
        </w:tc>
      </w:tr>
      <w:tr>
        <w:tblPrEx>
          <w:tblCellMar>
            <w:top w:w="0" w:type="dxa"/>
            <w:left w:w="108" w:type="dxa"/>
            <w:bottom w:w="0" w:type="dxa"/>
            <w:right w:w="108" w:type="dxa"/>
          </w:tblCellMar>
        </w:tblPrEx>
        <w:trPr>
          <w:trHeight w:val="338"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3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p>
        </w:tc>
        <w:tc>
          <w:tcPr>
            <w:tcW w:w="112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p>
        </w:tc>
        <w:tc>
          <w:tcPr>
            <w:tcW w:w="269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仿宋_GB2312" w:eastAsia="仿宋_GB2312"/>
                <w:sz w:val="22"/>
                <w:szCs w:val="22"/>
              </w:rPr>
            </w:pPr>
            <w:r>
              <w:rPr>
                <w:rFonts w:hint="eastAsia" w:ascii="仿宋_GB2312" w:eastAsia="仿宋_GB2312"/>
                <w:sz w:val="22"/>
                <w:szCs w:val="22"/>
              </w:rPr>
              <w:t>化妆品监管水平</w:t>
            </w:r>
          </w:p>
        </w:tc>
        <w:tc>
          <w:tcPr>
            <w:tcW w:w="113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定性</w:t>
            </w:r>
          </w:p>
        </w:tc>
        <w:tc>
          <w:tcPr>
            <w:tcW w:w="850" w:type="dxa"/>
            <w:tcBorders>
              <w:top w:val="single" w:color="auto" w:sz="4" w:space="0"/>
              <w:left w:val="single" w:color="auto" w:sz="4" w:space="0"/>
              <w:bottom w:val="single" w:color="auto" w:sz="4" w:space="0"/>
              <w:right w:val="single" w:color="auto" w:sz="4" w:space="0"/>
            </w:tcBorders>
            <w:shd w:val="clear" w:color="auto" w:fill="auto"/>
          </w:tcPr>
          <w:p>
            <w:pPr>
              <w:jc w:val="center"/>
              <w:rPr>
                <w:rFonts w:ascii="仿宋_GB2312" w:eastAsia="仿宋_GB2312"/>
                <w:sz w:val="22"/>
                <w:szCs w:val="22"/>
              </w:rPr>
            </w:pPr>
            <w:r>
              <w:rPr>
                <w:rFonts w:hint="eastAsia" w:ascii="仿宋_GB2312" w:eastAsia="仿宋_GB2312"/>
                <w:color w:val="000000"/>
                <w:sz w:val="22"/>
                <w:szCs w:val="22"/>
              </w:rPr>
              <w:t>优</w:t>
            </w:r>
          </w:p>
        </w:tc>
        <w:tc>
          <w:tcPr>
            <w:tcW w:w="901" w:type="dxa"/>
            <w:gridSpan w:val="2"/>
            <w:tcBorders>
              <w:top w:val="single" w:color="auto" w:sz="4" w:space="0"/>
              <w:left w:val="single" w:color="auto" w:sz="4" w:space="0"/>
              <w:bottom w:val="single" w:color="auto" w:sz="4" w:space="0"/>
              <w:right w:val="single" w:color="auto" w:sz="4" w:space="0"/>
            </w:tcBorders>
            <w:shd w:val="clear" w:color="auto" w:fill="auto"/>
          </w:tcPr>
          <w:p>
            <w:pPr>
              <w:jc w:val="center"/>
              <w:rPr>
                <w:rFonts w:ascii="仿宋_GB2312" w:eastAsia="仿宋_GB2312"/>
                <w:sz w:val="22"/>
                <w:szCs w:val="22"/>
              </w:rPr>
            </w:pPr>
            <w:r>
              <w:rPr>
                <w:rFonts w:hint="eastAsia" w:ascii="仿宋_GB2312" w:hAnsi="宋体" w:eastAsia="仿宋_GB2312" w:cs="宋体"/>
                <w:color w:val="000000"/>
                <w:kern w:val="0"/>
                <w:sz w:val="22"/>
                <w:szCs w:val="22"/>
              </w:rPr>
              <w:t>级</w:t>
            </w:r>
          </w:p>
        </w:tc>
        <w:tc>
          <w:tcPr>
            <w:tcW w:w="1367" w:type="dxa"/>
            <w:gridSpan w:val="2"/>
            <w:tcBorders>
              <w:top w:val="single" w:color="auto" w:sz="4" w:space="0"/>
              <w:left w:val="single" w:color="auto" w:sz="4" w:space="0"/>
              <w:bottom w:val="single" w:color="auto" w:sz="4" w:space="0"/>
              <w:right w:val="single" w:color="auto" w:sz="4" w:space="0"/>
            </w:tcBorders>
            <w:shd w:val="clear" w:color="auto" w:fill="auto"/>
          </w:tcPr>
          <w:p>
            <w:pPr>
              <w:jc w:val="center"/>
              <w:rPr>
                <w:rFonts w:ascii="仿宋_GB2312" w:eastAsia="仿宋_GB2312"/>
                <w:sz w:val="22"/>
                <w:szCs w:val="22"/>
              </w:rPr>
            </w:pPr>
            <w:r>
              <w:rPr>
                <w:rFonts w:hint="eastAsia" w:ascii="仿宋_GB2312" w:eastAsia="仿宋_GB2312"/>
                <w:color w:val="000000"/>
                <w:sz w:val="22"/>
                <w:szCs w:val="22"/>
              </w:rPr>
              <w:t>优</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3.5</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3</w:t>
            </w:r>
          </w:p>
        </w:tc>
        <w:tc>
          <w:tcPr>
            <w:tcW w:w="170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p>
        </w:tc>
      </w:tr>
      <w:tr>
        <w:tblPrEx>
          <w:tblCellMar>
            <w:top w:w="0" w:type="dxa"/>
            <w:left w:w="108" w:type="dxa"/>
            <w:bottom w:w="0" w:type="dxa"/>
            <w:right w:w="108" w:type="dxa"/>
          </w:tblCellMar>
        </w:tblPrEx>
        <w:trPr>
          <w:trHeight w:val="338"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3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p>
        </w:tc>
        <w:tc>
          <w:tcPr>
            <w:tcW w:w="112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p>
        </w:tc>
        <w:tc>
          <w:tcPr>
            <w:tcW w:w="269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仿宋_GB2312" w:eastAsia="仿宋_GB2312"/>
                <w:sz w:val="22"/>
                <w:szCs w:val="22"/>
              </w:rPr>
            </w:pPr>
            <w:r>
              <w:rPr>
                <w:rFonts w:hint="eastAsia" w:ascii="仿宋_GB2312" w:eastAsia="仿宋_GB2312"/>
                <w:sz w:val="22"/>
                <w:szCs w:val="22"/>
              </w:rPr>
              <w:t>医疗器械监管水平</w:t>
            </w:r>
          </w:p>
        </w:tc>
        <w:tc>
          <w:tcPr>
            <w:tcW w:w="113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定性</w:t>
            </w:r>
          </w:p>
        </w:tc>
        <w:tc>
          <w:tcPr>
            <w:tcW w:w="850" w:type="dxa"/>
            <w:tcBorders>
              <w:top w:val="single" w:color="auto" w:sz="4" w:space="0"/>
              <w:left w:val="single" w:color="auto" w:sz="4" w:space="0"/>
              <w:bottom w:val="single" w:color="auto" w:sz="4" w:space="0"/>
              <w:right w:val="single" w:color="auto" w:sz="4" w:space="0"/>
            </w:tcBorders>
            <w:shd w:val="clear" w:color="auto" w:fill="auto"/>
          </w:tcPr>
          <w:p>
            <w:pPr>
              <w:jc w:val="center"/>
              <w:rPr>
                <w:rFonts w:ascii="仿宋_GB2312" w:eastAsia="仿宋_GB2312"/>
                <w:sz w:val="22"/>
                <w:szCs w:val="22"/>
              </w:rPr>
            </w:pPr>
            <w:r>
              <w:rPr>
                <w:rFonts w:hint="eastAsia" w:ascii="仿宋_GB2312" w:eastAsia="仿宋_GB2312"/>
                <w:color w:val="000000"/>
                <w:sz w:val="22"/>
                <w:szCs w:val="22"/>
              </w:rPr>
              <w:t>优</w:t>
            </w:r>
          </w:p>
        </w:tc>
        <w:tc>
          <w:tcPr>
            <w:tcW w:w="901" w:type="dxa"/>
            <w:gridSpan w:val="2"/>
            <w:tcBorders>
              <w:top w:val="single" w:color="auto" w:sz="4" w:space="0"/>
              <w:left w:val="single" w:color="auto" w:sz="4" w:space="0"/>
              <w:bottom w:val="single" w:color="auto" w:sz="4" w:space="0"/>
              <w:right w:val="single" w:color="auto" w:sz="4" w:space="0"/>
            </w:tcBorders>
            <w:shd w:val="clear" w:color="auto" w:fill="auto"/>
          </w:tcPr>
          <w:p>
            <w:pPr>
              <w:jc w:val="center"/>
              <w:rPr>
                <w:rFonts w:ascii="仿宋_GB2312" w:eastAsia="仿宋_GB2312"/>
                <w:sz w:val="22"/>
                <w:szCs w:val="22"/>
              </w:rPr>
            </w:pPr>
            <w:r>
              <w:rPr>
                <w:rFonts w:hint="eastAsia" w:ascii="仿宋_GB2312" w:hAnsi="宋体" w:eastAsia="仿宋_GB2312" w:cs="宋体"/>
                <w:color w:val="000000"/>
                <w:kern w:val="0"/>
                <w:sz w:val="22"/>
                <w:szCs w:val="22"/>
              </w:rPr>
              <w:t>级</w:t>
            </w:r>
          </w:p>
        </w:tc>
        <w:tc>
          <w:tcPr>
            <w:tcW w:w="1367" w:type="dxa"/>
            <w:gridSpan w:val="2"/>
            <w:tcBorders>
              <w:top w:val="single" w:color="auto" w:sz="4" w:space="0"/>
              <w:left w:val="single" w:color="auto" w:sz="4" w:space="0"/>
              <w:bottom w:val="single" w:color="auto" w:sz="4" w:space="0"/>
              <w:right w:val="single" w:color="auto" w:sz="4" w:space="0"/>
            </w:tcBorders>
            <w:shd w:val="clear" w:color="auto" w:fill="auto"/>
          </w:tcPr>
          <w:p>
            <w:pPr>
              <w:jc w:val="center"/>
              <w:rPr>
                <w:rFonts w:ascii="仿宋_GB2312" w:eastAsia="仿宋_GB2312"/>
                <w:sz w:val="22"/>
                <w:szCs w:val="22"/>
              </w:rPr>
            </w:pPr>
            <w:r>
              <w:rPr>
                <w:rFonts w:hint="eastAsia" w:ascii="仿宋_GB2312" w:eastAsia="仿宋_GB2312"/>
                <w:color w:val="000000"/>
                <w:sz w:val="22"/>
                <w:szCs w:val="22"/>
              </w:rPr>
              <w:t>优</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3.5</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3</w:t>
            </w:r>
          </w:p>
        </w:tc>
        <w:tc>
          <w:tcPr>
            <w:tcW w:w="170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p>
        </w:tc>
      </w:tr>
      <w:tr>
        <w:tblPrEx>
          <w:tblCellMar>
            <w:top w:w="0" w:type="dxa"/>
            <w:left w:w="108" w:type="dxa"/>
            <w:bottom w:w="0" w:type="dxa"/>
            <w:right w:w="108" w:type="dxa"/>
          </w:tblCellMar>
        </w:tblPrEx>
        <w:trPr>
          <w:trHeight w:val="338"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3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p>
        </w:tc>
        <w:tc>
          <w:tcPr>
            <w:tcW w:w="112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p>
        </w:tc>
        <w:tc>
          <w:tcPr>
            <w:tcW w:w="269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仿宋_GB2312" w:eastAsia="仿宋_GB2312"/>
                <w:sz w:val="22"/>
                <w:szCs w:val="22"/>
              </w:rPr>
            </w:pPr>
            <w:r>
              <w:rPr>
                <w:rFonts w:hint="eastAsia" w:ascii="仿宋_GB2312" w:eastAsia="仿宋_GB2312"/>
                <w:sz w:val="22"/>
                <w:szCs w:val="22"/>
              </w:rPr>
              <w:t>队伍素质和装备配置水平</w:t>
            </w:r>
          </w:p>
        </w:tc>
        <w:tc>
          <w:tcPr>
            <w:tcW w:w="113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定性</w:t>
            </w:r>
          </w:p>
        </w:tc>
        <w:tc>
          <w:tcPr>
            <w:tcW w:w="850" w:type="dxa"/>
            <w:tcBorders>
              <w:top w:val="single" w:color="auto" w:sz="4" w:space="0"/>
              <w:left w:val="single" w:color="auto" w:sz="4" w:space="0"/>
              <w:bottom w:val="single" w:color="auto" w:sz="4" w:space="0"/>
              <w:right w:val="single" w:color="auto" w:sz="4" w:space="0"/>
            </w:tcBorders>
            <w:shd w:val="clear" w:color="auto" w:fill="auto"/>
          </w:tcPr>
          <w:p>
            <w:pPr>
              <w:jc w:val="center"/>
              <w:rPr>
                <w:rFonts w:ascii="仿宋_GB2312" w:eastAsia="仿宋_GB2312"/>
                <w:sz w:val="22"/>
                <w:szCs w:val="22"/>
              </w:rPr>
            </w:pPr>
            <w:r>
              <w:rPr>
                <w:rFonts w:hint="eastAsia" w:ascii="仿宋_GB2312" w:eastAsia="仿宋_GB2312"/>
                <w:color w:val="000000"/>
                <w:sz w:val="22"/>
                <w:szCs w:val="22"/>
              </w:rPr>
              <w:t>优</w:t>
            </w:r>
          </w:p>
        </w:tc>
        <w:tc>
          <w:tcPr>
            <w:tcW w:w="901" w:type="dxa"/>
            <w:gridSpan w:val="2"/>
            <w:tcBorders>
              <w:top w:val="single" w:color="auto" w:sz="4" w:space="0"/>
              <w:left w:val="single" w:color="auto" w:sz="4" w:space="0"/>
              <w:bottom w:val="single" w:color="auto" w:sz="4" w:space="0"/>
              <w:right w:val="single" w:color="auto" w:sz="4" w:space="0"/>
            </w:tcBorders>
            <w:shd w:val="clear" w:color="auto" w:fill="auto"/>
          </w:tcPr>
          <w:p>
            <w:pPr>
              <w:jc w:val="center"/>
              <w:rPr>
                <w:rFonts w:ascii="仿宋_GB2312" w:eastAsia="仿宋_GB2312"/>
                <w:sz w:val="22"/>
                <w:szCs w:val="22"/>
              </w:rPr>
            </w:pPr>
            <w:r>
              <w:rPr>
                <w:rFonts w:hint="eastAsia" w:ascii="仿宋_GB2312" w:hAnsi="宋体" w:eastAsia="仿宋_GB2312" w:cs="宋体"/>
                <w:color w:val="000000"/>
                <w:kern w:val="0"/>
                <w:sz w:val="22"/>
                <w:szCs w:val="22"/>
              </w:rPr>
              <w:t>级</w:t>
            </w:r>
          </w:p>
        </w:tc>
        <w:tc>
          <w:tcPr>
            <w:tcW w:w="1367" w:type="dxa"/>
            <w:gridSpan w:val="2"/>
            <w:tcBorders>
              <w:top w:val="single" w:color="auto" w:sz="4" w:space="0"/>
              <w:left w:val="single" w:color="auto" w:sz="4" w:space="0"/>
              <w:bottom w:val="single" w:color="auto" w:sz="4" w:space="0"/>
              <w:right w:val="single" w:color="auto" w:sz="4" w:space="0"/>
            </w:tcBorders>
            <w:shd w:val="clear" w:color="auto" w:fill="auto"/>
          </w:tcPr>
          <w:p>
            <w:pPr>
              <w:jc w:val="center"/>
              <w:rPr>
                <w:rFonts w:ascii="仿宋_GB2312" w:eastAsia="仿宋_GB2312"/>
                <w:sz w:val="22"/>
                <w:szCs w:val="22"/>
              </w:rPr>
            </w:pPr>
            <w:r>
              <w:rPr>
                <w:rFonts w:hint="eastAsia" w:ascii="仿宋_GB2312" w:eastAsia="仿宋_GB2312"/>
                <w:color w:val="000000"/>
                <w:sz w:val="22"/>
                <w:szCs w:val="22"/>
              </w:rPr>
              <w:t>优</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3.5</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3</w:t>
            </w:r>
          </w:p>
        </w:tc>
        <w:tc>
          <w:tcPr>
            <w:tcW w:w="170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p>
        </w:tc>
      </w:tr>
      <w:tr>
        <w:tblPrEx>
          <w:tblCellMar>
            <w:top w:w="0" w:type="dxa"/>
            <w:left w:w="108" w:type="dxa"/>
            <w:bottom w:w="0" w:type="dxa"/>
            <w:right w:w="108" w:type="dxa"/>
          </w:tblCellMar>
        </w:tblPrEx>
        <w:trPr>
          <w:trHeight w:val="338"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3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满意度指标</w:t>
            </w:r>
          </w:p>
        </w:tc>
        <w:tc>
          <w:tcPr>
            <w:tcW w:w="112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eastAsia="仿宋_GB2312"/>
                <w:sz w:val="22"/>
                <w:szCs w:val="22"/>
              </w:rPr>
            </w:pPr>
            <w:r>
              <w:rPr>
                <w:rFonts w:hint="eastAsia" w:ascii="仿宋_GB2312" w:eastAsia="仿宋_GB2312"/>
                <w:sz w:val="22"/>
                <w:szCs w:val="22"/>
              </w:rPr>
              <w:t>服务对象</w:t>
            </w:r>
            <w:r>
              <w:rPr>
                <w:rFonts w:hint="eastAsia" w:ascii="仿宋_GB2312" w:eastAsia="仿宋_GB2312"/>
                <w:sz w:val="22"/>
                <w:szCs w:val="22"/>
              </w:rPr>
              <w:br w:type="textWrapping"/>
            </w:r>
            <w:r>
              <w:rPr>
                <w:rFonts w:hint="eastAsia" w:ascii="仿宋_GB2312" w:eastAsia="仿宋_GB2312"/>
                <w:sz w:val="22"/>
                <w:szCs w:val="22"/>
              </w:rPr>
              <w:t>满意度指标</w:t>
            </w:r>
          </w:p>
        </w:tc>
        <w:tc>
          <w:tcPr>
            <w:tcW w:w="2693"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仿宋_GB2312" w:eastAsia="仿宋_GB2312"/>
                <w:sz w:val="22"/>
                <w:szCs w:val="22"/>
              </w:rPr>
            </w:pPr>
            <w:r>
              <w:rPr>
                <w:rFonts w:hint="eastAsia" w:ascii="仿宋_GB2312" w:eastAsia="仿宋_GB2312"/>
                <w:sz w:val="22"/>
                <w:szCs w:val="22"/>
              </w:rPr>
              <w:t>社会公众对药品安全满意度</w:t>
            </w:r>
          </w:p>
        </w:tc>
        <w:tc>
          <w:tcPr>
            <w:tcW w:w="1134"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eastAsia="仿宋_GB2312"/>
                <w:sz w:val="22"/>
                <w:szCs w:val="22"/>
              </w:rPr>
            </w:pPr>
            <w:r>
              <w:rPr>
                <w:rFonts w:hint="eastAsia" w:ascii="仿宋_GB2312" w:eastAsia="仿宋_GB2312"/>
                <w:sz w:val="22"/>
                <w:szCs w:val="22"/>
              </w:rPr>
              <w:t>80</w:t>
            </w:r>
          </w:p>
        </w:tc>
        <w:tc>
          <w:tcPr>
            <w:tcW w:w="90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eastAsia="仿宋_GB2312"/>
                <w:sz w:val="22"/>
                <w:szCs w:val="22"/>
              </w:rPr>
              <w:t>%</w:t>
            </w:r>
          </w:p>
        </w:tc>
        <w:tc>
          <w:tcPr>
            <w:tcW w:w="136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82.93</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w:t>
            </w:r>
          </w:p>
        </w:tc>
        <w:tc>
          <w:tcPr>
            <w:tcW w:w="170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p>
        </w:tc>
      </w:tr>
      <w:tr>
        <w:tblPrEx>
          <w:tblCellMar>
            <w:top w:w="0" w:type="dxa"/>
            <w:left w:w="108" w:type="dxa"/>
            <w:bottom w:w="0" w:type="dxa"/>
            <w:right w:w="108" w:type="dxa"/>
          </w:tblCellMar>
        </w:tblPrEx>
        <w:trPr>
          <w:trHeight w:val="408" w:hRule="atLeast"/>
        </w:trPr>
        <w:tc>
          <w:tcPr>
            <w:tcW w:w="10788" w:type="dxa"/>
            <w:gridSpan w:val="11"/>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合计</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100</w:t>
            </w:r>
          </w:p>
        </w:tc>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94</w:t>
            </w:r>
          </w:p>
        </w:tc>
        <w:tc>
          <w:tcPr>
            <w:tcW w:w="170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p>
        </w:tc>
      </w:tr>
      <w:tr>
        <w:tblPrEx>
          <w:tblCellMar>
            <w:top w:w="0" w:type="dxa"/>
            <w:left w:w="108" w:type="dxa"/>
            <w:bottom w:w="0" w:type="dxa"/>
            <w:right w:w="108" w:type="dxa"/>
          </w:tblCellMar>
        </w:tblPrEx>
        <w:trPr>
          <w:trHeight w:val="604" w:hRule="atLeast"/>
        </w:trPr>
        <w:tc>
          <w:tcPr>
            <w:tcW w:w="67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评价结论</w:t>
            </w:r>
          </w:p>
        </w:tc>
        <w:tc>
          <w:tcPr>
            <w:tcW w:w="13228" w:type="dxa"/>
            <w:gridSpan w:val="13"/>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微软雅黑" w:eastAsia="仿宋_GB2312" w:cs="宋体"/>
                <w:iCs/>
                <w:color w:val="000000"/>
                <w:kern w:val="0"/>
                <w:sz w:val="22"/>
                <w:szCs w:val="22"/>
              </w:rPr>
            </w:pPr>
            <w:r>
              <w:rPr>
                <w:rFonts w:hint="eastAsia" w:ascii="仿宋_GB2312" w:hAnsi="宋体" w:eastAsia="仿宋_GB2312" w:cs="宋体"/>
                <w:color w:val="000000"/>
                <w:kern w:val="0"/>
                <w:sz w:val="22"/>
                <w:szCs w:val="22"/>
              </w:rPr>
              <w:t>通过食品药品监管补助资金</w:t>
            </w:r>
            <w:r>
              <w:rPr>
                <w:rFonts w:hint="eastAsia" w:ascii="仿宋_GB2312" w:hAnsi="微软雅黑" w:eastAsia="仿宋_GB2312" w:cs="宋体"/>
                <w:iCs/>
                <w:color w:val="000000"/>
                <w:kern w:val="0"/>
                <w:sz w:val="22"/>
                <w:szCs w:val="22"/>
              </w:rPr>
              <w:t>项目的实施，</w:t>
            </w:r>
            <w:r>
              <w:rPr>
                <w:rFonts w:hint="eastAsia" w:ascii="仿宋_GB2312" w:hAnsi="宋体" w:eastAsia="仿宋_GB2312" w:cs="宋体"/>
                <w:color w:val="000000"/>
                <w:kern w:val="0"/>
                <w:sz w:val="22"/>
                <w:szCs w:val="22"/>
              </w:rPr>
              <w:t>“两品一械”总体安全水平提升，“两品一械”安全科普知识宣传覆盖面拓宽，公众自我保护意识不断提高，假冒伪劣产品制售行为不断下降，药品、化妆品、医疗器械监管水平得到提升，队伍素质和装备配置水平有效提高，项目自评总分为94分。</w:t>
            </w:r>
          </w:p>
        </w:tc>
      </w:tr>
      <w:tr>
        <w:tblPrEx>
          <w:tblCellMar>
            <w:top w:w="0" w:type="dxa"/>
            <w:left w:w="108" w:type="dxa"/>
            <w:bottom w:w="0" w:type="dxa"/>
            <w:right w:w="108" w:type="dxa"/>
          </w:tblCellMar>
        </w:tblPrEx>
        <w:trPr>
          <w:trHeight w:val="574" w:hRule="atLeast"/>
        </w:trPr>
        <w:tc>
          <w:tcPr>
            <w:tcW w:w="679" w:type="dxa"/>
            <w:tcBorders>
              <w:top w:val="single" w:color="auto"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存在问题</w:t>
            </w:r>
          </w:p>
        </w:tc>
        <w:tc>
          <w:tcPr>
            <w:tcW w:w="13228" w:type="dxa"/>
            <w:gridSpan w:val="13"/>
            <w:tcBorders>
              <w:top w:val="single" w:color="auto" w:sz="4" w:space="0"/>
              <w:left w:val="nil"/>
              <w:bottom w:val="single" w:color="000000" w:sz="4" w:space="0"/>
              <w:right w:val="single" w:color="000000"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我单位辖区覆盖面广，职工少、任务重，加之绩效目标工作专业性强，导致我单位绩效目标设定不够科学，预算执行进度较慢。</w:t>
            </w:r>
          </w:p>
        </w:tc>
      </w:tr>
      <w:tr>
        <w:tblPrEx>
          <w:tblCellMar>
            <w:top w:w="0" w:type="dxa"/>
            <w:left w:w="108" w:type="dxa"/>
            <w:bottom w:w="0" w:type="dxa"/>
            <w:right w:w="108" w:type="dxa"/>
          </w:tblCellMar>
        </w:tblPrEx>
        <w:trPr>
          <w:trHeight w:val="634" w:hRule="atLeast"/>
        </w:trPr>
        <w:tc>
          <w:tcPr>
            <w:tcW w:w="679"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改进措施</w:t>
            </w:r>
          </w:p>
        </w:tc>
        <w:tc>
          <w:tcPr>
            <w:tcW w:w="13228" w:type="dxa"/>
            <w:gridSpan w:val="13"/>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仿宋_GB2312" w:hAnsi="微软雅黑" w:eastAsia="仿宋_GB2312" w:cs="宋体"/>
                <w:iCs/>
                <w:color w:val="000000"/>
                <w:kern w:val="0"/>
                <w:sz w:val="22"/>
                <w:szCs w:val="22"/>
              </w:rPr>
            </w:pPr>
            <w:r>
              <w:rPr>
                <w:rFonts w:hint="eastAsia" w:ascii="仿宋_GB2312" w:hAnsi="宋体" w:eastAsia="仿宋_GB2312" w:cs="宋体"/>
                <w:color w:val="000000"/>
                <w:kern w:val="0"/>
                <w:sz w:val="22"/>
                <w:szCs w:val="22"/>
              </w:rPr>
              <w:t>今后将加强与上级部门的沟通，进一步完善预算目标的设定方法和标准，确保目标设定的可操作性；同时做到早安排、早谋划，加强资金使用和绩效目标相结合，提高资金使用效率。</w:t>
            </w:r>
          </w:p>
        </w:tc>
      </w:tr>
      <w:tr>
        <w:tblPrEx>
          <w:tblCellMar>
            <w:top w:w="0" w:type="dxa"/>
            <w:left w:w="108" w:type="dxa"/>
            <w:bottom w:w="0" w:type="dxa"/>
            <w:right w:w="108" w:type="dxa"/>
          </w:tblCellMar>
        </w:tblPrEx>
        <w:trPr>
          <w:trHeight w:val="524" w:hRule="atLeast"/>
        </w:trPr>
        <w:tc>
          <w:tcPr>
            <w:tcW w:w="724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仿宋_GB2312" w:hAnsi="黑体" w:eastAsia="仿宋_GB2312" w:cs="宋体"/>
                <w:color w:val="000000"/>
                <w:kern w:val="0"/>
                <w:sz w:val="22"/>
                <w:szCs w:val="22"/>
              </w:rPr>
            </w:pPr>
            <w:r>
              <w:rPr>
                <w:rFonts w:hint="eastAsia" w:ascii="仿宋_GB2312" w:hAnsi="黑体" w:eastAsia="仿宋_GB2312" w:cs="宋体"/>
                <w:color w:val="000000"/>
                <w:kern w:val="0"/>
                <w:sz w:val="22"/>
                <w:szCs w:val="22"/>
              </w:rPr>
              <w:t>项目负责人：石坚</w:t>
            </w:r>
          </w:p>
        </w:tc>
        <w:tc>
          <w:tcPr>
            <w:tcW w:w="6667" w:type="dxa"/>
            <w:gridSpan w:val="9"/>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仿宋_GB2312" w:hAnsi="黑体" w:eastAsia="仿宋_GB2312" w:cs="宋体"/>
                <w:color w:val="000000"/>
                <w:kern w:val="0"/>
                <w:sz w:val="22"/>
                <w:szCs w:val="22"/>
              </w:rPr>
            </w:pPr>
            <w:r>
              <w:rPr>
                <w:rFonts w:hint="eastAsia" w:ascii="仿宋_GB2312" w:hAnsi="黑体" w:eastAsia="仿宋_GB2312" w:cs="宋体"/>
                <w:color w:val="000000"/>
                <w:kern w:val="0"/>
                <w:sz w:val="22"/>
                <w:szCs w:val="22"/>
              </w:rPr>
              <w:t>财务负责人：岳林</w:t>
            </w:r>
          </w:p>
        </w:tc>
      </w:tr>
    </w:tbl>
    <w:p>
      <w:pPr>
        <w:pStyle w:val="2"/>
        <w:spacing w:before="93"/>
      </w:pPr>
    </w:p>
    <w:p>
      <w:pPr>
        <w:pStyle w:val="2"/>
        <w:spacing w:before="93"/>
      </w:pPr>
    </w:p>
    <w:p>
      <w:pPr>
        <w:pStyle w:val="2"/>
        <w:spacing w:before="93"/>
        <w:rPr>
          <w:sz w:val="32"/>
          <w:szCs w:val="28"/>
        </w:rPr>
      </w:pPr>
      <w:r>
        <w:rPr>
          <w:rFonts w:hint="eastAsia"/>
          <w:sz w:val="32"/>
          <w:szCs w:val="28"/>
        </w:rPr>
        <w:t>附件12</w:t>
      </w:r>
    </w:p>
    <w:tbl>
      <w:tblPr>
        <w:tblStyle w:val="15"/>
        <w:tblW w:w="14140" w:type="dxa"/>
        <w:tblInd w:w="93" w:type="dxa"/>
        <w:tblLayout w:type="autofit"/>
        <w:tblCellMar>
          <w:top w:w="0" w:type="dxa"/>
          <w:left w:w="108" w:type="dxa"/>
          <w:bottom w:w="0" w:type="dxa"/>
          <w:right w:w="108" w:type="dxa"/>
        </w:tblCellMar>
      </w:tblPr>
      <w:tblGrid>
        <w:gridCol w:w="678"/>
        <w:gridCol w:w="1998"/>
        <w:gridCol w:w="1730"/>
        <w:gridCol w:w="2189"/>
        <w:gridCol w:w="513"/>
        <w:gridCol w:w="237"/>
        <w:gridCol w:w="1246"/>
        <w:gridCol w:w="667"/>
        <w:gridCol w:w="1095"/>
        <w:gridCol w:w="656"/>
        <w:gridCol w:w="656"/>
        <w:gridCol w:w="2475"/>
      </w:tblGrid>
      <w:tr>
        <w:tblPrEx>
          <w:tblCellMar>
            <w:top w:w="0" w:type="dxa"/>
            <w:left w:w="108" w:type="dxa"/>
            <w:bottom w:w="0" w:type="dxa"/>
            <w:right w:w="108" w:type="dxa"/>
          </w:tblCellMar>
        </w:tblPrEx>
        <w:trPr>
          <w:trHeight w:val="904" w:hRule="atLeast"/>
        </w:trPr>
        <w:tc>
          <w:tcPr>
            <w:tcW w:w="14140" w:type="dxa"/>
            <w:gridSpan w:val="1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 w:val="22"/>
                <w:szCs w:val="22"/>
              </w:rPr>
            </w:pPr>
            <w:r>
              <w:rPr>
                <w:rFonts w:hint="eastAsia" w:ascii="仿宋_GB2312" w:hAnsi="宋体" w:eastAsia="仿宋_GB2312" w:cs="宋体"/>
                <w:b/>
                <w:bCs/>
                <w:color w:val="000000"/>
                <w:kern w:val="0"/>
                <w:sz w:val="22"/>
                <w:szCs w:val="22"/>
              </w:rPr>
              <w:t>部门预算项目支出绩效自评表（2022年度）</w:t>
            </w:r>
          </w:p>
        </w:tc>
      </w:tr>
      <w:tr>
        <w:tblPrEx>
          <w:tblCellMar>
            <w:top w:w="0" w:type="dxa"/>
            <w:left w:w="108" w:type="dxa"/>
            <w:bottom w:w="0" w:type="dxa"/>
            <w:right w:w="108" w:type="dxa"/>
          </w:tblCellMar>
        </w:tblPrEx>
        <w:trPr>
          <w:trHeight w:val="569" w:hRule="atLeast"/>
        </w:trPr>
        <w:tc>
          <w:tcPr>
            <w:tcW w:w="2676"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项目名称</w:t>
            </w:r>
          </w:p>
        </w:tc>
        <w:tc>
          <w:tcPr>
            <w:tcW w:w="11464" w:type="dxa"/>
            <w:gridSpan w:val="10"/>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51080022T000005716592-人员经费（结转）</w:t>
            </w:r>
          </w:p>
        </w:tc>
      </w:tr>
      <w:tr>
        <w:tblPrEx>
          <w:tblCellMar>
            <w:top w:w="0" w:type="dxa"/>
            <w:left w:w="108" w:type="dxa"/>
            <w:bottom w:w="0" w:type="dxa"/>
            <w:right w:w="108" w:type="dxa"/>
          </w:tblCellMar>
        </w:tblPrEx>
        <w:trPr>
          <w:trHeight w:val="514" w:hRule="atLeast"/>
        </w:trPr>
        <w:tc>
          <w:tcPr>
            <w:tcW w:w="2676"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主管部门</w:t>
            </w:r>
          </w:p>
        </w:tc>
        <w:tc>
          <w:tcPr>
            <w:tcW w:w="6582" w:type="dxa"/>
            <w:gridSpan w:val="6"/>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广元市市场监督管理局部门</w:t>
            </w:r>
          </w:p>
        </w:tc>
        <w:tc>
          <w:tcPr>
            <w:tcW w:w="109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黑体" w:eastAsia="仿宋_GB2312" w:cs="宋体"/>
                <w:color w:val="000000"/>
                <w:kern w:val="0"/>
                <w:sz w:val="22"/>
                <w:szCs w:val="22"/>
              </w:rPr>
            </w:pPr>
            <w:r>
              <w:rPr>
                <w:rFonts w:hint="eastAsia" w:ascii="仿宋_GB2312" w:hAnsi="黑体" w:eastAsia="仿宋_GB2312" w:cs="宋体"/>
                <w:color w:val="000000"/>
                <w:kern w:val="0"/>
                <w:sz w:val="22"/>
                <w:szCs w:val="22"/>
              </w:rPr>
              <w:t>实施单位（盖章）</w:t>
            </w:r>
          </w:p>
        </w:tc>
        <w:tc>
          <w:tcPr>
            <w:tcW w:w="3787"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广元市市场监督管理局广元经开区分局</w:t>
            </w:r>
          </w:p>
        </w:tc>
      </w:tr>
      <w:tr>
        <w:tblPrEx>
          <w:tblCellMar>
            <w:top w:w="0" w:type="dxa"/>
            <w:left w:w="108" w:type="dxa"/>
            <w:bottom w:w="0" w:type="dxa"/>
            <w:right w:w="108" w:type="dxa"/>
          </w:tblCellMar>
        </w:tblPrEx>
        <w:trPr>
          <w:trHeight w:val="285" w:hRule="atLeast"/>
        </w:trPr>
        <w:tc>
          <w:tcPr>
            <w:tcW w:w="67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项目基本情况</w:t>
            </w:r>
          </w:p>
        </w:tc>
        <w:tc>
          <w:tcPr>
            <w:tcW w:w="199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1.项目年度目标完成情况</w:t>
            </w:r>
          </w:p>
        </w:tc>
        <w:tc>
          <w:tcPr>
            <w:tcW w:w="6582" w:type="dxa"/>
            <w:gridSpan w:val="6"/>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项目年度目标</w:t>
            </w:r>
          </w:p>
        </w:tc>
        <w:tc>
          <w:tcPr>
            <w:tcW w:w="4882"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黑体" w:eastAsia="仿宋_GB2312" w:cs="宋体"/>
                <w:color w:val="000000"/>
                <w:kern w:val="0"/>
                <w:sz w:val="22"/>
                <w:szCs w:val="22"/>
              </w:rPr>
            </w:pPr>
            <w:r>
              <w:rPr>
                <w:rFonts w:hint="eastAsia" w:ascii="仿宋_GB2312" w:hAnsi="黑体" w:eastAsia="仿宋_GB2312" w:cs="宋体"/>
                <w:color w:val="000000"/>
                <w:kern w:val="0"/>
                <w:sz w:val="22"/>
                <w:szCs w:val="22"/>
              </w:rPr>
              <w:t>年度目标完成情况</w:t>
            </w:r>
          </w:p>
        </w:tc>
      </w:tr>
      <w:tr>
        <w:tblPrEx>
          <w:tblCellMar>
            <w:top w:w="0" w:type="dxa"/>
            <w:left w:w="108" w:type="dxa"/>
            <w:bottom w:w="0" w:type="dxa"/>
            <w:right w:w="108" w:type="dxa"/>
          </w:tblCellMar>
        </w:tblPrEx>
        <w:trPr>
          <w:trHeight w:val="709" w:hRule="atLeast"/>
        </w:trPr>
        <w:tc>
          <w:tcPr>
            <w:tcW w:w="67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199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6582" w:type="dxa"/>
            <w:gridSpan w:val="6"/>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保障单位日常运转，提高预算编制质量，严格执行预算。</w:t>
            </w:r>
          </w:p>
        </w:tc>
        <w:tc>
          <w:tcPr>
            <w:tcW w:w="4882"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黑体" w:eastAsia="仿宋_GB2312" w:cs="宋体"/>
                <w:color w:val="000000"/>
                <w:kern w:val="0"/>
                <w:sz w:val="22"/>
                <w:szCs w:val="22"/>
              </w:rPr>
            </w:pPr>
            <w:r>
              <w:rPr>
                <w:rFonts w:hint="eastAsia" w:ascii="仿宋_GB2312" w:hAnsi="黑体" w:eastAsia="仿宋_GB2312" w:cs="宋体"/>
                <w:color w:val="000000"/>
                <w:kern w:val="0"/>
                <w:sz w:val="22"/>
                <w:szCs w:val="22"/>
              </w:rPr>
              <w:t>保障了人员工资、保险、绩效及时足额发放。</w:t>
            </w:r>
          </w:p>
        </w:tc>
      </w:tr>
      <w:tr>
        <w:tblPrEx>
          <w:tblCellMar>
            <w:top w:w="0" w:type="dxa"/>
            <w:left w:w="108" w:type="dxa"/>
            <w:bottom w:w="0" w:type="dxa"/>
            <w:right w:w="108" w:type="dxa"/>
          </w:tblCellMar>
        </w:tblPrEx>
        <w:trPr>
          <w:trHeight w:val="694" w:hRule="atLeast"/>
        </w:trPr>
        <w:tc>
          <w:tcPr>
            <w:tcW w:w="67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199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2.项目实施内容及过程概述</w:t>
            </w:r>
          </w:p>
        </w:tc>
        <w:tc>
          <w:tcPr>
            <w:tcW w:w="11464" w:type="dxa"/>
            <w:gridSpan w:val="10"/>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“人员经费（结转）”项目由财务股负责组织实施，通过制定专项工作计划方案、确定工作目标、明确组织实施措施和策略，有效地指导工作的正常有序开展。</w:t>
            </w:r>
          </w:p>
        </w:tc>
      </w:tr>
      <w:tr>
        <w:tblPrEx>
          <w:tblCellMar>
            <w:top w:w="0" w:type="dxa"/>
            <w:left w:w="108" w:type="dxa"/>
            <w:bottom w:w="0" w:type="dxa"/>
            <w:right w:w="108" w:type="dxa"/>
          </w:tblCellMar>
        </w:tblPrEx>
        <w:trPr>
          <w:trHeight w:val="360" w:hRule="atLeast"/>
        </w:trPr>
        <w:tc>
          <w:tcPr>
            <w:tcW w:w="67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预算执行情况（10分）</w:t>
            </w:r>
          </w:p>
        </w:tc>
        <w:tc>
          <w:tcPr>
            <w:tcW w:w="199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年度预算数（万元）</w:t>
            </w:r>
          </w:p>
        </w:tc>
        <w:tc>
          <w:tcPr>
            <w:tcW w:w="17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年初预算</w:t>
            </w:r>
          </w:p>
        </w:tc>
        <w:tc>
          <w:tcPr>
            <w:tcW w:w="218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调整后预算数</w:t>
            </w:r>
          </w:p>
        </w:tc>
        <w:tc>
          <w:tcPr>
            <w:tcW w:w="2663"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预算执行数</w:t>
            </w:r>
          </w:p>
        </w:tc>
        <w:tc>
          <w:tcPr>
            <w:tcW w:w="109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预算执行率</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权重</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得分</w:t>
            </w:r>
          </w:p>
        </w:tc>
        <w:tc>
          <w:tcPr>
            <w:tcW w:w="247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原因</w:t>
            </w:r>
          </w:p>
        </w:tc>
      </w:tr>
      <w:tr>
        <w:tblPrEx>
          <w:tblCellMar>
            <w:top w:w="0" w:type="dxa"/>
            <w:left w:w="108" w:type="dxa"/>
            <w:bottom w:w="0" w:type="dxa"/>
            <w:right w:w="108" w:type="dxa"/>
          </w:tblCellMar>
        </w:tblPrEx>
        <w:trPr>
          <w:trHeight w:val="387" w:hRule="atLeast"/>
        </w:trPr>
        <w:tc>
          <w:tcPr>
            <w:tcW w:w="67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199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总额</w:t>
            </w:r>
          </w:p>
        </w:tc>
        <w:tc>
          <w:tcPr>
            <w:tcW w:w="17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2.19</w:t>
            </w:r>
          </w:p>
        </w:tc>
        <w:tc>
          <w:tcPr>
            <w:tcW w:w="218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2.19</w:t>
            </w:r>
          </w:p>
        </w:tc>
        <w:tc>
          <w:tcPr>
            <w:tcW w:w="2663"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2.19</w:t>
            </w:r>
          </w:p>
        </w:tc>
        <w:tc>
          <w:tcPr>
            <w:tcW w:w="109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100.00%</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　</w:t>
            </w:r>
          </w:p>
        </w:tc>
        <w:tc>
          <w:tcPr>
            <w:tcW w:w="247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黑体" w:eastAsia="仿宋_GB2312" w:cs="宋体"/>
                <w:iCs/>
                <w:color w:val="000000"/>
                <w:kern w:val="0"/>
                <w:sz w:val="22"/>
                <w:szCs w:val="22"/>
              </w:rPr>
            </w:pPr>
            <w:r>
              <w:rPr>
                <w:rFonts w:hint="eastAsia" w:ascii="仿宋_GB2312" w:hAnsi="黑体" w:eastAsia="仿宋_GB2312" w:cs="宋体"/>
                <w:iCs/>
                <w:color w:val="000000"/>
                <w:kern w:val="0"/>
                <w:sz w:val="22"/>
                <w:szCs w:val="22"/>
              </w:rPr>
              <w:t>无。</w:t>
            </w:r>
          </w:p>
        </w:tc>
      </w:tr>
      <w:tr>
        <w:tblPrEx>
          <w:tblCellMar>
            <w:top w:w="0" w:type="dxa"/>
            <w:left w:w="108" w:type="dxa"/>
            <w:bottom w:w="0" w:type="dxa"/>
            <w:right w:w="108" w:type="dxa"/>
          </w:tblCellMar>
        </w:tblPrEx>
        <w:trPr>
          <w:trHeight w:val="432" w:hRule="atLeast"/>
        </w:trPr>
        <w:tc>
          <w:tcPr>
            <w:tcW w:w="67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199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其中：财政资金</w:t>
            </w:r>
          </w:p>
        </w:tc>
        <w:tc>
          <w:tcPr>
            <w:tcW w:w="17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2.19</w:t>
            </w:r>
          </w:p>
        </w:tc>
        <w:tc>
          <w:tcPr>
            <w:tcW w:w="218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2.19</w:t>
            </w:r>
          </w:p>
        </w:tc>
        <w:tc>
          <w:tcPr>
            <w:tcW w:w="2663"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2.19</w:t>
            </w:r>
          </w:p>
        </w:tc>
        <w:tc>
          <w:tcPr>
            <w:tcW w:w="109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100.00%</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247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黑体" w:eastAsia="仿宋_GB2312" w:cs="宋体"/>
                <w:iCs/>
                <w:color w:val="000000"/>
                <w:kern w:val="0"/>
                <w:sz w:val="22"/>
                <w:szCs w:val="22"/>
              </w:rPr>
            </w:pPr>
          </w:p>
        </w:tc>
      </w:tr>
      <w:tr>
        <w:tblPrEx>
          <w:tblCellMar>
            <w:top w:w="0" w:type="dxa"/>
            <w:left w:w="108" w:type="dxa"/>
            <w:bottom w:w="0" w:type="dxa"/>
            <w:right w:w="108" w:type="dxa"/>
          </w:tblCellMar>
        </w:tblPrEx>
        <w:trPr>
          <w:trHeight w:val="447" w:hRule="atLeast"/>
        </w:trPr>
        <w:tc>
          <w:tcPr>
            <w:tcW w:w="67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199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财政专户管理资金</w:t>
            </w:r>
          </w:p>
        </w:tc>
        <w:tc>
          <w:tcPr>
            <w:tcW w:w="17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0.00</w:t>
            </w:r>
          </w:p>
        </w:tc>
        <w:tc>
          <w:tcPr>
            <w:tcW w:w="218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0.00</w:t>
            </w:r>
          </w:p>
        </w:tc>
        <w:tc>
          <w:tcPr>
            <w:tcW w:w="2663"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0.00</w:t>
            </w:r>
          </w:p>
        </w:tc>
        <w:tc>
          <w:tcPr>
            <w:tcW w:w="109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0.00%</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247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黑体" w:eastAsia="仿宋_GB2312" w:cs="宋体"/>
                <w:iCs/>
                <w:color w:val="000000"/>
                <w:kern w:val="0"/>
                <w:sz w:val="22"/>
                <w:szCs w:val="22"/>
              </w:rPr>
            </w:pPr>
          </w:p>
        </w:tc>
      </w:tr>
      <w:tr>
        <w:tblPrEx>
          <w:tblCellMar>
            <w:top w:w="0" w:type="dxa"/>
            <w:left w:w="108" w:type="dxa"/>
            <w:bottom w:w="0" w:type="dxa"/>
            <w:right w:w="108" w:type="dxa"/>
          </w:tblCellMar>
        </w:tblPrEx>
        <w:trPr>
          <w:trHeight w:val="402" w:hRule="atLeast"/>
        </w:trPr>
        <w:tc>
          <w:tcPr>
            <w:tcW w:w="67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199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单位资金</w:t>
            </w:r>
          </w:p>
        </w:tc>
        <w:tc>
          <w:tcPr>
            <w:tcW w:w="17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0.00</w:t>
            </w:r>
          </w:p>
        </w:tc>
        <w:tc>
          <w:tcPr>
            <w:tcW w:w="218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0.00</w:t>
            </w:r>
          </w:p>
        </w:tc>
        <w:tc>
          <w:tcPr>
            <w:tcW w:w="2663"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0.00</w:t>
            </w:r>
          </w:p>
        </w:tc>
        <w:tc>
          <w:tcPr>
            <w:tcW w:w="109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0.00%</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247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黑体" w:eastAsia="仿宋_GB2312" w:cs="宋体"/>
                <w:iCs/>
                <w:color w:val="000000"/>
                <w:kern w:val="0"/>
                <w:sz w:val="22"/>
                <w:szCs w:val="22"/>
              </w:rPr>
            </w:pPr>
          </w:p>
        </w:tc>
      </w:tr>
      <w:tr>
        <w:tblPrEx>
          <w:tblCellMar>
            <w:top w:w="0" w:type="dxa"/>
            <w:left w:w="108" w:type="dxa"/>
            <w:bottom w:w="0" w:type="dxa"/>
            <w:right w:w="108" w:type="dxa"/>
          </w:tblCellMar>
        </w:tblPrEx>
        <w:trPr>
          <w:trHeight w:val="379" w:hRule="atLeast"/>
        </w:trPr>
        <w:tc>
          <w:tcPr>
            <w:tcW w:w="67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199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其他资金</w:t>
            </w:r>
          </w:p>
        </w:tc>
        <w:tc>
          <w:tcPr>
            <w:tcW w:w="17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c>
          <w:tcPr>
            <w:tcW w:w="218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c>
          <w:tcPr>
            <w:tcW w:w="2663"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c>
          <w:tcPr>
            <w:tcW w:w="109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247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黑体" w:eastAsia="仿宋_GB2312" w:cs="宋体"/>
                <w:iCs/>
                <w:color w:val="000000"/>
                <w:kern w:val="0"/>
                <w:sz w:val="22"/>
                <w:szCs w:val="22"/>
              </w:rPr>
            </w:pPr>
          </w:p>
        </w:tc>
      </w:tr>
      <w:tr>
        <w:tblPrEx>
          <w:tblCellMar>
            <w:top w:w="0" w:type="dxa"/>
            <w:left w:w="108" w:type="dxa"/>
            <w:bottom w:w="0" w:type="dxa"/>
            <w:right w:w="108" w:type="dxa"/>
          </w:tblCellMar>
        </w:tblPrEx>
        <w:trPr>
          <w:trHeight w:val="454" w:hRule="atLeast"/>
        </w:trPr>
        <w:tc>
          <w:tcPr>
            <w:tcW w:w="67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绩效指标（90分）</w:t>
            </w:r>
          </w:p>
        </w:tc>
        <w:tc>
          <w:tcPr>
            <w:tcW w:w="199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一级指标</w:t>
            </w:r>
          </w:p>
        </w:tc>
        <w:tc>
          <w:tcPr>
            <w:tcW w:w="17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二级指标</w:t>
            </w:r>
          </w:p>
        </w:tc>
        <w:tc>
          <w:tcPr>
            <w:tcW w:w="218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三级指标</w:t>
            </w:r>
          </w:p>
        </w:tc>
        <w:tc>
          <w:tcPr>
            <w:tcW w:w="75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指标性质</w:t>
            </w:r>
          </w:p>
        </w:tc>
        <w:tc>
          <w:tcPr>
            <w:tcW w:w="124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指标值</w:t>
            </w:r>
          </w:p>
        </w:tc>
        <w:tc>
          <w:tcPr>
            <w:tcW w:w="66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度量单位</w:t>
            </w:r>
          </w:p>
        </w:tc>
        <w:tc>
          <w:tcPr>
            <w:tcW w:w="109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完成值</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权重</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得分</w:t>
            </w:r>
          </w:p>
        </w:tc>
        <w:tc>
          <w:tcPr>
            <w:tcW w:w="247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未完成原因分析</w:t>
            </w:r>
          </w:p>
        </w:tc>
      </w:tr>
      <w:tr>
        <w:tblPrEx>
          <w:tblCellMar>
            <w:top w:w="0" w:type="dxa"/>
            <w:left w:w="108" w:type="dxa"/>
            <w:bottom w:w="0" w:type="dxa"/>
            <w:right w:w="108" w:type="dxa"/>
          </w:tblCellMar>
        </w:tblPrEx>
        <w:trPr>
          <w:trHeight w:val="488" w:hRule="atLeast"/>
        </w:trPr>
        <w:tc>
          <w:tcPr>
            <w:tcW w:w="67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199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产出指标</w:t>
            </w:r>
          </w:p>
        </w:tc>
        <w:tc>
          <w:tcPr>
            <w:tcW w:w="173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数量指标</w:t>
            </w:r>
          </w:p>
        </w:tc>
        <w:tc>
          <w:tcPr>
            <w:tcW w:w="218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足额保障率</w:t>
            </w:r>
          </w:p>
        </w:tc>
        <w:tc>
          <w:tcPr>
            <w:tcW w:w="75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124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100</w:t>
            </w:r>
          </w:p>
        </w:tc>
        <w:tc>
          <w:tcPr>
            <w:tcW w:w="66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109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100</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22.5</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22.5</w:t>
            </w:r>
          </w:p>
        </w:tc>
        <w:tc>
          <w:tcPr>
            <w:tcW w:w="247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p>
        </w:tc>
      </w:tr>
      <w:tr>
        <w:tblPrEx>
          <w:tblCellMar>
            <w:top w:w="0" w:type="dxa"/>
            <w:left w:w="108" w:type="dxa"/>
            <w:bottom w:w="0" w:type="dxa"/>
            <w:right w:w="108" w:type="dxa"/>
          </w:tblCellMar>
        </w:tblPrEx>
        <w:trPr>
          <w:trHeight w:val="488" w:hRule="atLeast"/>
        </w:trPr>
        <w:tc>
          <w:tcPr>
            <w:tcW w:w="678" w:type="dxa"/>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1998"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p>
        </w:tc>
        <w:tc>
          <w:tcPr>
            <w:tcW w:w="173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p>
        </w:tc>
        <w:tc>
          <w:tcPr>
            <w:tcW w:w="218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科目调整次数</w:t>
            </w:r>
          </w:p>
        </w:tc>
        <w:tc>
          <w:tcPr>
            <w:tcW w:w="75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124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w:t>
            </w:r>
          </w:p>
        </w:tc>
        <w:tc>
          <w:tcPr>
            <w:tcW w:w="66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次</w:t>
            </w:r>
          </w:p>
        </w:tc>
        <w:tc>
          <w:tcPr>
            <w:tcW w:w="109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0</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22.5</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22.5</w:t>
            </w:r>
          </w:p>
        </w:tc>
        <w:tc>
          <w:tcPr>
            <w:tcW w:w="247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p>
        </w:tc>
      </w:tr>
      <w:tr>
        <w:tblPrEx>
          <w:tblCellMar>
            <w:top w:w="0" w:type="dxa"/>
            <w:left w:w="108" w:type="dxa"/>
            <w:bottom w:w="0" w:type="dxa"/>
            <w:right w:w="108" w:type="dxa"/>
          </w:tblCellMar>
        </w:tblPrEx>
        <w:trPr>
          <w:trHeight w:val="488" w:hRule="atLeast"/>
        </w:trPr>
        <w:tc>
          <w:tcPr>
            <w:tcW w:w="678" w:type="dxa"/>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1998"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p>
        </w:tc>
        <w:tc>
          <w:tcPr>
            <w:tcW w:w="17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时效指标</w:t>
            </w:r>
          </w:p>
        </w:tc>
        <w:tc>
          <w:tcPr>
            <w:tcW w:w="218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按时发放率</w:t>
            </w:r>
          </w:p>
        </w:tc>
        <w:tc>
          <w:tcPr>
            <w:tcW w:w="75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124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100</w:t>
            </w:r>
          </w:p>
        </w:tc>
        <w:tc>
          <w:tcPr>
            <w:tcW w:w="66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109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100</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22.5</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22.5</w:t>
            </w:r>
          </w:p>
        </w:tc>
        <w:tc>
          <w:tcPr>
            <w:tcW w:w="247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p>
        </w:tc>
      </w:tr>
      <w:tr>
        <w:tblPrEx>
          <w:tblCellMar>
            <w:top w:w="0" w:type="dxa"/>
            <w:left w:w="108" w:type="dxa"/>
            <w:bottom w:w="0" w:type="dxa"/>
            <w:right w:w="108" w:type="dxa"/>
          </w:tblCellMar>
        </w:tblPrEx>
        <w:trPr>
          <w:trHeight w:val="488" w:hRule="atLeast"/>
        </w:trPr>
        <w:tc>
          <w:tcPr>
            <w:tcW w:w="678" w:type="dxa"/>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199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效益指标</w:t>
            </w:r>
          </w:p>
        </w:tc>
        <w:tc>
          <w:tcPr>
            <w:tcW w:w="17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经济效益指标</w:t>
            </w:r>
          </w:p>
        </w:tc>
        <w:tc>
          <w:tcPr>
            <w:tcW w:w="218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结余率（计算方法为：结余数/预算数）</w:t>
            </w:r>
          </w:p>
        </w:tc>
        <w:tc>
          <w:tcPr>
            <w:tcW w:w="75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124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5</w:t>
            </w:r>
          </w:p>
        </w:tc>
        <w:tc>
          <w:tcPr>
            <w:tcW w:w="66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109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0</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22.5</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22.5</w:t>
            </w:r>
          </w:p>
        </w:tc>
        <w:tc>
          <w:tcPr>
            <w:tcW w:w="247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p>
        </w:tc>
      </w:tr>
      <w:tr>
        <w:tblPrEx>
          <w:tblCellMar>
            <w:top w:w="0" w:type="dxa"/>
            <w:left w:w="108" w:type="dxa"/>
            <w:bottom w:w="0" w:type="dxa"/>
            <w:right w:w="108" w:type="dxa"/>
          </w:tblCellMar>
        </w:tblPrEx>
        <w:trPr>
          <w:trHeight w:val="285" w:hRule="atLeast"/>
        </w:trPr>
        <w:tc>
          <w:tcPr>
            <w:tcW w:w="10353" w:type="dxa"/>
            <w:gridSpan w:val="9"/>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合计</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100</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100</w:t>
            </w:r>
          </w:p>
        </w:tc>
        <w:tc>
          <w:tcPr>
            <w:tcW w:w="247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　</w:t>
            </w:r>
          </w:p>
        </w:tc>
      </w:tr>
      <w:tr>
        <w:tblPrEx>
          <w:tblCellMar>
            <w:top w:w="0" w:type="dxa"/>
            <w:left w:w="108" w:type="dxa"/>
            <w:bottom w:w="0" w:type="dxa"/>
            <w:right w:w="108" w:type="dxa"/>
          </w:tblCellMar>
        </w:tblPrEx>
        <w:trPr>
          <w:trHeight w:val="604" w:hRule="atLeast"/>
        </w:trPr>
        <w:tc>
          <w:tcPr>
            <w:tcW w:w="67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评价结论</w:t>
            </w:r>
          </w:p>
        </w:tc>
        <w:tc>
          <w:tcPr>
            <w:tcW w:w="13462" w:type="dxa"/>
            <w:gridSpan w:val="11"/>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微软雅黑" w:eastAsia="仿宋_GB2312" w:cs="宋体"/>
                <w:iCs/>
                <w:color w:val="000000"/>
                <w:kern w:val="0"/>
                <w:sz w:val="22"/>
                <w:szCs w:val="22"/>
              </w:rPr>
            </w:pPr>
            <w:r>
              <w:rPr>
                <w:rFonts w:hint="eastAsia" w:ascii="仿宋_GB2312" w:hAnsi="黑体" w:eastAsia="仿宋_GB2312" w:cs="宋体"/>
                <w:color w:val="000000"/>
                <w:kern w:val="0"/>
                <w:sz w:val="22"/>
                <w:szCs w:val="22"/>
              </w:rPr>
              <w:t>保障了人员工资、保险、绩效及时足额发放，</w:t>
            </w:r>
            <w:r>
              <w:rPr>
                <w:rFonts w:hint="eastAsia" w:ascii="仿宋_GB2312" w:hAnsi="微软雅黑" w:eastAsia="仿宋_GB2312" w:cs="宋体"/>
                <w:iCs/>
                <w:color w:val="000000"/>
                <w:kern w:val="0"/>
                <w:sz w:val="22"/>
                <w:szCs w:val="22"/>
              </w:rPr>
              <w:t>项目自评总分为100分。</w:t>
            </w:r>
          </w:p>
        </w:tc>
      </w:tr>
      <w:tr>
        <w:tblPrEx>
          <w:tblCellMar>
            <w:top w:w="0" w:type="dxa"/>
            <w:left w:w="108" w:type="dxa"/>
            <w:bottom w:w="0" w:type="dxa"/>
            <w:right w:w="108" w:type="dxa"/>
          </w:tblCellMar>
        </w:tblPrEx>
        <w:trPr>
          <w:trHeight w:val="574" w:hRule="atLeast"/>
        </w:trPr>
        <w:tc>
          <w:tcPr>
            <w:tcW w:w="67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存在问题</w:t>
            </w:r>
          </w:p>
        </w:tc>
        <w:tc>
          <w:tcPr>
            <w:tcW w:w="13462" w:type="dxa"/>
            <w:gridSpan w:val="11"/>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无。</w:t>
            </w:r>
          </w:p>
        </w:tc>
      </w:tr>
      <w:tr>
        <w:tblPrEx>
          <w:tblCellMar>
            <w:top w:w="0" w:type="dxa"/>
            <w:left w:w="108" w:type="dxa"/>
            <w:bottom w:w="0" w:type="dxa"/>
            <w:right w:w="108" w:type="dxa"/>
          </w:tblCellMar>
        </w:tblPrEx>
        <w:trPr>
          <w:trHeight w:val="634" w:hRule="atLeast"/>
        </w:trPr>
        <w:tc>
          <w:tcPr>
            <w:tcW w:w="67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改进措施</w:t>
            </w:r>
          </w:p>
        </w:tc>
        <w:tc>
          <w:tcPr>
            <w:tcW w:w="13462" w:type="dxa"/>
            <w:gridSpan w:val="11"/>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无。</w:t>
            </w:r>
          </w:p>
        </w:tc>
      </w:tr>
      <w:tr>
        <w:tblPrEx>
          <w:tblCellMar>
            <w:top w:w="0" w:type="dxa"/>
            <w:left w:w="108" w:type="dxa"/>
            <w:bottom w:w="0" w:type="dxa"/>
            <w:right w:w="108" w:type="dxa"/>
          </w:tblCellMar>
        </w:tblPrEx>
        <w:trPr>
          <w:trHeight w:val="468" w:hRule="atLeast"/>
        </w:trPr>
        <w:tc>
          <w:tcPr>
            <w:tcW w:w="7108" w:type="dxa"/>
            <w:gridSpan w:val="5"/>
            <w:tcBorders>
              <w:top w:val="single" w:color="auto" w:sz="4" w:space="0"/>
              <w:left w:val="single" w:color="000000" w:sz="4" w:space="0"/>
              <w:bottom w:val="single" w:color="000000" w:sz="4" w:space="0"/>
              <w:right w:val="single" w:color="000000" w:sz="4" w:space="0"/>
            </w:tcBorders>
            <w:shd w:val="clear" w:color="auto" w:fill="auto"/>
            <w:vAlign w:val="center"/>
          </w:tcPr>
          <w:p>
            <w:pPr>
              <w:widowControl/>
              <w:jc w:val="left"/>
              <w:rPr>
                <w:rFonts w:ascii="仿宋_GB2312" w:hAnsi="黑体" w:eastAsia="仿宋_GB2312" w:cs="宋体"/>
                <w:color w:val="000000"/>
                <w:kern w:val="0"/>
                <w:sz w:val="22"/>
                <w:szCs w:val="22"/>
              </w:rPr>
            </w:pPr>
            <w:r>
              <w:rPr>
                <w:rFonts w:hint="eastAsia" w:ascii="仿宋_GB2312" w:hAnsi="黑体" w:eastAsia="仿宋_GB2312" w:cs="宋体"/>
                <w:color w:val="000000"/>
                <w:kern w:val="0"/>
                <w:sz w:val="22"/>
                <w:szCs w:val="22"/>
              </w:rPr>
              <w:t>项目负责人：廖红</w:t>
            </w:r>
          </w:p>
        </w:tc>
        <w:tc>
          <w:tcPr>
            <w:tcW w:w="7032" w:type="dxa"/>
            <w:gridSpan w:val="7"/>
            <w:tcBorders>
              <w:top w:val="single" w:color="auto" w:sz="4" w:space="0"/>
              <w:left w:val="nil"/>
              <w:bottom w:val="single" w:color="000000" w:sz="4" w:space="0"/>
              <w:right w:val="single" w:color="000000" w:sz="4" w:space="0"/>
            </w:tcBorders>
            <w:shd w:val="clear" w:color="auto" w:fill="auto"/>
            <w:vAlign w:val="center"/>
          </w:tcPr>
          <w:p>
            <w:pPr>
              <w:widowControl/>
              <w:jc w:val="left"/>
              <w:rPr>
                <w:rFonts w:ascii="仿宋_GB2312" w:hAnsi="黑体" w:eastAsia="仿宋_GB2312" w:cs="宋体"/>
                <w:color w:val="000000"/>
                <w:kern w:val="0"/>
                <w:sz w:val="22"/>
                <w:szCs w:val="22"/>
              </w:rPr>
            </w:pPr>
            <w:r>
              <w:rPr>
                <w:rFonts w:hint="eastAsia" w:ascii="仿宋_GB2312" w:hAnsi="黑体" w:eastAsia="仿宋_GB2312" w:cs="宋体"/>
                <w:color w:val="000000"/>
                <w:kern w:val="0"/>
                <w:sz w:val="22"/>
                <w:szCs w:val="22"/>
              </w:rPr>
              <w:t>财务负责人：岳林</w:t>
            </w:r>
          </w:p>
        </w:tc>
      </w:tr>
    </w:tbl>
    <w:p>
      <w:pPr>
        <w:pStyle w:val="2"/>
        <w:spacing w:before="93"/>
      </w:pPr>
    </w:p>
    <w:p>
      <w:pPr>
        <w:pStyle w:val="2"/>
        <w:spacing w:before="93"/>
      </w:pPr>
    </w:p>
    <w:p>
      <w:pPr>
        <w:pStyle w:val="2"/>
        <w:spacing w:before="93"/>
      </w:pPr>
    </w:p>
    <w:p>
      <w:pPr>
        <w:pStyle w:val="2"/>
        <w:spacing w:before="93"/>
      </w:pPr>
    </w:p>
    <w:p>
      <w:pPr>
        <w:pStyle w:val="2"/>
        <w:spacing w:before="93"/>
        <w:rPr>
          <w:sz w:val="32"/>
          <w:szCs w:val="28"/>
        </w:rPr>
      </w:pPr>
      <w:r>
        <w:rPr>
          <w:rFonts w:hint="eastAsia"/>
          <w:sz w:val="32"/>
          <w:szCs w:val="28"/>
        </w:rPr>
        <w:t>附件13</w:t>
      </w:r>
    </w:p>
    <w:tbl>
      <w:tblPr>
        <w:tblStyle w:val="15"/>
        <w:tblW w:w="13907" w:type="dxa"/>
        <w:tblInd w:w="93" w:type="dxa"/>
        <w:tblLayout w:type="fixed"/>
        <w:tblCellMar>
          <w:top w:w="0" w:type="dxa"/>
          <w:left w:w="108" w:type="dxa"/>
          <w:bottom w:w="0" w:type="dxa"/>
          <w:right w:w="108" w:type="dxa"/>
        </w:tblCellMar>
      </w:tblPr>
      <w:tblGrid>
        <w:gridCol w:w="679"/>
        <w:gridCol w:w="2055"/>
        <w:gridCol w:w="1534"/>
        <w:gridCol w:w="2497"/>
        <w:gridCol w:w="520"/>
        <w:gridCol w:w="243"/>
        <w:gridCol w:w="1276"/>
        <w:gridCol w:w="677"/>
        <w:gridCol w:w="1100"/>
        <w:gridCol w:w="546"/>
        <w:gridCol w:w="512"/>
        <w:gridCol w:w="2268"/>
      </w:tblGrid>
      <w:tr>
        <w:tblPrEx>
          <w:tblCellMar>
            <w:top w:w="0" w:type="dxa"/>
            <w:left w:w="108" w:type="dxa"/>
            <w:bottom w:w="0" w:type="dxa"/>
            <w:right w:w="108" w:type="dxa"/>
          </w:tblCellMar>
        </w:tblPrEx>
        <w:trPr>
          <w:trHeight w:val="640" w:hRule="atLeast"/>
        </w:trPr>
        <w:tc>
          <w:tcPr>
            <w:tcW w:w="13907" w:type="dxa"/>
            <w:gridSpan w:val="1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b/>
                <w:bCs/>
                <w:color w:val="000000"/>
                <w:kern w:val="0"/>
                <w:sz w:val="22"/>
                <w:szCs w:val="22"/>
              </w:rPr>
            </w:pPr>
            <w:r>
              <w:rPr>
                <w:rFonts w:hint="eastAsia" w:ascii="仿宋_GB2312" w:hAnsi="宋体" w:eastAsia="仿宋_GB2312" w:cs="宋体"/>
                <w:b/>
                <w:bCs/>
                <w:color w:val="000000"/>
                <w:kern w:val="0"/>
                <w:sz w:val="22"/>
                <w:szCs w:val="22"/>
              </w:rPr>
              <w:t>部门预算项目支出绩效自评表（2022年度）</w:t>
            </w:r>
          </w:p>
        </w:tc>
      </w:tr>
      <w:tr>
        <w:trPr>
          <w:trHeight w:val="565" w:hRule="atLeast"/>
        </w:trPr>
        <w:tc>
          <w:tcPr>
            <w:tcW w:w="273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项目名称</w:t>
            </w:r>
          </w:p>
        </w:tc>
        <w:tc>
          <w:tcPr>
            <w:tcW w:w="1117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51080022T000007120163-市场监管专项资金</w:t>
            </w:r>
          </w:p>
        </w:tc>
      </w:tr>
      <w:tr>
        <w:tblPrEx>
          <w:tblCellMar>
            <w:top w:w="0" w:type="dxa"/>
            <w:left w:w="108" w:type="dxa"/>
            <w:bottom w:w="0" w:type="dxa"/>
            <w:right w:w="108" w:type="dxa"/>
          </w:tblCellMar>
        </w:tblPrEx>
        <w:trPr>
          <w:trHeight w:val="514" w:hRule="atLeast"/>
        </w:trPr>
        <w:tc>
          <w:tcPr>
            <w:tcW w:w="2734" w:type="dxa"/>
            <w:gridSpan w:val="2"/>
            <w:tcBorders>
              <w:top w:val="single" w:color="000000" w:sz="4" w:space="0"/>
              <w:left w:val="single" w:color="000000" w:sz="4" w:space="0"/>
              <w:bottom w:val="single" w:color="auto" w:sz="4" w:space="0"/>
              <w:right w:val="single" w:color="000000"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主管部门</w:t>
            </w:r>
          </w:p>
        </w:tc>
        <w:tc>
          <w:tcPr>
            <w:tcW w:w="6747" w:type="dxa"/>
            <w:gridSpan w:val="6"/>
            <w:tcBorders>
              <w:top w:val="single" w:color="000000" w:sz="4" w:space="0"/>
              <w:left w:val="nil"/>
              <w:bottom w:val="single" w:color="auto" w:sz="4" w:space="0"/>
              <w:right w:val="single" w:color="000000"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广元市市场监督管理局部门</w:t>
            </w:r>
          </w:p>
        </w:tc>
        <w:tc>
          <w:tcPr>
            <w:tcW w:w="1100" w:type="dxa"/>
            <w:tcBorders>
              <w:top w:val="nil"/>
              <w:left w:val="nil"/>
              <w:bottom w:val="single" w:color="auto" w:sz="4" w:space="0"/>
              <w:right w:val="nil"/>
            </w:tcBorders>
            <w:shd w:val="clear" w:color="auto" w:fill="auto"/>
            <w:vAlign w:val="center"/>
          </w:tcPr>
          <w:p>
            <w:pPr>
              <w:widowControl/>
              <w:jc w:val="left"/>
              <w:rPr>
                <w:rFonts w:ascii="仿宋_GB2312" w:hAnsi="黑体" w:eastAsia="仿宋_GB2312" w:cs="宋体"/>
                <w:color w:val="000000"/>
                <w:kern w:val="0"/>
                <w:sz w:val="22"/>
                <w:szCs w:val="22"/>
              </w:rPr>
            </w:pPr>
            <w:r>
              <w:rPr>
                <w:rFonts w:hint="eastAsia" w:ascii="仿宋_GB2312" w:hAnsi="黑体" w:eastAsia="仿宋_GB2312" w:cs="宋体"/>
                <w:color w:val="000000"/>
                <w:kern w:val="0"/>
                <w:sz w:val="22"/>
                <w:szCs w:val="22"/>
              </w:rPr>
              <w:t>实施单位（盖章）</w:t>
            </w:r>
          </w:p>
        </w:tc>
        <w:tc>
          <w:tcPr>
            <w:tcW w:w="3326" w:type="dxa"/>
            <w:gridSpan w:val="3"/>
            <w:tcBorders>
              <w:top w:val="single" w:color="000000" w:sz="4" w:space="0"/>
              <w:left w:val="single" w:color="000000" w:sz="4" w:space="0"/>
              <w:bottom w:val="single" w:color="auto"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广元市市场监督管理局广元经开区分局</w:t>
            </w:r>
          </w:p>
        </w:tc>
      </w:tr>
      <w:tr>
        <w:trPr>
          <w:trHeight w:val="482" w:hRule="atLeast"/>
        </w:trPr>
        <w:tc>
          <w:tcPr>
            <w:tcW w:w="67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项目基本情况</w:t>
            </w:r>
          </w:p>
        </w:tc>
        <w:tc>
          <w:tcPr>
            <w:tcW w:w="205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1.项目年度目标完成情况</w:t>
            </w:r>
          </w:p>
        </w:tc>
        <w:tc>
          <w:tcPr>
            <w:tcW w:w="6747" w:type="dxa"/>
            <w:gridSpan w:val="6"/>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项目年度目标</w:t>
            </w:r>
          </w:p>
        </w:tc>
        <w:tc>
          <w:tcPr>
            <w:tcW w:w="4426"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黑体" w:eastAsia="仿宋_GB2312" w:cs="宋体"/>
                <w:color w:val="000000"/>
                <w:kern w:val="0"/>
                <w:sz w:val="22"/>
                <w:szCs w:val="22"/>
              </w:rPr>
            </w:pPr>
            <w:r>
              <w:rPr>
                <w:rFonts w:hint="eastAsia" w:ascii="仿宋_GB2312" w:hAnsi="黑体" w:eastAsia="仿宋_GB2312" w:cs="宋体"/>
                <w:color w:val="000000"/>
                <w:kern w:val="0"/>
                <w:sz w:val="22"/>
                <w:szCs w:val="22"/>
              </w:rPr>
              <w:t>年度目标完成情况</w:t>
            </w:r>
          </w:p>
        </w:tc>
      </w:tr>
      <w:tr>
        <w:tblPrEx>
          <w:tblCellMar>
            <w:top w:w="0" w:type="dxa"/>
            <w:left w:w="108" w:type="dxa"/>
            <w:bottom w:w="0" w:type="dxa"/>
            <w:right w:w="108" w:type="dxa"/>
          </w:tblCellMar>
        </w:tblPrEx>
        <w:trPr>
          <w:trHeight w:val="709"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5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6747" w:type="dxa"/>
            <w:gridSpan w:val="6"/>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加强市场主体信用监督管理，营造公平诚信的市场和社会环境。注册登记商事制度改革，优化营商环境，提高监管效能，增强经济发展内生动力。非公党建工作，促进非公有制企业的健康发展。开展安全形势教育和执法检查，遏制和减少事故发生。                        2、负责辖区内食品（含特殊食品）、药械化、特种设备安全生产经营安全监管。加强冷链食品监管，监督指导企业常态化防疫工作。</w:t>
            </w:r>
          </w:p>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3、综合协调指导食品工作、药械化工作、培育知名品牌，计量，认证工作。</w:t>
            </w:r>
          </w:p>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4、开展食品安全宣传周、药品安全宣传月、5.25国际爱肤日、质量安全宣传月等宣传活动。</w:t>
            </w:r>
          </w:p>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5、关于食品、药械化各个专项整治工作，标准化管理工作。</w:t>
            </w:r>
          </w:p>
        </w:tc>
        <w:tc>
          <w:tcPr>
            <w:tcW w:w="4426"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黑体" w:eastAsia="仿宋_GB2312" w:cs="宋体"/>
                <w:color w:val="000000"/>
                <w:kern w:val="0"/>
                <w:sz w:val="22"/>
                <w:szCs w:val="22"/>
              </w:rPr>
            </w:pPr>
            <w:r>
              <w:rPr>
                <w:rFonts w:hint="eastAsia" w:ascii="仿宋_GB2312" w:hAnsi="宋体" w:eastAsia="仿宋_GB2312" w:cs="宋体"/>
                <w:color w:val="000000"/>
                <w:kern w:val="0"/>
                <w:sz w:val="22"/>
                <w:szCs w:val="22"/>
              </w:rPr>
              <w:t>严厉打击了假冒伪劣产品制售等各类违法行为，筑牢防疫堤坝，坚守安全底线，持续净化市场竞争环境，营造健康有序的市场消费环境，进一步强化主体责任落实，保障人民生命财产健康安全，提升社会公众满意度。</w:t>
            </w:r>
          </w:p>
        </w:tc>
      </w:tr>
      <w:tr>
        <w:trPr>
          <w:trHeight w:val="694"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2.项目实施内容及过程概述</w:t>
            </w:r>
          </w:p>
        </w:tc>
        <w:tc>
          <w:tcPr>
            <w:tcW w:w="11173" w:type="dxa"/>
            <w:gridSpan w:val="10"/>
            <w:tcBorders>
              <w:top w:val="single" w:color="auto" w:sz="4" w:space="0"/>
              <w:left w:val="single" w:color="auto" w:sz="4" w:space="0"/>
              <w:bottom w:val="single" w:color="auto" w:sz="4" w:space="0"/>
              <w:right w:val="single" w:color="auto" w:sz="4" w:space="0"/>
            </w:tcBorders>
            <w:shd w:val="clear" w:color="auto" w:fill="auto"/>
            <w:vAlign w:val="center"/>
          </w:tcPr>
          <w:p>
            <w:pPr>
              <w:pStyle w:val="14"/>
              <w:spacing w:line="320" w:lineRule="exact"/>
              <w:ind w:left="0" w:leftChars="0" w:firstLine="0" w:firstLineChars="0"/>
              <w:rPr>
                <w:rFonts w:ascii="仿宋_GB2312" w:hAnsi="仿宋_GB2312" w:eastAsia="仿宋_GB2312" w:cs="仿宋_GB2312"/>
                <w:color w:val="000000"/>
                <w:kern w:val="0"/>
                <w:sz w:val="22"/>
                <w:szCs w:val="22"/>
              </w:rPr>
            </w:pPr>
            <w:r>
              <w:rPr>
                <w:rFonts w:hint="eastAsia" w:ascii="仿宋_GB2312" w:hAnsi="宋体" w:eastAsia="仿宋_GB2312" w:cs="宋体"/>
                <w:color w:val="000000"/>
                <w:kern w:val="0"/>
                <w:sz w:val="22"/>
                <w:szCs w:val="22"/>
              </w:rPr>
              <w:t>2022年省级市场监管专项项目资金由相关股室牵头负责工作方案规划、组织、指导，食品安全及疫情防控宣传等工作的实施。通过制定专项工作计划方案、确定工作目标、明确组织实施措施和策略，更有效地指导工作的正常有序开展。</w:t>
            </w:r>
          </w:p>
        </w:tc>
      </w:tr>
      <w:tr>
        <w:tblPrEx>
          <w:tblCellMar>
            <w:top w:w="0" w:type="dxa"/>
            <w:left w:w="108" w:type="dxa"/>
            <w:bottom w:w="0" w:type="dxa"/>
            <w:right w:w="108" w:type="dxa"/>
          </w:tblCellMar>
        </w:tblPrEx>
        <w:trPr>
          <w:trHeight w:val="360" w:hRule="atLeast"/>
        </w:trPr>
        <w:tc>
          <w:tcPr>
            <w:tcW w:w="67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预算执行情况（10分）</w:t>
            </w:r>
          </w:p>
        </w:tc>
        <w:tc>
          <w:tcPr>
            <w:tcW w:w="20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年度预算数（万元）</w:t>
            </w:r>
          </w:p>
        </w:tc>
        <w:tc>
          <w:tcPr>
            <w:tcW w:w="15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年初预算</w:t>
            </w:r>
          </w:p>
        </w:tc>
        <w:tc>
          <w:tcPr>
            <w:tcW w:w="249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调整后预算数</w:t>
            </w:r>
          </w:p>
        </w:tc>
        <w:tc>
          <w:tcPr>
            <w:tcW w:w="2716"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预算执行数</w:t>
            </w:r>
          </w:p>
        </w:tc>
        <w:tc>
          <w:tcPr>
            <w:tcW w:w="11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预算执行率</w:t>
            </w:r>
          </w:p>
        </w:tc>
        <w:tc>
          <w:tcPr>
            <w:tcW w:w="54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权重</w:t>
            </w:r>
          </w:p>
        </w:tc>
        <w:tc>
          <w:tcPr>
            <w:tcW w:w="5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得分</w:t>
            </w:r>
          </w:p>
        </w:tc>
        <w:tc>
          <w:tcPr>
            <w:tcW w:w="22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原因</w:t>
            </w:r>
          </w:p>
        </w:tc>
      </w:tr>
      <w:tr>
        <w:trPr>
          <w:trHeight w:val="387"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总额</w:t>
            </w:r>
          </w:p>
        </w:tc>
        <w:tc>
          <w:tcPr>
            <w:tcW w:w="15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12.00</w:t>
            </w:r>
          </w:p>
        </w:tc>
        <w:tc>
          <w:tcPr>
            <w:tcW w:w="249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23.00</w:t>
            </w:r>
          </w:p>
        </w:tc>
        <w:tc>
          <w:tcPr>
            <w:tcW w:w="2716"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17.98</w:t>
            </w:r>
          </w:p>
        </w:tc>
        <w:tc>
          <w:tcPr>
            <w:tcW w:w="11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54.37%</w:t>
            </w:r>
          </w:p>
        </w:tc>
        <w:tc>
          <w:tcPr>
            <w:tcW w:w="54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w:t>
            </w:r>
          </w:p>
        </w:tc>
        <w:tc>
          <w:tcPr>
            <w:tcW w:w="5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5　</w:t>
            </w:r>
          </w:p>
        </w:tc>
        <w:tc>
          <w:tcPr>
            <w:tcW w:w="226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黑体" w:eastAsia="仿宋_GB2312" w:cs="宋体"/>
                <w:iCs/>
                <w:color w:val="000000"/>
                <w:kern w:val="0"/>
                <w:sz w:val="22"/>
                <w:szCs w:val="22"/>
              </w:rPr>
            </w:pPr>
            <w:r>
              <w:rPr>
                <w:rFonts w:hint="eastAsia" w:ascii="仿宋_GB2312" w:hAnsi="黑体" w:eastAsia="仿宋_GB2312" w:cs="宋体"/>
                <w:iCs/>
                <w:color w:val="000000"/>
                <w:kern w:val="0"/>
                <w:sz w:val="22"/>
                <w:szCs w:val="22"/>
              </w:rPr>
              <w:t>追加预算：根据市场监管工作安排，追加预算资金11万。</w:t>
            </w:r>
          </w:p>
        </w:tc>
      </w:tr>
      <w:tr>
        <w:tblPrEx>
          <w:tblCellMar>
            <w:top w:w="0" w:type="dxa"/>
            <w:left w:w="108" w:type="dxa"/>
            <w:bottom w:w="0" w:type="dxa"/>
            <w:right w:w="108" w:type="dxa"/>
          </w:tblCellMar>
        </w:tblPrEx>
        <w:trPr>
          <w:trHeight w:val="432"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其中：财政资金</w:t>
            </w:r>
          </w:p>
        </w:tc>
        <w:tc>
          <w:tcPr>
            <w:tcW w:w="15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0.00</w:t>
            </w:r>
          </w:p>
        </w:tc>
        <w:tc>
          <w:tcPr>
            <w:tcW w:w="249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11.00</w:t>
            </w:r>
          </w:p>
        </w:tc>
        <w:tc>
          <w:tcPr>
            <w:tcW w:w="2716"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5.98</w:t>
            </w:r>
          </w:p>
        </w:tc>
        <w:tc>
          <w:tcPr>
            <w:tcW w:w="11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54.37%</w:t>
            </w:r>
          </w:p>
        </w:tc>
        <w:tc>
          <w:tcPr>
            <w:tcW w:w="54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5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226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黑体" w:eastAsia="仿宋_GB2312" w:cs="宋体"/>
                <w:iCs/>
                <w:color w:val="000000"/>
                <w:kern w:val="0"/>
                <w:sz w:val="22"/>
                <w:szCs w:val="22"/>
              </w:rPr>
            </w:pPr>
          </w:p>
        </w:tc>
      </w:tr>
      <w:tr>
        <w:trPr>
          <w:trHeight w:val="447"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财政专户管理资金</w:t>
            </w:r>
          </w:p>
        </w:tc>
        <w:tc>
          <w:tcPr>
            <w:tcW w:w="15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0.00</w:t>
            </w:r>
          </w:p>
        </w:tc>
        <w:tc>
          <w:tcPr>
            <w:tcW w:w="249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0.00</w:t>
            </w:r>
          </w:p>
        </w:tc>
        <w:tc>
          <w:tcPr>
            <w:tcW w:w="2716"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0.00</w:t>
            </w:r>
          </w:p>
        </w:tc>
        <w:tc>
          <w:tcPr>
            <w:tcW w:w="11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0.00%</w:t>
            </w:r>
          </w:p>
        </w:tc>
        <w:tc>
          <w:tcPr>
            <w:tcW w:w="54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5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226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黑体" w:eastAsia="仿宋_GB2312" w:cs="宋体"/>
                <w:iCs/>
                <w:color w:val="000000"/>
                <w:kern w:val="0"/>
                <w:sz w:val="22"/>
                <w:szCs w:val="22"/>
              </w:rPr>
            </w:pPr>
          </w:p>
        </w:tc>
      </w:tr>
      <w:tr>
        <w:tblPrEx>
          <w:tblCellMar>
            <w:top w:w="0" w:type="dxa"/>
            <w:left w:w="108" w:type="dxa"/>
            <w:bottom w:w="0" w:type="dxa"/>
            <w:right w:w="108" w:type="dxa"/>
          </w:tblCellMar>
        </w:tblPrEx>
        <w:trPr>
          <w:trHeight w:val="402"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单位资金</w:t>
            </w:r>
          </w:p>
        </w:tc>
        <w:tc>
          <w:tcPr>
            <w:tcW w:w="15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0.00</w:t>
            </w:r>
          </w:p>
        </w:tc>
        <w:tc>
          <w:tcPr>
            <w:tcW w:w="249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0.00</w:t>
            </w:r>
          </w:p>
        </w:tc>
        <w:tc>
          <w:tcPr>
            <w:tcW w:w="2716"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0.00</w:t>
            </w:r>
          </w:p>
        </w:tc>
        <w:tc>
          <w:tcPr>
            <w:tcW w:w="11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0.00%</w:t>
            </w:r>
          </w:p>
        </w:tc>
        <w:tc>
          <w:tcPr>
            <w:tcW w:w="54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5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226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黑体" w:eastAsia="仿宋_GB2312" w:cs="宋体"/>
                <w:iCs/>
                <w:color w:val="000000"/>
                <w:kern w:val="0"/>
                <w:sz w:val="22"/>
                <w:szCs w:val="22"/>
              </w:rPr>
            </w:pPr>
          </w:p>
        </w:tc>
      </w:tr>
      <w:tr>
        <w:trPr>
          <w:trHeight w:val="379"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其他资金</w:t>
            </w:r>
          </w:p>
        </w:tc>
        <w:tc>
          <w:tcPr>
            <w:tcW w:w="15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12.00　</w:t>
            </w:r>
          </w:p>
        </w:tc>
        <w:tc>
          <w:tcPr>
            <w:tcW w:w="249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12.00</w:t>
            </w:r>
          </w:p>
        </w:tc>
        <w:tc>
          <w:tcPr>
            <w:tcW w:w="2716"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12.00</w:t>
            </w:r>
          </w:p>
        </w:tc>
        <w:tc>
          <w:tcPr>
            <w:tcW w:w="11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100.00%　</w:t>
            </w:r>
          </w:p>
        </w:tc>
        <w:tc>
          <w:tcPr>
            <w:tcW w:w="54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5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226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黑体" w:eastAsia="仿宋_GB2312" w:cs="宋体"/>
                <w:iCs/>
                <w:color w:val="000000"/>
                <w:kern w:val="0"/>
                <w:sz w:val="22"/>
                <w:szCs w:val="22"/>
              </w:rPr>
            </w:pPr>
          </w:p>
        </w:tc>
      </w:tr>
      <w:tr>
        <w:tblPrEx>
          <w:tblCellMar>
            <w:top w:w="0" w:type="dxa"/>
            <w:left w:w="108" w:type="dxa"/>
            <w:bottom w:w="0" w:type="dxa"/>
            <w:right w:w="108" w:type="dxa"/>
          </w:tblCellMar>
        </w:tblPrEx>
        <w:trPr>
          <w:trHeight w:val="454" w:hRule="atLeast"/>
        </w:trPr>
        <w:tc>
          <w:tcPr>
            <w:tcW w:w="67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绩效指标（90分）</w:t>
            </w:r>
          </w:p>
        </w:tc>
        <w:tc>
          <w:tcPr>
            <w:tcW w:w="20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一级指标</w:t>
            </w:r>
          </w:p>
        </w:tc>
        <w:tc>
          <w:tcPr>
            <w:tcW w:w="15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二级指标</w:t>
            </w:r>
          </w:p>
        </w:tc>
        <w:tc>
          <w:tcPr>
            <w:tcW w:w="249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三级指标</w:t>
            </w:r>
          </w:p>
        </w:tc>
        <w:tc>
          <w:tcPr>
            <w:tcW w:w="763"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指标性质</w:t>
            </w:r>
          </w:p>
        </w:tc>
        <w:tc>
          <w:tcPr>
            <w:tcW w:w="127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指标值</w:t>
            </w:r>
          </w:p>
        </w:tc>
        <w:tc>
          <w:tcPr>
            <w:tcW w:w="6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度量单位</w:t>
            </w:r>
          </w:p>
        </w:tc>
        <w:tc>
          <w:tcPr>
            <w:tcW w:w="11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完成值</w:t>
            </w:r>
          </w:p>
        </w:tc>
        <w:tc>
          <w:tcPr>
            <w:tcW w:w="54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权重</w:t>
            </w:r>
          </w:p>
        </w:tc>
        <w:tc>
          <w:tcPr>
            <w:tcW w:w="5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得分</w:t>
            </w:r>
          </w:p>
        </w:tc>
        <w:tc>
          <w:tcPr>
            <w:tcW w:w="22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未完成原因分析</w:t>
            </w:r>
          </w:p>
        </w:tc>
      </w:tr>
      <w:tr>
        <w:trPr>
          <w:trHeight w:val="338" w:hRule="atLeast"/>
        </w:trPr>
        <w:tc>
          <w:tcPr>
            <w:tcW w:w="679" w:type="dxa"/>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ascii="仿宋_GB2312" w:hAnsi="宋体" w:eastAsia="仿宋_GB2312" w:cs="宋体"/>
                <w:color w:val="000000"/>
                <w:kern w:val="0"/>
                <w:sz w:val="22"/>
                <w:szCs w:val="22"/>
              </w:rPr>
            </w:pPr>
          </w:p>
        </w:tc>
        <w:tc>
          <w:tcPr>
            <w:tcW w:w="2055" w:type="dxa"/>
            <w:vMerge w:val="restart"/>
            <w:tcBorders>
              <w:top w:val="single" w:color="auto" w:sz="4" w:space="0"/>
              <w:left w:val="nil"/>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产出指标　</w:t>
            </w:r>
          </w:p>
        </w:tc>
        <w:tc>
          <w:tcPr>
            <w:tcW w:w="1534" w:type="dxa"/>
            <w:vMerge w:val="restart"/>
            <w:tcBorders>
              <w:top w:val="single" w:color="auto" w:sz="4" w:space="0"/>
              <w:left w:val="nil"/>
              <w:right w:val="single" w:color="000000" w:sz="4" w:space="0"/>
            </w:tcBorders>
            <w:shd w:val="clear" w:color="auto" w:fill="auto"/>
            <w:vAlign w:val="center"/>
          </w:tcPr>
          <w:p>
            <w:pPr>
              <w:jc w:val="center"/>
              <w:rPr>
                <w:rFonts w:ascii="仿宋_GB2312" w:hAnsi="华文楷体" w:eastAsia="仿宋_GB2312" w:cs="宋体"/>
                <w:color w:val="000000"/>
                <w:sz w:val="22"/>
                <w:szCs w:val="22"/>
              </w:rPr>
            </w:pPr>
            <w:r>
              <w:rPr>
                <w:rFonts w:hint="eastAsia" w:ascii="仿宋_GB2312" w:hAnsi="华文楷体" w:eastAsia="仿宋_GB2312"/>
                <w:color w:val="000000"/>
                <w:sz w:val="22"/>
                <w:szCs w:val="22"/>
              </w:rPr>
              <w:t>数量指标</w:t>
            </w:r>
          </w:p>
        </w:tc>
        <w:tc>
          <w:tcPr>
            <w:tcW w:w="2497" w:type="dxa"/>
            <w:tcBorders>
              <w:top w:val="single" w:color="auto" w:sz="4" w:space="0"/>
              <w:left w:val="nil"/>
              <w:bottom w:val="single" w:color="000000" w:sz="4" w:space="0"/>
              <w:right w:val="single" w:color="000000" w:sz="4" w:space="0"/>
            </w:tcBorders>
            <w:shd w:val="clear" w:color="auto" w:fill="auto"/>
            <w:vAlign w:val="center"/>
          </w:tcPr>
          <w:p>
            <w:pPr>
              <w:rPr>
                <w:rFonts w:ascii="仿宋_GB2312" w:hAnsi="华文楷体" w:eastAsia="仿宋_GB2312" w:cs="宋体"/>
                <w:color w:val="000000"/>
                <w:sz w:val="22"/>
                <w:szCs w:val="22"/>
              </w:rPr>
            </w:pPr>
            <w:r>
              <w:rPr>
                <w:rFonts w:hint="eastAsia" w:ascii="仿宋_GB2312" w:hAnsi="华文楷体" w:eastAsia="仿宋_GB2312"/>
                <w:color w:val="000000"/>
                <w:sz w:val="22"/>
                <w:szCs w:val="22"/>
              </w:rPr>
              <w:t>食药械化抽检监测任务批次</w:t>
            </w:r>
          </w:p>
        </w:tc>
        <w:tc>
          <w:tcPr>
            <w:tcW w:w="763" w:type="dxa"/>
            <w:gridSpan w:val="2"/>
            <w:tcBorders>
              <w:top w:val="single" w:color="auto" w:sz="4" w:space="0"/>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华文楷体" w:eastAsia="仿宋_GB2312"/>
                <w:color w:val="000000"/>
                <w:sz w:val="22"/>
                <w:szCs w:val="22"/>
              </w:rPr>
              <w:t>≥</w:t>
            </w:r>
            <w:r>
              <w:rPr>
                <w:rFonts w:hint="eastAsia" w:ascii="仿宋_GB2312" w:hAnsi="宋体" w:eastAsia="仿宋_GB2312" w:cs="宋体"/>
                <w:color w:val="000000"/>
                <w:kern w:val="0"/>
                <w:sz w:val="22"/>
                <w:szCs w:val="22"/>
              </w:rPr>
              <w:t>　</w:t>
            </w:r>
          </w:p>
        </w:tc>
        <w:tc>
          <w:tcPr>
            <w:tcW w:w="1276" w:type="dxa"/>
            <w:tcBorders>
              <w:top w:val="single" w:color="auto" w:sz="4" w:space="0"/>
              <w:left w:val="nil"/>
              <w:bottom w:val="single" w:color="000000" w:sz="4" w:space="0"/>
              <w:right w:val="single" w:color="000000" w:sz="4" w:space="0"/>
            </w:tcBorders>
            <w:shd w:val="clear" w:color="auto" w:fill="auto"/>
            <w:vAlign w:val="center"/>
          </w:tcPr>
          <w:p>
            <w:pPr>
              <w:jc w:val="center"/>
              <w:rPr>
                <w:rFonts w:ascii="仿宋_GB2312" w:hAnsi="华文楷体" w:eastAsia="仿宋_GB2312" w:cs="宋体"/>
                <w:color w:val="000000"/>
                <w:sz w:val="22"/>
                <w:szCs w:val="22"/>
              </w:rPr>
            </w:pPr>
            <w:r>
              <w:rPr>
                <w:rFonts w:hint="eastAsia" w:ascii="仿宋_GB2312" w:hAnsi="华文楷体" w:eastAsia="仿宋_GB2312"/>
                <w:color w:val="000000"/>
                <w:sz w:val="22"/>
                <w:szCs w:val="22"/>
              </w:rPr>
              <w:t>30</w:t>
            </w:r>
          </w:p>
        </w:tc>
        <w:tc>
          <w:tcPr>
            <w:tcW w:w="677" w:type="dxa"/>
            <w:tcBorders>
              <w:top w:val="single" w:color="auto" w:sz="4" w:space="0"/>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批次　</w:t>
            </w:r>
          </w:p>
        </w:tc>
        <w:tc>
          <w:tcPr>
            <w:tcW w:w="1100" w:type="dxa"/>
            <w:tcBorders>
              <w:top w:val="single" w:color="auto" w:sz="4" w:space="0"/>
              <w:left w:val="nil"/>
              <w:bottom w:val="single" w:color="000000" w:sz="4" w:space="0"/>
              <w:right w:val="single" w:color="000000" w:sz="4" w:space="0"/>
            </w:tcBorders>
            <w:shd w:val="clear" w:color="auto" w:fill="auto"/>
            <w:vAlign w:val="center"/>
          </w:tcPr>
          <w:p>
            <w:pPr>
              <w:jc w:val="center"/>
              <w:rPr>
                <w:rFonts w:ascii="仿宋_GB2312" w:hAnsi="华文楷体" w:eastAsia="仿宋_GB2312" w:cs="宋体"/>
                <w:color w:val="000000"/>
                <w:sz w:val="22"/>
                <w:szCs w:val="22"/>
              </w:rPr>
            </w:pPr>
            <w:r>
              <w:rPr>
                <w:rFonts w:hint="eastAsia" w:ascii="仿宋_GB2312" w:hAnsi="华文楷体" w:eastAsia="仿宋_GB2312"/>
                <w:color w:val="000000"/>
                <w:sz w:val="22"/>
                <w:szCs w:val="22"/>
              </w:rPr>
              <w:t>157</w:t>
            </w:r>
          </w:p>
        </w:tc>
        <w:tc>
          <w:tcPr>
            <w:tcW w:w="546" w:type="dxa"/>
            <w:tcBorders>
              <w:top w:val="single" w:color="auto" w:sz="4" w:space="0"/>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4</w:t>
            </w:r>
          </w:p>
        </w:tc>
        <w:tc>
          <w:tcPr>
            <w:tcW w:w="512" w:type="dxa"/>
            <w:tcBorders>
              <w:top w:val="single" w:color="auto" w:sz="4" w:space="0"/>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4</w:t>
            </w:r>
          </w:p>
        </w:tc>
        <w:tc>
          <w:tcPr>
            <w:tcW w:w="2268" w:type="dxa"/>
            <w:tcBorders>
              <w:top w:val="single" w:color="auto" w:sz="4" w:space="0"/>
              <w:left w:val="nil"/>
              <w:bottom w:val="single" w:color="000000" w:sz="4" w:space="0"/>
              <w:right w:val="single" w:color="000000"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r>
      <w:tr>
        <w:tblPrEx>
          <w:tblCellMar>
            <w:top w:w="0" w:type="dxa"/>
            <w:left w:w="108" w:type="dxa"/>
            <w:bottom w:w="0" w:type="dxa"/>
            <w:right w:w="108" w:type="dxa"/>
          </w:tblCellMar>
        </w:tblPrEx>
        <w:trPr>
          <w:trHeight w:val="338" w:hRule="atLeast"/>
        </w:trPr>
        <w:tc>
          <w:tcPr>
            <w:tcW w:w="679" w:type="dxa"/>
            <w:tcBorders>
              <w:top w:val="nil"/>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color w:val="000000"/>
                <w:kern w:val="0"/>
                <w:sz w:val="22"/>
                <w:szCs w:val="22"/>
              </w:rPr>
            </w:pPr>
          </w:p>
        </w:tc>
        <w:tc>
          <w:tcPr>
            <w:tcW w:w="2055" w:type="dxa"/>
            <w:vMerge w:val="continue"/>
            <w:tcBorders>
              <w:left w:val="nil"/>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p>
        </w:tc>
        <w:tc>
          <w:tcPr>
            <w:tcW w:w="1534" w:type="dxa"/>
            <w:vMerge w:val="continue"/>
            <w:tcBorders>
              <w:left w:val="nil"/>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p>
        </w:tc>
        <w:tc>
          <w:tcPr>
            <w:tcW w:w="2497" w:type="dxa"/>
            <w:tcBorders>
              <w:top w:val="nil"/>
              <w:left w:val="nil"/>
              <w:bottom w:val="single" w:color="000000" w:sz="4" w:space="0"/>
              <w:right w:val="single" w:color="000000" w:sz="4" w:space="0"/>
            </w:tcBorders>
            <w:shd w:val="clear" w:color="auto" w:fill="auto"/>
            <w:vAlign w:val="center"/>
          </w:tcPr>
          <w:p>
            <w:pPr>
              <w:rPr>
                <w:rFonts w:ascii="仿宋_GB2312" w:hAnsi="华文楷体" w:eastAsia="仿宋_GB2312" w:cs="宋体"/>
                <w:color w:val="000000"/>
                <w:sz w:val="22"/>
                <w:szCs w:val="22"/>
              </w:rPr>
            </w:pPr>
            <w:r>
              <w:rPr>
                <w:rFonts w:hint="eastAsia" w:ascii="仿宋_GB2312" w:hAnsi="华文楷体" w:eastAsia="仿宋_GB2312"/>
                <w:color w:val="000000"/>
                <w:sz w:val="22"/>
                <w:szCs w:val="22"/>
              </w:rPr>
              <w:t>市场主体信用监管</w:t>
            </w:r>
          </w:p>
        </w:tc>
        <w:tc>
          <w:tcPr>
            <w:tcW w:w="763"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华文楷体" w:eastAsia="仿宋_GB2312"/>
                <w:color w:val="000000"/>
                <w:sz w:val="22"/>
                <w:szCs w:val="22"/>
              </w:rPr>
              <w:t>≥</w:t>
            </w:r>
          </w:p>
        </w:tc>
        <w:tc>
          <w:tcPr>
            <w:tcW w:w="1276" w:type="dxa"/>
            <w:tcBorders>
              <w:top w:val="nil"/>
              <w:left w:val="nil"/>
              <w:bottom w:val="single" w:color="000000" w:sz="4" w:space="0"/>
              <w:right w:val="single" w:color="000000" w:sz="4" w:space="0"/>
            </w:tcBorders>
            <w:shd w:val="clear" w:color="auto" w:fill="auto"/>
            <w:vAlign w:val="center"/>
          </w:tcPr>
          <w:p>
            <w:pPr>
              <w:jc w:val="center"/>
              <w:rPr>
                <w:rFonts w:ascii="仿宋_GB2312" w:hAnsi="华文楷体" w:eastAsia="仿宋_GB2312" w:cs="宋体"/>
                <w:color w:val="000000"/>
                <w:sz w:val="22"/>
                <w:szCs w:val="22"/>
              </w:rPr>
            </w:pPr>
            <w:r>
              <w:rPr>
                <w:rFonts w:hint="eastAsia" w:ascii="仿宋_GB2312" w:hAnsi="华文楷体" w:eastAsia="仿宋_GB2312"/>
                <w:color w:val="000000"/>
                <w:sz w:val="22"/>
                <w:szCs w:val="22"/>
              </w:rPr>
              <w:t>4000</w:t>
            </w:r>
          </w:p>
        </w:tc>
        <w:tc>
          <w:tcPr>
            <w:tcW w:w="677"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户</w:t>
            </w:r>
          </w:p>
        </w:tc>
        <w:tc>
          <w:tcPr>
            <w:tcW w:w="1100" w:type="dxa"/>
            <w:tcBorders>
              <w:top w:val="nil"/>
              <w:left w:val="nil"/>
              <w:bottom w:val="single" w:color="000000" w:sz="4" w:space="0"/>
              <w:right w:val="single" w:color="000000" w:sz="4" w:space="0"/>
            </w:tcBorders>
            <w:shd w:val="clear" w:color="auto" w:fill="auto"/>
            <w:vAlign w:val="center"/>
          </w:tcPr>
          <w:p>
            <w:pPr>
              <w:jc w:val="center"/>
              <w:rPr>
                <w:rFonts w:ascii="仿宋_GB2312" w:hAnsi="华文楷体" w:eastAsia="仿宋_GB2312" w:cs="宋体"/>
                <w:color w:val="000000"/>
                <w:sz w:val="22"/>
                <w:szCs w:val="22"/>
              </w:rPr>
            </w:pPr>
            <w:r>
              <w:rPr>
                <w:rFonts w:hint="eastAsia" w:ascii="仿宋_GB2312" w:hAnsi="华文楷体" w:eastAsia="仿宋_GB2312"/>
                <w:color w:val="000000"/>
                <w:sz w:val="22"/>
                <w:szCs w:val="22"/>
              </w:rPr>
              <w:t>5571</w:t>
            </w:r>
          </w:p>
        </w:tc>
        <w:tc>
          <w:tcPr>
            <w:tcW w:w="546" w:type="dxa"/>
            <w:tcBorders>
              <w:top w:val="nil"/>
              <w:left w:val="nil"/>
              <w:bottom w:val="single" w:color="000000" w:sz="4" w:space="0"/>
              <w:right w:val="single" w:color="000000" w:sz="4" w:space="0"/>
            </w:tcBorders>
            <w:shd w:val="clear" w:color="auto" w:fill="auto"/>
            <w:vAlign w:val="center"/>
          </w:tcPr>
          <w:p>
            <w:pPr>
              <w:jc w:val="center"/>
            </w:pPr>
            <w:r>
              <w:rPr>
                <w:rFonts w:hint="eastAsia" w:ascii="仿宋_GB2312" w:hAnsi="宋体" w:eastAsia="仿宋_GB2312" w:cs="宋体"/>
                <w:color w:val="000000"/>
                <w:kern w:val="0"/>
                <w:sz w:val="22"/>
                <w:szCs w:val="22"/>
              </w:rPr>
              <w:t>4</w:t>
            </w:r>
          </w:p>
        </w:tc>
        <w:tc>
          <w:tcPr>
            <w:tcW w:w="512" w:type="dxa"/>
            <w:tcBorders>
              <w:top w:val="nil"/>
              <w:left w:val="nil"/>
              <w:bottom w:val="single" w:color="000000" w:sz="4" w:space="0"/>
              <w:right w:val="single" w:color="000000" w:sz="4" w:space="0"/>
            </w:tcBorders>
            <w:shd w:val="clear" w:color="auto" w:fill="auto"/>
            <w:vAlign w:val="center"/>
          </w:tcPr>
          <w:p>
            <w:pPr>
              <w:jc w:val="center"/>
            </w:pPr>
            <w:r>
              <w:rPr>
                <w:rFonts w:hint="eastAsia" w:ascii="仿宋_GB2312" w:hAnsi="宋体" w:eastAsia="仿宋_GB2312" w:cs="宋体"/>
                <w:color w:val="000000"/>
                <w:kern w:val="0"/>
                <w:sz w:val="22"/>
                <w:szCs w:val="22"/>
              </w:rPr>
              <w:t>4</w:t>
            </w:r>
          </w:p>
        </w:tc>
        <w:tc>
          <w:tcPr>
            <w:tcW w:w="2268"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微软雅黑" w:eastAsia="仿宋_GB2312" w:cs="宋体"/>
                <w:iCs/>
                <w:color w:val="000000"/>
                <w:kern w:val="0"/>
                <w:sz w:val="22"/>
                <w:szCs w:val="22"/>
              </w:rPr>
            </w:pPr>
          </w:p>
        </w:tc>
      </w:tr>
      <w:tr>
        <w:trPr>
          <w:trHeight w:val="338" w:hRule="atLeast"/>
        </w:trPr>
        <w:tc>
          <w:tcPr>
            <w:tcW w:w="679" w:type="dxa"/>
            <w:tcBorders>
              <w:top w:val="nil"/>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color w:val="000000"/>
                <w:kern w:val="0"/>
                <w:sz w:val="22"/>
                <w:szCs w:val="22"/>
              </w:rPr>
            </w:pPr>
          </w:p>
        </w:tc>
        <w:tc>
          <w:tcPr>
            <w:tcW w:w="2055" w:type="dxa"/>
            <w:vMerge w:val="continue"/>
            <w:tcBorders>
              <w:left w:val="nil"/>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p>
        </w:tc>
        <w:tc>
          <w:tcPr>
            <w:tcW w:w="1534" w:type="dxa"/>
            <w:vMerge w:val="continue"/>
            <w:tcBorders>
              <w:left w:val="nil"/>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p>
        </w:tc>
        <w:tc>
          <w:tcPr>
            <w:tcW w:w="2497" w:type="dxa"/>
            <w:tcBorders>
              <w:top w:val="nil"/>
              <w:left w:val="nil"/>
              <w:bottom w:val="single" w:color="000000" w:sz="4" w:space="0"/>
              <w:right w:val="single" w:color="000000" w:sz="4" w:space="0"/>
            </w:tcBorders>
            <w:shd w:val="clear" w:color="auto" w:fill="auto"/>
            <w:vAlign w:val="center"/>
          </w:tcPr>
          <w:p>
            <w:pPr>
              <w:rPr>
                <w:rFonts w:ascii="仿宋_GB2312" w:hAnsi="华文楷体" w:eastAsia="仿宋_GB2312" w:cs="宋体"/>
                <w:color w:val="000000"/>
                <w:sz w:val="22"/>
                <w:szCs w:val="22"/>
              </w:rPr>
            </w:pPr>
            <w:r>
              <w:rPr>
                <w:rFonts w:hint="eastAsia" w:ascii="仿宋_GB2312" w:hAnsi="华文楷体" w:eastAsia="仿宋_GB2312"/>
                <w:color w:val="000000"/>
                <w:sz w:val="22"/>
                <w:szCs w:val="22"/>
              </w:rPr>
              <w:t>新登记市场主体户数</w:t>
            </w:r>
          </w:p>
        </w:tc>
        <w:tc>
          <w:tcPr>
            <w:tcW w:w="763"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华文楷体" w:eastAsia="仿宋_GB2312"/>
                <w:color w:val="000000"/>
                <w:sz w:val="22"/>
                <w:szCs w:val="22"/>
              </w:rPr>
              <w:t>≥</w:t>
            </w:r>
          </w:p>
        </w:tc>
        <w:tc>
          <w:tcPr>
            <w:tcW w:w="1276" w:type="dxa"/>
            <w:tcBorders>
              <w:top w:val="nil"/>
              <w:left w:val="nil"/>
              <w:bottom w:val="single" w:color="000000" w:sz="4" w:space="0"/>
              <w:right w:val="single" w:color="000000" w:sz="4" w:space="0"/>
            </w:tcBorders>
            <w:shd w:val="clear" w:color="auto" w:fill="auto"/>
            <w:vAlign w:val="center"/>
          </w:tcPr>
          <w:p>
            <w:pPr>
              <w:jc w:val="center"/>
              <w:rPr>
                <w:rFonts w:ascii="仿宋_GB2312" w:hAnsi="华文楷体" w:eastAsia="仿宋_GB2312" w:cs="宋体"/>
                <w:color w:val="000000"/>
                <w:sz w:val="22"/>
                <w:szCs w:val="22"/>
              </w:rPr>
            </w:pPr>
            <w:r>
              <w:rPr>
                <w:rFonts w:hint="eastAsia" w:ascii="仿宋_GB2312" w:hAnsi="华文楷体" w:eastAsia="仿宋_GB2312"/>
                <w:color w:val="000000"/>
                <w:sz w:val="22"/>
                <w:szCs w:val="22"/>
              </w:rPr>
              <w:t>250</w:t>
            </w:r>
          </w:p>
        </w:tc>
        <w:tc>
          <w:tcPr>
            <w:tcW w:w="677"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户</w:t>
            </w:r>
          </w:p>
        </w:tc>
        <w:tc>
          <w:tcPr>
            <w:tcW w:w="1100" w:type="dxa"/>
            <w:tcBorders>
              <w:top w:val="nil"/>
              <w:left w:val="nil"/>
              <w:bottom w:val="single" w:color="000000" w:sz="4" w:space="0"/>
              <w:right w:val="single" w:color="000000" w:sz="4" w:space="0"/>
            </w:tcBorders>
            <w:shd w:val="clear" w:color="auto" w:fill="auto"/>
            <w:vAlign w:val="center"/>
          </w:tcPr>
          <w:p>
            <w:pPr>
              <w:jc w:val="center"/>
              <w:rPr>
                <w:rFonts w:ascii="仿宋_GB2312" w:hAnsi="华文楷体" w:eastAsia="仿宋_GB2312" w:cs="宋体"/>
                <w:color w:val="000000"/>
                <w:sz w:val="22"/>
                <w:szCs w:val="22"/>
              </w:rPr>
            </w:pPr>
            <w:r>
              <w:rPr>
                <w:rFonts w:hint="eastAsia" w:ascii="仿宋_GB2312" w:hAnsi="华文楷体" w:eastAsia="仿宋_GB2312"/>
                <w:color w:val="000000"/>
                <w:sz w:val="22"/>
                <w:szCs w:val="22"/>
              </w:rPr>
              <w:t>705</w:t>
            </w:r>
          </w:p>
        </w:tc>
        <w:tc>
          <w:tcPr>
            <w:tcW w:w="546" w:type="dxa"/>
            <w:tcBorders>
              <w:top w:val="nil"/>
              <w:left w:val="nil"/>
              <w:bottom w:val="single" w:color="000000" w:sz="4" w:space="0"/>
              <w:right w:val="single" w:color="000000" w:sz="4" w:space="0"/>
            </w:tcBorders>
            <w:shd w:val="clear" w:color="auto" w:fill="auto"/>
            <w:vAlign w:val="center"/>
          </w:tcPr>
          <w:p>
            <w:pPr>
              <w:jc w:val="center"/>
            </w:pPr>
            <w:r>
              <w:rPr>
                <w:rFonts w:hint="eastAsia" w:ascii="仿宋_GB2312" w:hAnsi="宋体" w:eastAsia="仿宋_GB2312" w:cs="宋体"/>
                <w:color w:val="000000"/>
                <w:kern w:val="0"/>
                <w:sz w:val="22"/>
                <w:szCs w:val="22"/>
              </w:rPr>
              <w:t>4</w:t>
            </w:r>
          </w:p>
        </w:tc>
        <w:tc>
          <w:tcPr>
            <w:tcW w:w="512" w:type="dxa"/>
            <w:tcBorders>
              <w:top w:val="nil"/>
              <w:left w:val="nil"/>
              <w:bottom w:val="single" w:color="000000" w:sz="4" w:space="0"/>
              <w:right w:val="single" w:color="000000" w:sz="4" w:space="0"/>
            </w:tcBorders>
            <w:shd w:val="clear" w:color="auto" w:fill="auto"/>
            <w:vAlign w:val="center"/>
          </w:tcPr>
          <w:p>
            <w:pPr>
              <w:jc w:val="center"/>
            </w:pPr>
            <w:r>
              <w:rPr>
                <w:rFonts w:hint="eastAsia" w:ascii="仿宋_GB2312" w:hAnsi="宋体" w:eastAsia="仿宋_GB2312" w:cs="宋体"/>
                <w:color w:val="000000"/>
                <w:kern w:val="0"/>
                <w:sz w:val="22"/>
                <w:szCs w:val="22"/>
              </w:rPr>
              <w:t>4</w:t>
            </w:r>
          </w:p>
        </w:tc>
        <w:tc>
          <w:tcPr>
            <w:tcW w:w="2268"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微软雅黑" w:eastAsia="仿宋_GB2312" w:cs="宋体"/>
                <w:iCs/>
                <w:color w:val="000000"/>
                <w:kern w:val="0"/>
                <w:sz w:val="22"/>
                <w:szCs w:val="22"/>
              </w:rPr>
            </w:pPr>
          </w:p>
        </w:tc>
      </w:tr>
      <w:tr>
        <w:tblPrEx>
          <w:tblCellMar>
            <w:top w:w="0" w:type="dxa"/>
            <w:left w:w="108" w:type="dxa"/>
            <w:bottom w:w="0" w:type="dxa"/>
            <w:right w:w="108" w:type="dxa"/>
          </w:tblCellMar>
        </w:tblPrEx>
        <w:trPr>
          <w:trHeight w:val="338" w:hRule="atLeast"/>
        </w:trPr>
        <w:tc>
          <w:tcPr>
            <w:tcW w:w="679" w:type="dxa"/>
            <w:tcBorders>
              <w:top w:val="nil"/>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color w:val="000000"/>
                <w:kern w:val="0"/>
                <w:sz w:val="22"/>
                <w:szCs w:val="22"/>
              </w:rPr>
            </w:pPr>
          </w:p>
        </w:tc>
        <w:tc>
          <w:tcPr>
            <w:tcW w:w="2055" w:type="dxa"/>
            <w:vMerge w:val="continue"/>
            <w:tcBorders>
              <w:left w:val="nil"/>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p>
        </w:tc>
        <w:tc>
          <w:tcPr>
            <w:tcW w:w="1534" w:type="dxa"/>
            <w:vMerge w:val="continue"/>
            <w:tcBorders>
              <w:left w:val="nil"/>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p>
        </w:tc>
        <w:tc>
          <w:tcPr>
            <w:tcW w:w="2497" w:type="dxa"/>
            <w:tcBorders>
              <w:top w:val="nil"/>
              <w:left w:val="nil"/>
              <w:bottom w:val="single" w:color="000000" w:sz="4" w:space="0"/>
              <w:right w:val="single" w:color="000000" w:sz="4" w:space="0"/>
            </w:tcBorders>
            <w:shd w:val="clear" w:color="auto" w:fill="auto"/>
            <w:vAlign w:val="center"/>
          </w:tcPr>
          <w:p>
            <w:pPr>
              <w:rPr>
                <w:rFonts w:ascii="仿宋_GB2312" w:hAnsi="华文楷体" w:eastAsia="仿宋_GB2312" w:cs="宋体"/>
                <w:color w:val="000000"/>
                <w:sz w:val="22"/>
                <w:szCs w:val="22"/>
              </w:rPr>
            </w:pPr>
            <w:r>
              <w:rPr>
                <w:rFonts w:hint="eastAsia" w:ascii="仿宋_GB2312" w:hAnsi="华文楷体" w:eastAsia="仿宋_GB2312"/>
                <w:color w:val="000000"/>
                <w:sz w:val="22"/>
                <w:szCs w:val="22"/>
              </w:rPr>
              <w:t>培育广元市市长质量奖企业户数</w:t>
            </w:r>
          </w:p>
        </w:tc>
        <w:tc>
          <w:tcPr>
            <w:tcW w:w="763"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华文楷体" w:eastAsia="仿宋_GB2312"/>
                <w:color w:val="000000"/>
                <w:sz w:val="22"/>
                <w:szCs w:val="22"/>
              </w:rPr>
              <w:t>≥</w:t>
            </w:r>
          </w:p>
        </w:tc>
        <w:tc>
          <w:tcPr>
            <w:tcW w:w="1276" w:type="dxa"/>
            <w:tcBorders>
              <w:top w:val="nil"/>
              <w:left w:val="nil"/>
              <w:bottom w:val="single" w:color="000000" w:sz="4" w:space="0"/>
              <w:right w:val="single" w:color="000000" w:sz="4" w:space="0"/>
            </w:tcBorders>
            <w:shd w:val="clear" w:color="auto" w:fill="auto"/>
            <w:vAlign w:val="center"/>
          </w:tcPr>
          <w:p>
            <w:pPr>
              <w:jc w:val="center"/>
              <w:rPr>
                <w:rFonts w:ascii="仿宋_GB2312" w:hAnsi="华文楷体" w:eastAsia="仿宋_GB2312" w:cs="宋体"/>
                <w:color w:val="000000"/>
                <w:sz w:val="22"/>
                <w:szCs w:val="22"/>
              </w:rPr>
            </w:pPr>
            <w:r>
              <w:rPr>
                <w:rFonts w:hint="eastAsia" w:ascii="仿宋_GB2312" w:hAnsi="华文楷体" w:eastAsia="仿宋_GB2312"/>
                <w:color w:val="000000"/>
                <w:sz w:val="22"/>
                <w:szCs w:val="22"/>
              </w:rPr>
              <w:t>4</w:t>
            </w:r>
          </w:p>
        </w:tc>
        <w:tc>
          <w:tcPr>
            <w:tcW w:w="677"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户</w:t>
            </w:r>
          </w:p>
        </w:tc>
        <w:tc>
          <w:tcPr>
            <w:tcW w:w="1100" w:type="dxa"/>
            <w:tcBorders>
              <w:top w:val="nil"/>
              <w:left w:val="nil"/>
              <w:bottom w:val="single" w:color="000000" w:sz="4" w:space="0"/>
              <w:right w:val="single" w:color="000000" w:sz="4" w:space="0"/>
            </w:tcBorders>
            <w:shd w:val="clear" w:color="auto" w:fill="auto"/>
            <w:vAlign w:val="center"/>
          </w:tcPr>
          <w:p>
            <w:pPr>
              <w:jc w:val="center"/>
              <w:rPr>
                <w:rFonts w:ascii="仿宋_GB2312" w:hAnsi="华文楷体" w:eastAsia="仿宋_GB2312" w:cs="宋体"/>
                <w:color w:val="000000"/>
                <w:sz w:val="22"/>
                <w:szCs w:val="22"/>
              </w:rPr>
            </w:pPr>
            <w:r>
              <w:rPr>
                <w:rFonts w:hint="eastAsia" w:ascii="仿宋_GB2312" w:hAnsi="华文楷体" w:eastAsia="仿宋_GB2312"/>
                <w:color w:val="000000"/>
                <w:sz w:val="22"/>
                <w:szCs w:val="22"/>
              </w:rPr>
              <w:t>4</w:t>
            </w:r>
          </w:p>
        </w:tc>
        <w:tc>
          <w:tcPr>
            <w:tcW w:w="546" w:type="dxa"/>
            <w:tcBorders>
              <w:top w:val="nil"/>
              <w:left w:val="nil"/>
              <w:bottom w:val="single" w:color="000000" w:sz="4" w:space="0"/>
              <w:right w:val="single" w:color="000000" w:sz="4" w:space="0"/>
            </w:tcBorders>
            <w:shd w:val="clear" w:color="auto" w:fill="auto"/>
            <w:vAlign w:val="center"/>
          </w:tcPr>
          <w:p>
            <w:pPr>
              <w:jc w:val="center"/>
            </w:pPr>
            <w:r>
              <w:rPr>
                <w:rFonts w:hint="eastAsia" w:ascii="仿宋_GB2312" w:hAnsi="宋体" w:eastAsia="仿宋_GB2312" w:cs="宋体"/>
                <w:color w:val="000000"/>
                <w:kern w:val="0"/>
                <w:sz w:val="22"/>
                <w:szCs w:val="22"/>
              </w:rPr>
              <w:t>4</w:t>
            </w:r>
          </w:p>
        </w:tc>
        <w:tc>
          <w:tcPr>
            <w:tcW w:w="512" w:type="dxa"/>
            <w:tcBorders>
              <w:top w:val="nil"/>
              <w:left w:val="nil"/>
              <w:bottom w:val="single" w:color="000000" w:sz="4" w:space="0"/>
              <w:right w:val="single" w:color="000000" w:sz="4" w:space="0"/>
            </w:tcBorders>
            <w:shd w:val="clear" w:color="auto" w:fill="auto"/>
            <w:vAlign w:val="center"/>
          </w:tcPr>
          <w:p>
            <w:pPr>
              <w:jc w:val="center"/>
            </w:pPr>
            <w:r>
              <w:rPr>
                <w:rFonts w:hint="eastAsia" w:ascii="仿宋_GB2312" w:hAnsi="宋体" w:eastAsia="仿宋_GB2312" w:cs="宋体"/>
                <w:color w:val="000000"/>
                <w:kern w:val="0"/>
                <w:sz w:val="22"/>
                <w:szCs w:val="22"/>
              </w:rPr>
              <w:t>4</w:t>
            </w:r>
          </w:p>
        </w:tc>
        <w:tc>
          <w:tcPr>
            <w:tcW w:w="2268"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微软雅黑" w:eastAsia="仿宋_GB2312" w:cs="宋体"/>
                <w:iCs/>
                <w:color w:val="000000"/>
                <w:kern w:val="0"/>
                <w:sz w:val="22"/>
                <w:szCs w:val="22"/>
              </w:rPr>
            </w:pPr>
          </w:p>
        </w:tc>
      </w:tr>
      <w:tr>
        <w:trPr>
          <w:trHeight w:val="400" w:hRule="atLeast"/>
        </w:trPr>
        <w:tc>
          <w:tcPr>
            <w:tcW w:w="679" w:type="dxa"/>
            <w:tcBorders>
              <w:top w:val="nil"/>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color w:val="000000"/>
                <w:kern w:val="0"/>
                <w:sz w:val="22"/>
                <w:szCs w:val="22"/>
              </w:rPr>
            </w:pPr>
          </w:p>
        </w:tc>
        <w:tc>
          <w:tcPr>
            <w:tcW w:w="2055" w:type="dxa"/>
            <w:vMerge w:val="continue"/>
            <w:tcBorders>
              <w:left w:val="nil"/>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p>
        </w:tc>
        <w:tc>
          <w:tcPr>
            <w:tcW w:w="1534" w:type="dxa"/>
            <w:vMerge w:val="continue"/>
            <w:tcBorders>
              <w:left w:val="nil"/>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p>
        </w:tc>
        <w:tc>
          <w:tcPr>
            <w:tcW w:w="2497" w:type="dxa"/>
            <w:tcBorders>
              <w:top w:val="nil"/>
              <w:left w:val="nil"/>
              <w:bottom w:val="single" w:color="000000" w:sz="4" w:space="0"/>
              <w:right w:val="single" w:color="000000" w:sz="4" w:space="0"/>
            </w:tcBorders>
            <w:shd w:val="clear" w:color="auto" w:fill="auto"/>
            <w:vAlign w:val="center"/>
          </w:tcPr>
          <w:p>
            <w:pPr>
              <w:rPr>
                <w:rFonts w:ascii="仿宋_GB2312" w:hAnsi="华文楷体" w:eastAsia="仿宋_GB2312" w:cs="宋体"/>
                <w:color w:val="000000"/>
                <w:sz w:val="22"/>
                <w:szCs w:val="22"/>
              </w:rPr>
            </w:pPr>
            <w:r>
              <w:rPr>
                <w:rFonts w:hint="eastAsia" w:ascii="仿宋_GB2312" w:hAnsi="华文楷体" w:eastAsia="仿宋_GB2312"/>
                <w:color w:val="000000"/>
                <w:sz w:val="22"/>
                <w:szCs w:val="22"/>
              </w:rPr>
              <w:t>特种设备安全培训次数</w:t>
            </w:r>
          </w:p>
        </w:tc>
        <w:tc>
          <w:tcPr>
            <w:tcW w:w="763"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华文楷体" w:eastAsia="仿宋_GB2312"/>
                <w:color w:val="000000"/>
                <w:sz w:val="22"/>
                <w:szCs w:val="22"/>
              </w:rPr>
              <w:t>≥</w:t>
            </w:r>
          </w:p>
        </w:tc>
        <w:tc>
          <w:tcPr>
            <w:tcW w:w="1276" w:type="dxa"/>
            <w:tcBorders>
              <w:top w:val="nil"/>
              <w:left w:val="nil"/>
              <w:bottom w:val="single" w:color="000000" w:sz="4" w:space="0"/>
              <w:right w:val="single" w:color="000000" w:sz="4" w:space="0"/>
            </w:tcBorders>
            <w:shd w:val="clear" w:color="auto" w:fill="auto"/>
            <w:vAlign w:val="center"/>
          </w:tcPr>
          <w:p>
            <w:pPr>
              <w:jc w:val="center"/>
              <w:rPr>
                <w:rFonts w:ascii="仿宋_GB2312" w:hAnsi="华文楷体" w:eastAsia="仿宋_GB2312" w:cs="宋体"/>
                <w:color w:val="000000"/>
                <w:sz w:val="22"/>
                <w:szCs w:val="22"/>
              </w:rPr>
            </w:pPr>
            <w:r>
              <w:rPr>
                <w:rFonts w:hint="eastAsia" w:ascii="仿宋_GB2312" w:hAnsi="华文楷体" w:eastAsia="仿宋_GB2312"/>
                <w:color w:val="000000"/>
                <w:sz w:val="22"/>
                <w:szCs w:val="22"/>
              </w:rPr>
              <w:t>1</w:t>
            </w:r>
          </w:p>
        </w:tc>
        <w:tc>
          <w:tcPr>
            <w:tcW w:w="677"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次</w:t>
            </w:r>
          </w:p>
        </w:tc>
        <w:tc>
          <w:tcPr>
            <w:tcW w:w="1100" w:type="dxa"/>
            <w:tcBorders>
              <w:top w:val="nil"/>
              <w:left w:val="nil"/>
              <w:bottom w:val="single" w:color="000000" w:sz="4" w:space="0"/>
              <w:right w:val="single" w:color="000000" w:sz="4" w:space="0"/>
            </w:tcBorders>
            <w:shd w:val="clear" w:color="auto" w:fill="auto"/>
            <w:vAlign w:val="center"/>
          </w:tcPr>
          <w:p>
            <w:pPr>
              <w:jc w:val="center"/>
              <w:rPr>
                <w:rFonts w:ascii="仿宋_GB2312" w:hAnsi="华文楷体" w:eastAsia="仿宋_GB2312" w:cs="宋体"/>
                <w:color w:val="000000"/>
                <w:sz w:val="22"/>
                <w:szCs w:val="22"/>
              </w:rPr>
            </w:pPr>
            <w:r>
              <w:rPr>
                <w:rFonts w:hint="eastAsia" w:ascii="仿宋_GB2312" w:hAnsi="华文楷体" w:eastAsia="仿宋_GB2312"/>
                <w:color w:val="000000"/>
                <w:sz w:val="22"/>
                <w:szCs w:val="22"/>
              </w:rPr>
              <w:t>1</w:t>
            </w:r>
          </w:p>
        </w:tc>
        <w:tc>
          <w:tcPr>
            <w:tcW w:w="546" w:type="dxa"/>
            <w:tcBorders>
              <w:top w:val="nil"/>
              <w:left w:val="nil"/>
              <w:bottom w:val="single" w:color="000000" w:sz="4" w:space="0"/>
              <w:right w:val="single" w:color="000000" w:sz="4" w:space="0"/>
            </w:tcBorders>
            <w:shd w:val="clear" w:color="auto" w:fill="auto"/>
            <w:vAlign w:val="center"/>
          </w:tcPr>
          <w:p>
            <w:pPr>
              <w:jc w:val="center"/>
            </w:pPr>
            <w:r>
              <w:rPr>
                <w:rFonts w:hint="eastAsia" w:ascii="仿宋_GB2312" w:hAnsi="宋体" w:eastAsia="仿宋_GB2312" w:cs="宋体"/>
                <w:color w:val="000000"/>
                <w:kern w:val="0"/>
                <w:sz w:val="22"/>
                <w:szCs w:val="22"/>
              </w:rPr>
              <w:t>4</w:t>
            </w:r>
          </w:p>
        </w:tc>
        <w:tc>
          <w:tcPr>
            <w:tcW w:w="512" w:type="dxa"/>
            <w:tcBorders>
              <w:top w:val="nil"/>
              <w:left w:val="nil"/>
              <w:bottom w:val="single" w:color="000000" w:sz="4" w:space="0"/>
              <w:right w:val="single" w:color="000000" w:sz="4" w:space="0"/>
            </w:tcBorders>
            <w:shd w:val="clear" w:color="auto" w:fill="auto"/>
            <w:vAlign w:val="center"/>
          </w:tcPr>
          <w:p>
            <w:pPr>
              <w:jc w:val="center"/>
            </w:pPr>
            <w:r>
              <w:rPr>
                <w:rFonts w:hint="eastAsia" w:ascii="仿宋_GB2312" w:hAnsi="宋体" w:eastAsia="仿宋_GB2312" w:cs="宋体"/>
                <w:color w:val="000000"/>
                <w:kern w:val="0"/>
                <w:sz w:val="22"/>
                <w:szCs w:val="22"/>
              </w:rPr>
              <w:t>4</w:t>
            </w:r>
          </w:p>
        </w:tc>
        <w:tc>
          <w:tcPr>
            <w:tcW w:w="2268"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微软雅黑" w:eastAsia="仿宋_GB2312" w:cs="宋体"/>
                <w:iCs/>
                <w:color w:val="000000"/>
                <w:kern w:val="0"/>
                <w:sz w:val="22"/>
                <w:szCs w:val="22"/>
              </w:rPr>
            </w:pPr>
          </w:p>
        </w:tc>
      </w:tr>
      <w:tr>
        <w:tblPrEx>
          <w:tblCellMar>
            <w:top w:w="0" w:type="dxa"/>
            <w:left w:w="108" w:type="dxa"/>
            <w:bottom w:w="0" w:type="dxa"/>
            <w:right w:w="108" w:type="dxa"/>
          </w:tblCellMar>
        </w:tblPrEx>
        <w:trPr>
          <w:trHeight w:val="338" w:hRule="atLeast"/>
        </w:trPr>
        <w:tc>
          <w:tcPr>
            <w:tcW w:w="679" w:type="dxa"/>
            <w:tcBorders>
              <w:top w:val="nil"/>
              <w:left w:val="single" w:color="000000" w:sz="4" w:space="0"/>
              <w:bottom w:val="single" w:color="auto" w:sz="4" w:space="0"/>
              <w:right w:val="single" w:color="000000" w:sz="4" w:space="0"/>
            </w:tcBorders>
            <w:vAlign w:val="center"/>
          </w:tcPr>
          <w:p>
            <w:pPr>
              <w:widowControl/>
              <w:jc w:val="left"/>
              <w:rPr>
                <w:rFonts w:ascii="仿宋_GB2312" w:hAnsi="宋体" w:eastAsia="仿宋_GB2312" w:cs="宋体"/>
                <w:color w:val="000000"/>
                <w:kern w:val="0"/>
                <w:sz w:val="22"/>
                <w:szCs w:val="22"/>
              </w:rPr>
            </w:pPr>
          </w:p>
        </w:tc>
        <w:tc>
          <w:tcPr>
            <w:tcW w:w="2055" w:type="dxa"/>
            <w:vMerge w:val="continue"/>
            <w:tcBorders>
              <w:left w:val="nil"/>
              <w:bottom w:val="single" w:color="auto"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p>
        </w:tc>
        <w:tc>
          <w:tcPr>
            <w:tcW w:w="1534" w:type="dxa"/>
            <w:vMerge w:val="continue"/>
            <w:tcBorders>
              <w:left w:val="nil"/>
              <w:bottom w:val="single" w:color="auto"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p>
        </w:tc>
        <w:tc>
          <w:tcPr>
            <w:tcW w:w="2497" w:type="dxa"/>
            <w:tcBorders>
              <w:top w:val="nil"/>
              <w:left w:val="nil"/>
              <w:bottom w:val="single" w:color="auto" w:sz="4" w:space="0"/>
              <w:right w:val="single" w:color="000000" w:sz="4" w:space="0"/>
            </w:tcBorders>
            <w:shd w:val="clear" w:color="auto" w:fill="auto"/>
            <w:vAlign w:val="center"/>
          </w:tcPr>
          <w:p>
            <w:pPr>
              <w:rPr>
                <w:rFonts w:ascii="仿宋_GB2312" w:hAnsi="华文楷体" w:eastAsia="仿宋_GB2312" w:cs="宋体"/>
                <w:color w:val="000000"/>
                <w:sz w:val="22"/>
                <w:szCs w:val="22"/>
              </w:rPr>
            </w:pPr>
            <w:r>
              <w:rPr>
                <w:rFonts w:hint="eastAsia" w:ascii="仿宋_GB2312" w:hAnsi="华文楷体" w:eastAsia="仿宋_GB2312"/>
                <w:color w:val="000000"/>
                <w:sz w:val="22"/>
                <w:szCs w:val="22"/>
              </w:rPr>
              <w:t>食药械化专项整治行动次数</w:t>
            </w:r>
          </w:p>
        </w:tc>
        <w:tc>
          <w:tcPr>
            <w:tcW w:w="763" w:type="dxa"/>
            <w:gridSpan w:val="2"/>
            <w:tcBorders>
              <w:top w:val="nil"/>
              <w:left w:val="nil"/>
              <w:bottom w:val="single" w:color="auto"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华文楷体" w:eastAsia="仿宋_GB2312"/>
                <w:color w:val="000000"/>
                <w:sz w:val="22"/>
                <w:szCs w:val="22"/>
              </w:rPr>
              <w:t>≥</w:t>
            </w:r>
          </w:p>
        </w:tc>
        <w:tc>
          <w:tcPr>
            <w:tcW w:w="1276" w:type="dxa"/>
            <w:tcBorders>
              <w:top w:val="nil"/>
              <w:left w:val="nil"/>
              <w:bottom w:val="single" w:color="auto" w:sz="4" w:space="0"/>
              <w:right w:val="single" w:color="000000" w:sz="4" w:space="0"/>
            </w:tcBorders>
            <w:shd w:val="clear" w:color="auto" w:fill="auto"/>
            <w:vAlign w:val="center"/>
          </w:tcPr>
          <w:p>
            <w:pPr>
              <w:jc w:val="center"/>
              <w:rPr>
                <w:rFonts w:ascii="仿宋_GB2312" w:hAnsi="华文楷体" w:eastAsia="仿宋_GB2312" w:cs="宋体"/>
                <w:color w:val="000000"/>
                <w:sz w:val="22"/>
                <w:szCs w:val="22"/>
              </w:rPr>
            </w:pPr>
            <w:r>
              <w:rPr>
                <w:rFonts w:hint="eastAsia" w:ascii="仿宋_GB2312" w:hAnsi="华文楷体" w:eastAsia="仿宋_GB2312"/>
                <w:color w:val="000000"/>
                <w:sz w:val="22"/>
                <w:szCs w:val="22"/>
              </w:rPr>
              <w:t>12</w:t>
            </w:r>
          </w:p>
        </w:tc>
        <w:tc>
          <w:tcPr>
            <w:tcW w:w="677" w:type="dxa"/>
            <w:tcBorders>
              <w:top w:val="nil"/>
              <w:left w:val="nil"/>
              <w:bottom w:val="single" w:color="auto"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次</w:t>
            </w:r>
          </w:p>
        </w:tc>
        <w:tc>
          <w:tcPr>
            <w:tcW w:w="1100" w:type="dxa"/>
            <w:tcBorders>
              <w:top w:val="nil"/>
              <w:left w:val="nil"/>
              <w:bottom w:val="single" w:color="auto" w:sz="4" w:space="0"/>
              <w:right w:val="single" w:color="000000" w:sz="4" w:space="0"/>
            </w:tcBorders>
            <w:shd w:val="clear" w:color="auto" w:fill="auto"/>
            <w:vAlign w:val="center"/>
          </w:tcPr>
          <w:p>
            <w:pPr>
              <w:jc w:val="center"/>
              <w:rPr>
                <w:rFonts w:ascii="仿宋_GB2312" w:hAnsi="华文楷体" w:eastAsia="仿宋_GB2312" w:cs="宋体"/>
                <w:color w:val="000000"/>
                <w:sz w:val="22"/>
                <w:szCs w:val="22"/>
              </w:rPr>
            </w:pPr>
            <w:r>
              <w:rPr>
                <w:rFonts w:hint="eastAsia" w:ascii="仿宋_GB2312" w:hAnsi="华文楷体" w:eastAsia="仿宋_GB2312"/>
                <w:color w:val="000000"/>
                <w:sz w:val="22"/>
                <w:szCs w:val="22"/>
              </w:rPr>
              <w:t>已完成</w:t>
            </w:r>
          </w:p>
        </w:tc>
        <w:tc>
          <w:tcPr>
            <w:tcW w:w="546" w:type="dxa"/>
            <w:tcBorders>
              <w:top w:val="nil"/>
              <w:left w:val="nil"/>
              <w:bottom w:val="single" w:color="auto" w:sz="4" w:space="0"/>
              <w:right w:val="single" w:color="000000" w:sz="4" w:space="0"/>
            </w:tcBorders>
            <w:shd w:val="clear" w:color="auto" w:fill="auto"/>
            <w:vAlign w:val="center"/>
          </w:tcPr>
          <w:p>
            <w:pPr>
              <w:jc w:val="center"/>
            </w:pPr>
            <w:r>
              <w:rPr>
                <w:rFonts w:hint="eastAsia" w:ascii="仿宋_GB2312" w:hAnsi="宋体" w:eastAsia="仿宋_GB2312" w:cs="宋体"/>
                <w:color w:val="000000"/>
                <w:kern w:val="0"/>
                <w:sz w:val="22"/>
                <w:szCs w:val="22"/>
              </w:rPr>
              <w:t>4</w:t>
            </w:r>
          </w:p>
        </w:tc>
        <w:tc>
          <w:tcPr>
            <w:tcW w:w="512" w:type="dxa"/>
            <w:tcBorders>
              <w:top w:val="nil"/>
              <w:left w:val="nil"/>
              <w:bottom w:val="single" w:color="auto" w:sz="4" w:space="0"/>
              <w:right w:val="single" w:color="000000" w:sz="4" w:space="0"/>
            </w:tcBorders>
            <w:shd w:val="clear" w:color="auto" w:fill="auto"/>
            <w:vAlign w:val="center"/>
          </w:tcPr>
          <w:p>
            <w:pPr>
              <w:jc w:val="center"/>
            </w:pPr>
            <w:r>
              <w:rPr>
                <w:rFonts w:hint="eastAsia" w:ascii="仿宋_GB2312" w:hAnsi="宋体" w:eastAsia="仿宋_GB2312" w:cs="宋体"/>
                <w:color w:val="000000"/>
                <w:kern w:val="0"/>
                <w:sz w:val="22"/>
                <w:szCs w:val="22"/>
              </w:rPr>
              <w:t>4</w:t>
            </w:r>
          </w:p>
        </w:tc>
        <w:tc>
          <w:tcPr>
            <w:tcW w:w="2268" w:type="dxa"/>
            <w:tcBorders>
              <w:top w:val="nil"/>
              <w:left w:val="nil"/>
              <w:bottom w:val="single" w:color="auto" w:sz="4" w:space="0"/>
              <w:right w:val="single" w:color="000000" w:sz="4" w:space="0"/>
            </w:tcBorders>
            <w:shd w:val="clear" w:color="auto" w:fill="auto"/>
            <w:vAlign w:val="center"/>
          </w:tcPr>
          <w:p>
            <w:pPr>
              <w:widowControl/>
              <w:jc w:val="center"/>
              <w:rPr>
                <w:rFonts w:ascii="仿宋_GB2312" w:hAnsi="微软雅黑" w:eastAsia="仿宋_GB2312" w:cs="宋体"/>
                <w:iCs/>
                <w:color w:val="000000"/>
                <w:kern w:val="0"/>
                <w:sz w:val="22"/>
                <w:szCs w:val="22"/>
              </w:rPr>
            </w:pPr>
          </w:p>
        </w:tc>
      </w:tr>
      <w:tr>
        <w:trPr>
          <w:trHeight w:val="338" w:hRule="atLeast"/>
        </w:trPr>
        <w:tc>
          <w:tcPr>
            <w:tcW w:w="679" w:type="dxa"/>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5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p>
        </w:tc>
        <w:tc>
          <w:tcPr>
            <w:tcW w:w="153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hAnsi="华文楷体" w:eastAsia="仿宋_GB2312" w:cs="宋体"/>
                <w:color w:val="000000"/>
                <w:sz w:val="22"/>
                <w:szCs w:val="22"/>
              </w:rPr>
            </w:pPr>
            <w:r>
              <w:rPr>
                <w:rFonts w:hint="eastAsia" w:ascii="仿宋_GB2312" w:hAnsi="华文楷体" w:eastAsia="仿宋_GB2312"/>
                <w:color w:val="000000"/>
                <w:sz w:val="22"/>
                <w:szCs w:val="22"/>
              </w:rPr>
              <w:t>质量指标</w:t>
            </w:r>
          </w:p>
        </w:tc>
        <w:tc>
          <w:tcPr>
            <w:tcW w:w="2497"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仿宋_GB2312" w:hAnsi="华文楷体" w:eastAsia="仿宋_GB2312" w:cs="宋体"/>
                <w:color w:val="000000"/>
                <w:sz w:val="22"/>
                <w:szCs w:val="22"/>
              </w:rPr>
            </w:pPr>
            <w:r>
              <w:rPr>
                <w:rFonts w:hint="eastAsia" w:ascii="仿宋_GB2312" w:hAnsi="华文楷体" w:eastAsia="仿宋_GB2312"/>
                <w:color w:val="000000"/>
                <w:sz w:val="22"/>
                <w:szCs w:val="22"/>
              </w:rPr>
              <w:t>抽检不合格食品核查处置率</w:t>
            </w:r>
          </w:p>
        </w:tc>
        <w:tc>
          <w:tcPr>
            <w:tcW w:w="763"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1276"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hAnsi="华文楷体" w:eastAsia="仿宋_GB2312" w:cs="宋体"/>
                <w:color w:val="000000"/>
                <w:sz w:val="22"/>
                <w:szCs w:val="22"/>
              </w:rPr>
            </w:pPr>
            <w:r>
              <w:rPr>
                <w:rFonts w:hint="eastAsia" w:ascii="仿宋_GB2312" w:hAnsi="华文楷体" w:eastAsia="仿宋_GB2312"/>
                <w:color w:val="000000"/>
                <w:sz w:val="22"/>
                <w:szCs w:val="22"/>
              </w:rPr>
              <w:t>100</w:t>
            </w:r>
          </w:p>
        </w:tc>
        <w:tc>
          <w:tcPr>
            <w:tcW w:w="6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华文楷体" w:eastAsia="仿宋_GB2312"/>
                <w:color w:val="000000"/>
                <w:sz w:val="22"/>
                <w:szCs w:val="22"/>
              </w:rPr>
              <w:t>%</w:t>
            </w:r>
          </w:p>
        </w:tc>
        <w:tc>
          <w:tcPr>
            <w:tcW w:w="110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hAnsi="华文楷体" w:eastAsia="仿宋_GB2312" w:cs="宋体"/>
                <w:color w:val="000000"/>
                <w:sz w:val="22"/>
                <w:szCs w:val="22"/>
              </w:rPr>
            </w:pPr>
            <w:r>
              <w:rPr>
                <w:rFonts w:hint="eastAsia" w:ascii="仿宋_GB2312" w:hAnsi="华文楷体" w:eastAsia="仿宋_GB2312"/>
                <w:color w:val="000000"/>
                <w:sz w:val="22"/>
                <w:szCs w:val="22"/>
              </w:rPr>
              <w:t>100%</w:t>
            </w:r>
          </w:p>
        </w:tc>
        <w:tc>
          <w:tcPr>
            <w:tcW w:w="546"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pPr>
            <w:r>
              <w:rPr>
                <w:rFonts w:hint="eastAsia" w:ascii="仿宋_GB2312" w:hAnsi="宋体" w:eastAsia="仿宋_GB2312" w:cs="宋体"/>
                <w:color w:val="000000"/>
                <w:kern w:val="0"/>
                <w:sz w:val="22"/>
                <w:szCs w:val="22"/>
              </w:rPr>
              <w:t>4</w:t>
            </w:r>
          </w:p>
        </w:tc>
        <w:tc>
          <w:tcPr>
            <w:tcW w:w="51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pPr>
            <w:r>
              <w:rPr>
                <w:rFonts w:hint="eastAsia" w:ascii="仿宋_GB2312" w:hAnsi="宋体" w:eastAsia="仿宋_GB2312" w:cs="宋体"/>
                <w:color w:val="000000"/>
                <w:kern w:val="0"/>
                <w:sz w:val="22"/>
                <w:szCs w:val="22"/>
              </w:rPr>
              <w:t>4</w:t>
            </w:r>
          </w:p>
        </w:tc>
        <w:tc>
          <w:tcPr>
            <w:tcW w:w="22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p>
        </w:tc>
      </w:tr>
      <w:tr>
        <w:tblPrEx>
          <w:tblCellMar>
            <w:top w:w="0" w:type="dxa"/>
            <w:left w:w="108" w:type="dxa"/>
            <w:bottom w:w="0" w:type="dxa"/>
            <w:right w:w="108" w:type="dxa"/>
          </w:tblCellMar>
        </w:tblPrEx>
        <w:trPr>
          <w:trHeight w:val="338" w:hRule="atLeast"/>
        </w:trPr>
        <w:tc>
          <w:tcPr>
            <w:tcW w:w="679" w:type="dxa"/>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5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p>
        </w:tc>
        <w:tc>
          <w:tcPr>
            <w:tcW w:w="153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p>
        </w:tc>
        <w:tc>
          <w:tcPr>
            <w:tcW w:w="2497"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仿宋_GB2312" w:hAnsi="华文楷体" w:eastAsia="仿宋_GB2312" w:cs="宋体"/>
                <w:color w:val="000000"/>
                <w:sz w:val="22"/>
                <w:szCs w:val="22"/>
              </w:rPr>
            </w:pPr>
            <w:r>
              <w:rPr>
                <w:rFonts w:hint="eastAsia" w:ascii="仿宋_GB2312" w:hAnsi="华文楷体" w:eastAsia="仿宋_GB2312"/>
                <w:color w:val="000000"/>
                <w:sz w:val="22"/>
                <w:szCs w:val="22"/>
              </w:rPr>
              <w:t>市场主体年报公示率</w:t>
            </w:r>
          </w:p>
        </w:tc>
        <w:tc>
          <w:tcPr>
            <w:tcW w:w="763"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华文楷体" w:eastAsia="仿宋_GB2312"/>
                <w:color w:val="000000"/>
                <w:sz w:val="22"/>
                <w:szCs w:val="22"/>
              </w:rPr>
              <w:t>≥</w:t>
            </w:r>
          </w:p>
        </w:tc>
        <w:tc>
          <w:tcPr>
            <w:tcW w:w="1276"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hAnsi="华文楷体" w:eastAsia="仿宋_GB2312" w:cs="宋体"/>
                <w:color w:val="000000"/>
                <w:sz w:val="22"/>
                <w:szCs w:val="22"/>
              </w:rPr>
            </w:pPr>
            <w:r>
              <w:rPr>
                <w:rFonts w:hint="eastAsia" w:ascii="仿宋_GB2312" w:hAnsi="华文楷体" w:eastAsia="仿宋_GB2312"/>
                <w:color w:val="000000"/>
                <w:sz w:val="22"/>
                <w:szCs w:val="22"/>
              </w:rPr>
              <w:t>90</w:t>
            </w:r>
          </w:p>
        </w:tc>
        <w:tc>
          <w:tcPr>
            <w:tcW w:w="6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华文楷体" w:eastAsia="仿宋_GB2312"/>
                <w:color w:val="000000"/>
                <w:sz w:val="22"/>
                <w:szCs w:val="22"/>
              </w:rPr>
              <w:t>%</w:t>
            </w:r>
          </w:p>
        </w:tc>
        <w:tc>
          <w:tcPr>
            <w:tcW w:w="110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hAnsi="华文楷体" w:eastAsia="仿宋_GB2312" w:cs="宋体"/>
                <w:color w:val="000000"/>
                <w:sz w:val="22"/>
                <w:szCs w:val="22"/>
              </w:rPr>
            </w:pPr>
            <w:r>
              <w:rPr>
                <w:rFonts w:hint="eastAsia" w:ascii="仿宋_GB2312" w:hAnsi="华文楷体" w:eastAsia="仿宋_GB2312"/>
                <w:color w:val="000000"/>
                <w:sz w:val="22"/>
                <w:szCs w:val="22"/>
              </w:rPr>
              <w:t>91%</w:t>
            </w:r>
          </w:p>
        </w:tc>
        <w:tc>
          <w:tcPr>
            <w:tcW w:w="546"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pPr>
            <w:r>
              <w:rPr>
                <w:rFonts w:hint="eastAsia" w:ascii="仿宋_GB2312" w:hAnsi="宋体" w:eastAsia="仿宋_GB2312" w:cs="宋体"/>
                <w:color w:val="000000"/>
                <w:kern w:val="0"/>
                <w:sz w:val="22"/>
                <w:szCs w:val="22"/>
              </w:rPr>
              <w:t>4</w:t>
            </w:r>
          </w:p>
        </w:tc>
        <w:tc>
          <w:tcPr>
            <w:tcW w:w="51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pPr>
            <w:r>
              <w:rPr>
                <w:rFonts w:hint="eastAsia" w:ascii="仿宋_GB2312" w:hAnsi="宋体" w:eastAsia="仿宋_GB2312" w:cs="宋体"/>
                <w:color w:val="000000"/>
                <w:kern w:val="0"/>
                <w:sz w:val="22"/>
                <w:szCs w:val="22"/>
              </w:rPr>
              <w:t>4</w:t>
            </w:r>
          </w:p>
        </w:tc>
        <w:tc>
          <w:tcPr>
            <w:tcW w:w="22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p>
        </w:tc>
      </w:tr>
      <w:tr>
        <w:trPr>
          <w:trHeight w:val="338" w:hRule="atLeast"/>
        </w:trPr>
        <w:tc>
          <w:tcPr>
            <w:tcW w:w="679" w:type="dxa"/>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5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p>
        </w:tc>
        <w:tc>
          <w:tcPr>
            <w:tcW w:w="153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p>
        </w:tc>
        <w:tc>
          <w:tcPr>
            <w:tcW w:w="2497"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仿宋_GB2312" w:hAnsi="华文楷体" w:eastAsia="仿宋_GB2312" w:cs="宋体"/>
                <w:color w:val="000000"/>
                <w:sz w:val="22"/>
                <w:szCs w:val="22"/>
              </w:rPr>
            </w:pPr>
            <w:r>
              <w:rPr>
                <w:rFonts w:hint="eastAsia" w:ascii="仿宋_GB2312" w:hAnsi="华文楷体" w:eastAsia="仿宋_GB2312"/>
                <w:color w:val="000000"/>
                <w:sz w:val="22"/>
                <w:szCs w:val="22"/>
              </w:rPr>
              <w:t>特种设备使用单位巡查率</w:t>
            </w:r>
          </w:p>
        </w:tc>
        <w:tc>
          <w:tcPr>
            <w:tcW w:w="763"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1276"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hAnsi="华文楷体" w:eastAsia="仿宋_GB2312" w:cs="宋体"/>
                <w:color w:val="000000"/>
                <w:sz w:val="22"/>
                <w:szCs w:val="22"/>
              </w:rPr>
            </w:pPr>
            <w:r>
              <w:rPr>
                <w:rFonts w:hint="eastAsia" w:ascii="仿宋_GB2312" w:hAnsi="华文楷体" w:eastAsia="仿宋_GB2312"/>
                <w:color w:val="000000"/>
                <w:sz w:val="22"/>
                <w:szCs w:val="22"/>
              </w:rPr>
              <w:t>100</w:t>
            </w:r>
          </w:p>
        </w:tc>
        <w:tc>
          <w:tcPr>
            <w:tcW w:w="6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华文楷体" w:eastAsia="仿宋_GB2312"/>
                <w:color w:val="000000"/>
                <w:sz w:val="22"/>
                <w:szCs w:val="22"/>
              </w:rPr>
              <w:t>%</w:t>
            </w:r>
          </w:p>
        </w:tc>
        <w:tc>
          <w:tcPr>
            <w:tcW w:w="110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hAnsi="华文楷体" w:eastAsia="仿宋_GB2312" w:cs="宋体"/>
                <w:color w:val="000000"/>
                <w:sz w:val="22"/>
                <w:szCs w:val="22"/>
              </w:rPr>
            </w:pPr>
            <w:r>
              <w:rPr>
                <w:rFonts w:hint="eastAsia" w:ascii="仿宋_GB2312" w:hAnsi="华文楷体" w:eastAsia="仿宋_GB2312"/>
                <w:color w:val="000000"/>
                <w:sz w:val="22"/>
                <w:szCs w:val="22"/>
              </w:rPr>
              <w:t>100%</w:t>
            </w:r>
          </w:p>
        </w:tc>
        <w:tc>
          <w:tcPr>
            <w:tcW w:w="546"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pPr>
            <w:r>
              <w:rPr>
                <w:rFonts w:hint="eastAsia" w:ascii="仿宋_GB2312" w:hAnsi="宋体" w:eastAsia="仿宋_GB2312" w:cs="宋体"/>
                <w:color w:val="000000"/>
                <w:kern w:val="0"/>
                <w:sz w:val="22"/>
                <w:szCs w:val="22"/>
              </w:rPr>
              <w:t>4</w:t>
            </w:r>
          </w:p>
        </w:tc>
        <w:tc>
          <w:tcPr>
            <w:tcW w:w="51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pPr>
            <w:r>
              <w:rPr>
                <w:rFonts w:hint="eastAsia" w:ascii="仿宋_GB2312" w:hAnsi="宋体" w:eastAsia="仿宋_GB2312" w:cs="宋体"/>
                <w:color w:val="000000"/>
                <w:kern w:val="0"/>
                <w:sz w:val="22"/>
                <w:szCs w:val="22"/>
              </w:rPr>
              <w:t>4</w:t>
            </w:r>
          </w:p>
        </w:tc>
        <w:tc>
          <w:tcPr>
            <w:tcW w:w="22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p>
        </w:tc>
      </w:tr>
      <w:tr>
        <w:tblPrEx>
          <w:tblCellMar>
            <w:top w:w="0" w:type="dxa"/>
            <w:left w:w="108" w:type="dxa"/>
            <w:bottom w:w="0" w:type="dxa"/>
            <w:right w:w="108" w:type="dxa"/>
          </w:tblCellMar>
        </w:tblPrEx>
        <w:trPr>
          <w:trHeight w:val="498" w:hRule="atLeast"/>
        </w:trPr>
        <w:tc>
          <w:tcPr>
            <w:tcW w:w="679" w:type="dxa"/>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5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p>
        </w:tc>
        <w:tc>
          <w:tcPr>
            <w:tcW w:w="1534"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hAnsi="华文楷体" w:eastAsia="仿宋_GB2312" w:cs="宋体"/>
                <w:color w:val="000000"/>
                <w:sz w:val="22"/>
                <w:szCs w:val="22"/>
              </w:rPr>
            </w:pPr>
            <w:r>
              <w:rPr>
                <w:rFonts w:hint="eastAsia" w:ascii="仿宋_GB2312" w:hAnsi="华文楷体" w:eastAsia="仿宋_GB2312"/>
                <w:color w:val="000000"/>
                <w:sz w:val="22"/>
                <w:szCs w:val="22"/>
              </w:rPr>
              <w:t>时效指标</w:t>
            </w:r>
          </w:p>
        </w:tc>
        <w:tc>
          <w:tcPr>
            <w:tcW w:w="2497"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仿宋_GB2312" w:hAnsi="华文楷体" w:eastAsia="仿宋_GB2312" w:cs="宋体"/>
                <w:color w:val="000000"/>
                <w:sz w:val="22"/>
                <w:szCs w:val="22"/>
              </w:rPr>
            </w:pPr>
            <w:r>
              <w:rPr>
                <w:rFonts w:hint="eastAsia" w:ascii="仿宋_GB2312" w:hAnsi="华文楷体" w:eastAsia="仿宋_GB2312"/>
                <w:color w:val="000000"/>
                <w:sz w:val="22"/>
                <w:szCs w:val="22"/>
              </w:rPr>
              <w:t>项目完成时间</w:t>
            </w:r>
          </w:p>
        </w:tc>
        <w:tc>
          <w:tcPr>
            <w:tcW w:w="763"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华文楷体" w:eastAsia="仿宋_GB2312"/>
                <w:color w:val="000000"/>
                <w:sz w:val="22"/>
                <w:szCs w:val="22"/>
              </w:rPr>
              <w:t>≤</w:t>
            </w:r>
          </w:p>
        </w:tc>
        <w:tc>
          <w:tcPr>
            <w:tcW w:w="1276"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hAnsi="华文楷体" w:eastAsia="仿宋_GB2312" w:cs="宋体"/>
                <w:color w:val="000000"/>
                <w:sz w:val="22"/>
                <w:szCs w:val="22"/>
              </w:rPr>
            </w:pPr>
            <w:r>
              <w:rPr>
                <w:rFonts w:hint="eastAsia" w:ascii="仿宋_GB2312" w:hAnsi="华文楷体" w:eastAsia="仿宋_GB2312"/>
                <w:color w:val="000000"/>
                <w:sz w:val="22"/>
                <w:szCs w:val="22"/>
              </w:rPr>
              <w:t>12</w:t>
            </w:r>
          </w:p>
        </w:tc>
        <w:tc>
          <w:tcPr>
            <w:tcW w:w="6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月</w:t>
            </w:r>
          </w:p>
        </w:tc>
        <w:tc>
          <w:tcPr>
            <w:tcW w:w="110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hAnsi="华文楷体" w:eastAsia="仿宋_GB2312" w:cs="宋体"/>
                <w:color w:val="000000"/>
                <w:sz w:val="22"/>
                <w:szCs w:val="22"/>
              </w:rPr>
            </w:pPr>
            <w:r>
              <w:rPr>
                <w:rFonts w:hint="eastAsia" w:ascii="仿宋_GB2312" w:hAnsi="华文楷体" w:eastAsia="仿宋_GB2312"/>
                <w:color w:val="000000"/>
                <w:sz w:val="22"/>
                <w:szCs w:val="22"/>
              </w:rPr>
              <w:t>按时间节点完成</w:t>
            </w:r>
          </w:p>
        </w:tc>
        <w:tc>
          <w:tcPr>
            <w:tcW w:w="54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4</w:t>
            </w:r>
          </w:p>
        </w:tc>
        <w:tc>
          <w:tcPr>
            <w:tcW w:w="5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4</w:t>
            </w:r>
          </w:p>
        </w:tc>
        <w:tc>
          <w:tcPr>
            <w:tcW w:w="22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p>
        </w:tc>
      </w:tr>
      <w:tr>
        <w:trPr>
          <w:trHeight w:val="338" w:hRule="atLeast"/>
        </w:trPr>
        <w:tc>
          <w:tcPr>
            <w:tcW w:w="679" w:type="dxa"/>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5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成本指标</w:t>
            </w:r>
          </w:p>
        </w:tc>
        <w:tc>
          <w:tcPr>
            <w:tcW w:w="153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hAnsi="华文楷体" w:eastAsia="仿宋_GB2312" w:cs="宋体"/>
                <w:color w:val="000000"/>
                <w:sz w:val="22"/>
                <w:szCs w:val="22"/>
              </w:rPr>
            </w:pPr>
            <w:r>
              <w:rPr>
                <w:rFonts w:hint="eastAsia" w:ascii="仿宋_GB2312" w:hAnsi="华文楷体" w:eastAsia="仿宋_GB2312"/>
                <w:color w:val="000000"/>
                <w:sz w:val="22"/>
                <w:szCs w:val="22"/>
              </w:rPr>
              <w:t>经济成本指标</w:t>
            </w:r>
          </w:p>
        </w:tc>
        <w:tc>
          <w:tcPr>
            <w:tcW w:w="2497"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仿宋_GB2312" w:hAnsi="华文楷体" w:eastAsia="仿宋_GB2312" w:cs="宋体"/>
                <w:color w:val="000000"/>
                <w:sz w:val="22"/>
                <w:szCs w:val="22"/>
              </w:rPr>
            </w:pPr>
            <w:r>
              <w:rPr>
                <w:rFonts w:hint="eastAsia" w:ascii="仿宋_GB2312" w:hAnsi="华文楷体" w:eastAsia="仿宋_GB2312"/>
                <w:color w:val="000000"/>
                <w:sz w:val="22"/>
                <w:szCs w:val="22"/>
              </w:rPr>
              <w:t>食品抽检监测成本</w:t>
            </w:r>
          </w:p>
        </w:tc>
        <w:tc>
          <w:tcPr>
            <w:tcW w:w="763"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华文楷体" w:eastAsia="仿宋_GB2312"/>
                <w:color w:val="000000"/>
                <w:sz w:val="22"/>
                <w:szCs w:val="22"/>
              </w:rPr>
              <w:t>≤</w:t>
            </w:r>
          </w:p>
        </w:tc>
        <w:tc>
          <w:tcPr>
            <w:tcW w:w="1276"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hAnsi="华文楷体" w:eastAsia="仿宋_GB2312" w:cs="宋体"/>
                <w:color w:val="000000"/>
                <w:sz w:val="22"/>
                <w:szCs w:val="22"/>
              </w:rPr>
            </w:pPr>
            <w:r>
              <w:rPr>
                <w:rFonts w:hint="eastAsia" w:ascii="仿宋_GB2312" w:hAnsi="华文楷体" w:eastAsia="仿宋_GB2312"/>
                <w:color w:val="000000"/>
                <w:sz w:val="22"/>
                <w:szCs w:val="22"/>
              </w:rPr>
              <w:t>2000</w:t>
            </w:r>
          </w:p>
        </w:tc>
        <w:tc>
          <w:tcPr>
            <w:tcW w:w="6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华文楷体" w:eastAsia="仿宋_GB2312"/>
                <w:color w:val="000000"/>
                <w:sz w:val="22"/>
                <w:szCs w:val="22"/>
              </w:rPr>
              <w:t>元/批次</w:t>
            </w:r>
          </w:p>
        </w:tc>
        <w:tc>
          <w:tcPr>
            <w:tcW w:w="110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hAnsi="华文楷体" w:eastAsia="仿宋_GB2312" w:cs="宋体"/>
                <w:color w:val="000000"/>
                <w:sz w:val="22"/>
                <w:szCs w:val="22"/>
              </w:rPr>
            </w:pPr>
            <w:r>
              <w:rPr>
                <w:rFonts w:hint="eastAsia" w:ascii="仿宋_GB2312" w:hAnsi="华文楷体" w:eastAsia="仿宋_GB2312"/>
                <w:color w:val="000000"/>
                <w:sz w:val="22"/>
                <w:szCs w:val="22"/>
              </w:rPr>
              <w:t>按标准执行</w:t>
            </w:r>
          </w:p>
        </w:tc>
        <w:tc>
          <w:tcPr>
            <w:tcW w:w="54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w:t>
            </w:r>
          </w:p>
        </w:tc>
        <w:tc>
          <w:tcPr>
            <w:tcW w:w="51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pPr>
            <w:r>
              <w:rPr>
                <w:rFonts w:hint="eastAsia" w:ascii="仿宋_GB2312" w:hAnsi="宋体" w:eastAsia="仿宋_GB2312" w:cs="宋体"/>
                <w:color w:val="000000"/>
                <w:kern w:val="0"/>
                <w:sz w:val="22"/>
                <w:szCs w:val="22"/>
              </w:rPr>
              <w:t>10</w:t>
            </w:r>
          </w:p>
        </w:tc>
        <w:tc>
          <w:tcPr>
            <w:tcW w:w="22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p>
        </w:tc>
      </w:tr>
      <w:tr>
        <w:tblPrEx>
          <w:tblCellMar>
            <w:top w:w="0" w:type="dxa"/>
            <w:left w:w="108" w:type="dxa"/>
            <w:bottom w:w="0" w:type="dxa"/>
            <w:right w:w="108" w:type="dxa"/>
          </w:tblCellMar>
        </w:tblPrEx>
        <w:trPr>
          <w:trHeight w:val="338" w:hRule="atLeast"/>
        </w:trPr>
        <w:tc>
          <w:tcPr>
            <w:tcW w:w="679" w:type="dxa"/>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5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p>
        </w:tc>
        <w:tc>
          <w:tcPr>
            <w:tcW w:w="153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p>
        </w:tc>
        <w:tc>
          <w:tcPr>
            <w:tcW w:w="2497"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仿宋_GB2312" w:hAnsi="华文楷体" w:eastAsia="仿宋_GB2312" w:cs="宋体"/>
                <w:color w:val="000000"/>
                <w:sz w:val="22"/>
                <w:szCs w:val="22"/>
              </w:rPr>
            </w:pPr>
            <w:r>
              <w:rPr>
                <w:rFonts w:hint="eastAsia" w:ascii="仿宋_GB2312" w:hAnsi="华文楷体" w:eastAsia="仿宋_GB2312"/>
                <w:color w:val="000000"/>
                <w:sz w:val="22"/>
                <w:szCs w:val="22"/>
              </w:rPr>
              <w:t>差旅补助成本每人每天</w:t>
            </w:r>
          </w:p>
        </w:tc>
        <w:tc>
          <w:tcPr>
            <w:tcW w:w="763"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华文楷体" w:eastAsia="仿宋_GB2312"/>
                <w:color w:val="000000"/>
                <w:sz w:val="22"/>
                <w:szCs w:val="22"/>
              </w:rPr>
              <w:t>≤</w:t>
            </w:r>
          </w:p>
        </w:tc>
        <w:tc>
          <w:tcPr>
            <w:tcW w:w="1276"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hAnsi="华文楷体" w:eastAsia="仿宋_GB2312" w:cs="宋体"/>
                <w:color w:val="000000"/>
                <w:sz w:val="22"/>
                <w:szCs w:val="22"/>
              </w:rPr>
            </w:pPr>
            <w:r>
              <w:rPr>
                <w:rFonts w:hint="eastAsia" w:ascii="仿宋_GB2312" w:hAnsi="华文楷体" w:eastAsia="仿宋_GB2312"/>
                <w:color w:val="000000"/>
                <w:sz w:val="22"/>
                <w:szCs w:val="22"/>
              </w:rPr>
              <w:t>180</w:t>
            </w:r>
          </w:p>
        </w:tc>
        <w:tc>
          <w:tcPr>
            <w:tcW w:w="6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华文楷体" w:eastAsia="仿宋_GB2312"/>
                <w:color w:val="000000"/>
                <w:sz w:val="22"/>
                <w:szCs w:val="22"/>
              </w:rPr>
              <w:t>元</w:t>
            </w:r>
          </w:p>
        </w:tc>
        <w:tc>
          <w:tcPr>
            <w:tcW w:w="110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hAnsi="华文楷体" w:eastAsia="仿宋_GB2312" w:cs="宋体"/>
                <w:color w:val="000000"/>
                <w:sz w:val="22"/>
                <w:szCs w:val="22"/>
              </w:rPr>
            </w:pPr>
            <w:r>
              <w:rPr>
                <w:rFonts w:hint="eastAsia" w:ascii="仿宋_GB2312" w:hAnsi="华文楷体" w:eastAsia="仿宋_GB2312"/>
                <w:color w:val="000000"/>
                <w:sz w:val="22"/>
                <w:szCs w:val="22"/>
              </w:rPr>
              <w:t>按标准执行</w:t>
            </w:r>
          </w:p>
        </w:tc>
        <w:tc>
          <w:tcPr>
            <w:tcW w:w="54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w:t>
            </w:r>
          </w:p>
        </w:tc>
        <w:tc>
          <w:tcPr>
            <w:tcW w:w="51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pPr>
            <w:r>
              <w:rPr>
                <w:rFonts w:hint="eastAsia" w:ascii="仿宋_GB2312" w:hAnsi="宋体" w:eastAsia="仿宋_GB2312" w:cs="宋体"/>
                <w:color w:val="000000"/>
                <w:kern w:val="0"/>
                <w:sz w:val="22"/>
                <w:szCs w:val="22"/>
              </w:rPr>
              <w:t>10</w:t>
            </w:r>
          </w:p>
        </w:tc>
        <w:tc>
          <w:tcPr>
            <w:tcW w:w="22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p>
        </w:tc>
      </w:tr>
      <w:tr>
        <w:trPr>
          <w:trHeight w:val="338" w:hRule="atLeast"/>
        </w:trPr>
        <w:tc>
          <w:tcPr>
            <w:tcW w:w="679" w:type="dxa"/>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5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效益指标</w:t>
            </w:r>
          </w:p>
        </w:tc>
        <w:tc>
          <w:tcPr>
            <w:tcW w:w="1534"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hAnsi="华文楷体" w:eastAsia="仿宋_GB2312" w:cs="宋体"/>
                <w:color w:val="000000"/>
                <w:sz w:val="22"/>
                <w:szCs w:val="22"/>
              </w:rPr>
            </w:pPr>
            <w:r>
              <w:rPr>
                <w:rFonts w:hint="eastAsia" w:ascii="仿宋_GB2312" w:hAnsi="华文楷体" w:eastAsia="仿宋_GB2312"/>
                <w:color w:val="000000"/>
                <w:sz w:val="22"/>
                <w:szCs w:val="22"/>
              </w:rPr>
              <w:t>社会效益指标</w:t>
            </w:r>
          </w:p>
        </w:tc>
        <w:tc>
          <w:tcPr>
            <w:tcW w:w="2497"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仿宋_GB2312" w:hAnsi="华文楷体" w:eastAsia="仿宋_GB2312" w:cs="宋体"/>
                <w:color w:val="000000"/>
                <w:sz w:val="22"/>
                <w:szCs w:val="22"/>
              </w:rPr>
            </w:pPr>
            <w:r>
              <w:rPr>
                <w:rFonts w:hint="eastAsia" w:ascii="仿宋_GB2312" w:hAnsi="华文楷体" w:eastAsia="仿宋_GB2312"/>
                <w:color w:val="000000"/>
                <w:sz w:val="22"/>
                <w:szCs w:val="22"/>
              </w:rPr>
              <w:t>安全监管水平、公众安全科普知识</w:t>
            </w:r>
          </w:p>
        </w:tc>
        <w:tc>
          <w:tcPr>
            <w:tcW w:w="763"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定性</w:t>
            </w:r>
          </w:p>
        </w:tc>
        <w:tc>
          <w:tcPr>
            <w:tcW w:w="1276"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hAnsi="华文楷体" w:eastAsia="仿宋_GB2312" w:cs="宋体"/>
                <w:color w:val="000000"/>
                <w:sz w:val="22"/>
                <w:szCs w:val="22"/>
              </w:rPr>
            </w:pPr>
            <w:r>
              <w:rPr>
                <w:rFonts w:hint="eastAsia" w:ascii="仿宋_GB2312" w:hAnsi="华文楷体" w:eastAsia="仿宋_GB2312"/>
                <w:color w:val="000000"/>
                <w:sz w:val="22"/>
                <w:szCs w:val="22"/>
              </w:rPr>
              <w:t>优</w:t>
            </w:r>
          </w:p>
        </w:tc>
        <w:tc>
          <w:tcPr>
            <w:tcW w:w="6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级</w:t>
            </w:r>
          </w:p>
        </w:tc>
        <w:tc>
          <w:tcPr>
            <w:tcW w:w="110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hAnsi="华文楷体" w:eastAsia="仿宋_GB2312" w:cs="宋体"/>
                <w:color w:val="000000"/>
                <w:sz w:val="22"/>
                <w:szCs w:val="22"/>
              </w:rPr>
            </w:pPr>
            <w:r>
              <w:rPr>
                <w:rFonts w:hint="eastAsia" w:ascii="仿宋_GB2312" w:hAnsi="华文楷体" w:eastAsia="仿宋_GB2312"/>
                <w:color w:val="000000"/>
                <w:sz w:val="22"/>
                <w:szCs w:val="22"/>
              </w:rPr>
              <w:t>优</w:t>
            </w:r>
          </w:p>
        </w:tc>
        <w:tc>
          <w:tcPr>
            <w:tcW w:w="54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w:t>
            </w:r>
          </w:p>
        </w:tc>
        <w:tc>
          <w:tcPr>
            <w:tcW w:w="51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pPr>
            <w:r>
              <w:rPr>
                <w:rFonts w:hint="eastAsia" w:ascii="仿宋_GB2312" w:hAnsi="宋体" w:eastAsia="仿宋_GB2312" w:cs="宋体"/>
                <w:color w:val="000000"/>
                <w:kern w:val="0"/>
                <w:sz w:val="22"/>
                <w:szCs w:val="22"/>
              </w:rPr>
              <w:t>10</w:t>
            </w:r>
          </w:p>
        </w:tc>
        <w:tc>
          <w:tcPr>
            <w:tcW w:w="22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p>
        </w:tc>
      </w:tr>
      <w:tr>
        <w:tblPrEx>
          <w:tblCellMar>
            <w:top w:w="0" w:type="dxa"/>
            <w:left w:w="108" w:type="dxa"/>
            <w:bottom w:w="0" w:type="dxa"/>
            <w:right w:w="108" w:type="dxa"/>
          </w:tblCellMar>
        </w:tblPrEx>
        <w:trPr>
          <w:trHeight w:val="338" w:hRule="atLeast"/>
        </w:trPr>
        <w:tc>
          <w:tcPr>
            <w:tcW w:w="679" w:type="dxa"/>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5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p>
        </w:tc>
        <w:tc>
          <w:tcPr>
            <w:tcW w:w="1534"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hAnsi="华文楷体" w:eastAsia="仿宋_GB2312" w:cs="宋体"/>
                <w:color w:val="000000"/>
                <w:sz w:val="22"/>
                <w:szCs w:val="22"/>
              </w:rPr>
            </w:pPr>
            <w:r>
              <w:rPr>
                <w:rFonts w:hint="eastAsia" w:ascii="仿宋_GB2312" w:hAnsi="华文楷体" w:eastAsia="仿宋_GB2312"/>
                <w:color w:val="000000"/>
                <w:sz w:val="22"/>
                <w:szCs w:val="22"/>
              </w:rPr>
              <w:t>可持续</w:t>
            </w:r>
            <w:r>
              <w:rPr>
                <w:rFonts w:hint="eastAsia" w:ascii="仿宋_GB2312" w:hAnsi="华文楷体" w:eastAsia="仿宋_GB2312"/>
                <w:color w:val="000000"/>
                <w:sz w:val="22"/>
                <w:szCs w:val="22"/>
              </w:rPr>
              <w:br w:type="textWrapping"/>
            </w:r>
            <w:r>
              <w:rPr>
                <w:rFonts w:hint="eastAsia" w:ascii="仿宋_GB2312" w:hAnsi="华文楷体" w:eastAsia="仿宋_GB2312"/>
                <w:color w:val="000000"/>
                <w:sz w:val="22"/>
                <w:szCs w:val="22"/>
              </w:rPr>
              <w:t>影响指标</w:t>
            </w:r>
          </w:p>
        </w:tc>
        <w:tc>
          <w:tcPr>
            <w:tcW w:w="2497"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仿宋_GB2312" w:hAnsi="华文楷体" w:eastAsia="仿宋_GB2312" w:cs="宋体"/>
                <w:color w:val="000000"/>
                <w:sz w:val="22"/>
                <w:szCs w:val="22"/>
              </w:rPr>
            </w:pPr>
            <w:r>
              <w:rPr>
                <w:rFonts w:hint="eastAsia" w:ascii="仿宋_GB2312" w:hAnsi="华文楷体" w:eastAsia="仿宋_GB2312"/>
                <w:color w:val="000000"/>
                <w:sz w:val="22"/>
                <w:szCs w:val="22"/>
              </w:rPr>
              <w:t>通过监督抽查、风险监测、证后监管等保障人民生命财产健康安全</w:t>
            </w:r>
          </w:p>
        </w:tc>
        <w:tc>
          <w:tcPr>
            <w:tcW w:w="763"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定性</w:t>
            </w:r>
          </w:p>
        </w:tc>
        <w:tc>
          <w:tcPr>
            <w:tcW w:w="1276"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hAnsi="华文楷体" w:eastAsia="仿宋_GB2312" w:cs="宋体"/>
                <w:color w:val="000000"/>
                <w:sz w:val="22"/>
                <w:szCs w:val="22"/>
              </w:rPr>
            </w:pPr>
            <w:r>
              <w:rPr>
                <w:rFonts w:hint="eastAsia" w:ascii="仿宋_GB2312" w:hAnsi="华文楷体" w:eastAsia="仿宋_GB2312"/>
                <w:color w:val="000000"/>
                <w:sz w:val="22"/>
                <w:szCs w:val="22"/>
              </w:rPr>
              <w:t>优</w:t>
            </w:r>
          </w:p>
        </w:tc>
        <w:tc>
          <w:tcPr>
            <w:tcW w:w="6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级</w:t>
            </w:r>
          </w:p>
        </w:tc>
        <w:tc>
          <w:tcPr>
            <w:tcW w:w="110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hAnsi="华文楷体" w:eastAsia="仿宋_GB2312" w:cs="宋体"/>
                <w:color w:val="000000"/>
                <w:sz w:val="22"/>
                <w:szCs w:val="22"/>
              </w:rPr>
            </w:pPr>
            <w:r>
              <w:rPr>
                <w:rFonts w:hint="eastAsia" w:ascii="仿宋_GB2312" w:hAnsi="华文楷体" w:eastAsia="仿宋_GB2312"/>
                <w:color w:val="000000"/>
                <w:sz w:val="22"/>
                <w:szCs w:val="22"/>
              </w:rPr>
              <w:t>优</w:t>
            </w:r>
          </w:p>
        </w:tc>
        <w:tc>
          <w:tcPr>
            <w:tcW w:w="54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w:t>
            </w:r>
          </w:p>
        </w:tc>
        <w:tc>
          <w:tcPr>
            <w:tcW w:w="51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pPr>
            <w:r>
              <w:rPr>
                <w:rFonts w:hint="eastAsia" w:ascii="仿宋_GB2312" w:hAnsi="宋体" w:eastAsia="仿宋_GB2312" w:cs="宋体"/>
                <w:color w:val="000000"/>
                <w:kern w:val="0"/>
                <w:sz w:val="22"/>
                <w:szCs w:val="22"/>
              </w:rPr>
              <w:t>10</w:t>
            </w:r>
          </w:p>
        </w:tc>
        <w:tc>
          <w:tcPr>
            <w:tcW w:w="22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p>
        </w:tc>
      </w:tr>
      <w:tr>
        <w:trPr>
          <w:trHeight w:val="338" w:hRule="atLeast"/>
        </w:trPr>
        <w:tc>
          <w:tcPr>
            <w:tcW w:w="679" w:type="dxa"/>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5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满意度指标</w:t>
            </w:r>
          </w:p>
        </w:tc>
        <w:tc>
          <w:tcPr>
            <w:tcW w:w="1534"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hAnsi="华文楷体" w:eastAsia="仿宋_GB2312" w:cs="宋体"/>
                <w:color w:val="000000"/>
                <w:sz w:val="22"/>
                <w:szCs w:val="22"/>
              </w:rPr>
            </w:pPr>
            <w:r>
              <w:rPr>
                <w:rFonts w:hint="eastAsia" w:ascii="仿宋_GB2312" w:hAnsi="华文楷体" w:eastAsia="仿宋_GB2312"/>
                <w:color w:val="000000"/>
                <w:sz w:val="22"/>
                <w:szCs w:val="22"/>
              </w:rPr>
              <w:t>公众满意度</w:t>
            </w:r>
            <w:r>
              <w:rPr>
                <w:rFonts w:hint="eastAsia" w:ascii="仿宋_GB2312" w:hAnsi="华文楷体" w:eastAsia="仿宋_GB2312"/>
                <w:color w:val="000000"/>
                <w:sz w:val="22"/>
                <w:szCs w:val="22"/>
              </w:rPr>
              <w:br w:type="textWrapping"/>
            </w:r>
            <w:r>
              <w:rPr>
                <w:rFonts w:hint="eastAsia" w:ascii="仿宋_GB2312" w:hAnsi="华文楷体" w:eastAsia="仿宋_GB2312"/>
                <w:color w:val="000000"/>
                <w:sz w:val="22"/>
                <w:szCs w:val="22"/>
              </w:rPr>
              <w:t>指标</w:t>
            </w:r>
          </w:p>
        </w:tc>
        <w:tc>
          <w:tcPr>
            <w:tcW w:w="2497"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仿宋_GB2312" w:hAnsi="华文楷体" w:eastAsia="仿宋_GB2312" w:cs="宋体"/>
                <w:color w:val="000000"/>
                <w:sz w:val="22"/>
                <w:szCs w:val="22"/>
              </w:rPr>
            </w:pPr>
            <w:r>
              <w:rPr>
                <w:rFonts w:hint="eastAsia" w:ascii="仿宋_GB2312" w:hAnsi="华文楷体" w:eastAsia="仿宋_GB2312"/>
                <w:color w:val="000000"/>
                <w:sz w:val="22"/>
                <w:szCs w:val="22"/>
              </w:rPr>
              <w:t>公众满意度</w:t>
            </w:r>
          </w:p>
        </w:tc>
        <w:tc>
          <w:tcPr>
            <w:tcW w:w="763"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定性</w:t>
            </w:r>
          </w:p>
        </w:tc>
        <w:tc>
          <w:tcPr>
            <w:tcW w:w="1276"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hAnsi="华文楷体" w:eastAsia="仿宋_GB2312" w:cs="宋体"/>
                <w:color w:val="000000"/>
                <w:sz w:val="22"/>
                <w:szCs w:val="22"/>
              </w:rPr>
            </w:pPr>
            <w:r>
              <w:rPr>
                <w:rFonts w:hint="eastAsia" w:ascii="仿宋_GB2312" w:hAnsi="华文楷体" w:eastAsia="仿宋_GB2312"/>
                <w:color w:val="000000"/>
                <w:sz w:val="22"/>
                <w:szCs w:val="22"/>
              </w:rPr>
              <w:t>优</w:t>
            </w:r>
          </w:p>
        </w:tc>
        <w:tc>
          <w:tcPr>
            <w:tcW w:w="6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级</w:t>
            </w:r>
          </w:p>
        </w:tc>
        <w:tc>
          <w:tcPr>
            <w:tcW w:w="110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hAnsi="华文楷体" w:eastAsia="仿宋_GB2312" w:cs="宋体"/>
                <w:color w:val="000000"/>
                <w:sz w:val="22"/>
                <w:szCs w:val="22"/>
              </w:rPr>
            </w:pPr>
            <w:r>
              <w:rPr>
                <w:rFonts w:hint="eastAsia" w:ascii="仿宋_GB2312" w:hAnsi="华文楷体" w:eastAsia="仿宋_GB2312"/>
                <w:color w:val="000000"/>
                <w:sz w:val="22"/>
                <w:szCs w:val="22"/>
              </w:rPr>
              <w:t>优</w:t>
            </w:r>
          </w:p>
        </w:tc>
        <w:tc>
          <w:tcPr>
            <w:tcW w:w="54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w:t>
            </w:r>
          </w:p>
        </w:tc>
        <w:tc>
          <w:tcPr>
            <w:tcW w:w="51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pPr>
            <w:r>
              <w:rPr>
                <w:rFonts w:hint="eastAsia" w:ascii="仿宋_GB2312" w:hAnsi="宋体" w:eastAsia="仿宋_GB2312" w:cs="宋体"/>
                <w:color w:val="000000"/>
                <w:kern w:val="0"/>
                <w:sz w:val="22"/>
                <w:szCs w:val="22"/>
              </w:rPr>
              <w:t>10</w:t>
            </w:r>
          </w:p>
        </w:tc>
        <w:tc>
          <w:tcPr>
            <w:tcW w:w="22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p>
        </w:tc>
      </w:tr>
      <w:tr>
        <w:tblPrEx>
          <w:tblCellMar>
            <w:top w:w="0" w:type="dxa"/>
            <w:left w:w="108" w:type="dxa"/>
            <w:bottom w:w="0" w:type="dxa"/>
            <w:right w:w="108" w:type="dxa"/>
          </w:tblCellMar>
        </w:tblPrEx>
        <w:trPr>
          <w:trHeight w:val="562" w:hRule="atLeast"/>
        </w:trPr>
        <w:tc>
          <w:tcPr>
            <w:tcW w:w="10581" w:type="dxa"/>
            <w:gridSpan w:val="9"/>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合计</w:t>
            </w:r>
          </w:p>
        </w:tc>
        <w:tc>
          <w:tcPr>
            <w:tcW w:w="54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100</w:t>
            </w:r>
          </w:p>
        </w:tc>
        <w:tc>
          <w:tcPr>
            <w:tcW w:w="5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95</w:t>
            </w:r>
          </w:p>
        </w:tc>
        <w:tc>
          <w:tcPr>
            <w:tcW w:w="22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　</w:t>
            </w:r>
          </w:p>
        </w:tc>
      </w:tr>
      <w:tr>
        <w:trPr>
          <w:trHeight w:val="1123" w:hRule="atLeast"/>
        </w:trPr>
        <w:tc>
          <w:tcPr>
            <w:tcW w:w="679" w:type="dxa"/>
            <w:tcBorders>
              <w:top w:val="single" w:color="auto"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评价结论</w:t>
            </w:r>
          </w:p>
        </w:tc>
        <w:tc>
          <w:tcPr>
            <w:tcW w:w="13228" w:type="dxa"/>
            <w:gridSpan w:val="11"/>
            <w:tcBorders>
              <w:top w:val="single" w:color="auto" w:sz="4" w:space="0"/>
              <w:left w:val="nil"/>
              <w:bottom w:val="single" w:color="000000" w:sz="4" w:space="0"/>
              <w:right w:val="single" w:color="000000" w:sz="4" w:space="0"/>
            </w:tcBorders>
            <w:shd w:val="clear" w:color="auto" w:fill="auto"/>
            <w:vAlign w:val="center"/>
          </w:tcPr>
          <w:p>
            <w:pPr>
              <w:spacing w:line="320" w:lineRule="exact"/>
              <w:jc w:val="left"/>
              <w:rPr>
                <w:rFonts w:ascii="仿宋_GB2312" w:hAnsi="华文楷体" w:eastAsia="仿宋_GB2312"/>
                <w:color w:val="000000"/>
                <w:sz w:val="22"/>
                <w:szCs w:val="22"/>
              </w:rPr>
            </w:pPr>
            <w:r>
              <w:rPr>
                <w:rFonts w:hint="eastAsia" w:ascii="仿宋_GB2312" w:hAnsi="华文楷体" w:eastAsia="仿宋_GB2312"/>
                <w:color w:val="000000"/>
                <w:sz w:val="22"/>
                <w:szCs w:val="22"/>
              </w:rPr>
              <w:t>通过省级市场监管专项项目的实施，严厉打击了假冒伪劣产品制售等各类违法行为，筑牢防疫堤坝，坚守安全底线，持续净化市场竞争环境，营造健康有序的市场消费环境，进一步强化主体责任落实，加强协同监管，促进社会共治，保障了人民生命财产健康安全，提升了社会公众满意度，项目自评得分为95分。</w:t>
            </w:r>
          </w:p>
        </w:tc>
      </w:tr>
      <w:tr>
        <w:tblPrEx>
          <w:tblCellMar>
            <w:top w:w="0" w:type="dxa"/>
            <w:left w:w="108" w:type="dxa"/>
            <w:bottom w:w="0" w:type="dxa"/>
            <w:right w:w="108" w:type="dxa"/>
          </w:tblCellMar>
        </w:tblPrEx>
        <w:trPr>
          <w:trHeight w:val="574" w:hRule="atLeast"/>
        </w:trPr>
        <w:tc>
          <w:tcPr>
            <w:tcW w:w="679"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存在问题</w:t>
            </w:r>
          </w:p>
        </w:tc>
        <w:tc>
          <w:tcPr>
            <w:tcW w:w="13228" w:type="dxa"/>
            <w:gridSpan w:val="11"/>
            <w:tcBorders>
              <w:top w:val="single" w:color="000000" w:sz="4" w:space="0"/>
              <w:left w:val="nil"/>
              <w:bottom w:val="single" w:color="000000" w:sz="4" w:space="0"/>
              <w:right w:val="single" w:color="000000" w:sz="4" w:space="0"/>
            </w:tcBorders>
            <w:shd w:val="clear" w:color="auto" w:fill="auto"/>
            <w:vAlign w:val="center"/>
          </w:tcPr>
          <w:p>
            <w:pPr>
              <w:pStyle w:val="14"/>
              <w:spacing w:line="550" w:lineRule="exact"/>
              <w:ind w:left="0" w:leftChars="0" w:firstLine="0" w:firstLineChars="0"/>
              <w:rPr>
                <w:rFonts w:ascii="仿宋_GB2312" w:hAnsi="华文楷体" w:eastAsia="仿宋_GB2312"/>
                <w:color w:val="000000"/>
                <w:sz w:val="22"/>
                <w:szCs w:val="22"/>
              </w:rPr>
            </w:pPr>
            <w:r>
              <w:rPr>
                <w:rFonts w:hint="eastAsia" w:ascii="仿宋_GB2312" w:hAnsi="华文楷体" w:eastAsia="仿宋_GB2312"/>
                <w:color w:val="000000"/>
                <w:sz w:val="22"/>
                <w:szCs w:val="22"/>
              </w:rPr>
              <w:t>我单位作为基层单位，工作任务繁重、人员结构复杂、业务能力参差不齐，存在人手严重短缺，监管力量不足的问题。</w:t>
            </w:r>
          </w:p>
        </w:tc>
      </w:tr>
      <w:tr>
        <w:trPr>
          <w:trHeight w:val="866" w:hRule="atLeast"/>
        </w:trPr>
        <w:tc>
          <w:tcPr>
            <w:tcW w:w="679"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改进措施</w:t>
            </w:r>
          </w:p>
        </w:tc>
        <w:tc>
          <w:tcPr>
            <w:tcW w:w="13228" w:type="dxa"/>
            <w:gridSpan w:val="11"/>
            <w:tcBorders>
              <w:top w:val="single" w:color="000000" w:sz="4" w:space="0"/>
              <w:left w:val="nil"/>
              <w:bottom w:val="single" w:color="000000" w:sz="4" w:space="0"/>
              <w:right w:val="single" w:color="000000" w:sz="4" w:space="0"/>
            </w:tcBorders>
            <w:shd w:val="clear" w:color="auto" w:fill="auto"/>
            <w:vAlign w:val="center"/>
          </w:tcPr>
          <w:p>
            <w:pPr>
              <w:spacing w:line="320" w:lineRule="exact"/>
              <w:rPr>
                <w:rFonts w:ascii="仿宋_GB2312" w:hAnsi="华文楷体" w:eastAsia="仿宋_GB2312"/>
                <w:color w:val="000000"/>
                <w:sz w:val="22"/>
                <w:szCs w:val="22"/>
              </w:rPr>
            </w:pPr>
            <w:r>
              <w:rPr>
                <w:rFonts w:hint="eastAsia" w:ascii="仿宋_GB2312" w:hAnsi="华文楷体" w:eastAsia="仿宋_GB2312"/>
                <w:color w:val="000000"/>
                <w:sz w:val="22"/>
                <w:szCs w:val="22"/>
              </w:rPr>
              <w:t>加强各专业领域业务能力提升，积极组织干部职工参与业务培训，打造专业化、法治化执法监管队伍，加强市场监管综合执法工作，进一步提升市场监管效能，促进市场秩序进一步规范。</w:t>
            </w:r>
          </w:p>
        </w:tc>
      </w:tr>
      <w:tr>
        <w:tblPrEx>
          <w:tblCellMar>
            <w:top w:w="0" w:type="dxa"/>
            <w:left w:w="108" w:type="dxa"/>
            <w:bottom w:w="0" w:type="dxa"/>
            <w:right w:w="108" w:type="dxa"/>
          </w:tblCellMar>
        </w:tblPrEx>
        <w:trPr>
          <w:trHeight w:val="562" w:hRule="atLeast"/>
        </w:trPr>
        <w:tc>
          <w:tcPr>
            <w:tcW w:w="728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仿宋_GB2312" w:hAnsi="黑体" w:eastAsia="仿宋_GB2312" w:cs="宋体"/>
                <w:color w:val="000000"/>
                <w:kern w:val="0"/>
                <w:sz w:val="22"/>
                <w:szCs w:val="22"/>
              </w:rPr>
            </w:pPr>
            <w:r>
              <w:rPr>
                <w:rFonts w:hint="eastAsia" w:ascii="仿宋_GB2312" w:hAnsi="黑体" w:eastAsia="仿宋_GB2312" w:cs="宋体"/>
                <w:color w:val="000000"/>
                <w:kern w:val="0"/>
                <w:sz w:val="22"/>
                <w:szCs w:val="22"/>
              </w:rPr>
              <w:t>项目负责人：穆伟、石坚、钟军</w:t>
            </w:r>
          </w:p>
        </w:tc>
        <w:tc>
          <w:tcPr>
            <w:tcW w:w="6622"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仿宋_GB2312" w:hAnsi="黑体" w:eastAsia="仿宋_GB2312" w:cs="宋体"/>
                <w:color w:val="000000"/>
                <w:kern w:val="0"/>
                <w:sz w:val="22"/>
                <w:szCs w:val="22"/>
              </w:rPr>
            </w:pPr>
            <w:r>
              <w:rPr>
                <w:rFonts w:hint="eastAsia" w:ascii="仿宋_GB2312" w:hAnsi="黑体" w:eastAsia="仿宋_GB2312" w:cs="宋体"/>
                <w:color w:val="000000"/>
                <w:kern w:val="0"/>
                <w:sz w:val="22"/>
                <w:szCs w:val="22"/>
              </w:rPr>
              <w:t>财务负责人：岳林</w:t>
            </w:r>
          </w:p>
        </w:tc>
      </w:tr>
    </w:tbl>
    <w:p>
      <w:pPr>
        <w:pStyle w:val="2"/>
        <w:spacing w:before="93"/>
      </w:pPr>
    </w:p>
    <w:p>
      <w:pPr>
        <w:pStyle w:val="2"/>
        <w:spacing w:before="93"/>
        <w:rPr>
          <w:sz w:val="32"/>
          <w:szCs w:val="28"/>
        </w:rPr>
      </w:pPr>
      <w:r>
        <w:rPr>
          <w:rFonts w:hint="eastAsia"/>
          <w:sz w:val="32"/>
          <w:szCs w:val="28"/>
        </w:rPr>
        <w:t>附件14</w:t>
      </w:r>
    </w:p>
    <w:tbl>
      <w:tblPr>
        <w:tblStyle w:val="15"/>
        <w:tblW w:w="14140" w:type="dxa"/>
        <w:tblInd w:w="93" w:type="dxa"/>
        <w:tblLayout w:type="autofit"/>
        <w:tblCellMar>
          <w:top w:w="0" w:type="dxa"/>
          <w:left w:w="108" w:type="dxa"/>
          <w:bottom w:w="0" w:type="dxa"/>
          <w:right w:w="108" w:type="dxa"/>
        </w:tblCellMar>
      </w:tblPr>
      <w:tblGrid>
        <w:gridCol w:w="679"/>
        <w:gridCol w:w="2028"/>
        <w:gridCol w:w="1754"/>
        <w:gridCol w:w="2228"/>
        <w:gridCol w:w="518"/>
        <w:gridCol w:w="179"/>
        <w:gridCol w:w="1134"/>
        <w:gridCol w:w="859"/>
        <w:gridCol w:w="1098"/>
        <w:gridCol w:w="656"/>
        <w:gridCol w:w="656"/>
        <w:gridCol w:w="2351"/>
      </w:tblGrid>
      <w:tr>
        <w:tblPrEx>
          <w:tblCellMar>
            <w:top w:w="0" w:type="dxa"/>
            <w:left w:w="108" w:type="dxa"/>
            <w:bottom w:w="0" w:type="dxa"/>
            <w:right w:w="108" w:type="dxa"/>
          </w:tblCellMar>
        </w:tblPrEx>
        <w:trPr>
          <w:trHeight w:val="498" w:hRule="atLeast"/>
        </w:trPr>
        <w:tc>
          <w:tcPr>
            <w:tcW w:w="14140" w:type="dxa"/>
            <w:gridSpan w:val="1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b/>
                <w:bCs/>
                <w:color w:val="000000"/>
                <w:kern w:val="0"/>
                <w:sz w:val="22"/>
                <w:szCs w:val="22"/>
              </w:rPr>
            </w:pPr>
            <w:r>
              <w:rPr>
                <w:rFonts w:hint="eastAsia" w:ascii="仿宋_GB2312" w:hAnsi="宋体" w:eastAsia="仿宋_GB2312" w:cs="宋体"/>
                <w:b/>
                <w:bCs/>
                <w:color w:val="000000"/>
                <w:kern w:val="0"/>
                <w:sz w:val="22"/>
                <w:szCs w:val="22"/>
              </w:rPr>
              <w:t>部门预算项目支出绩效自评表（2022年度）</w:t>
            </w:r>
          </w:p>
        </w:tc>
      </w:tr>
      <w:tr>
        <w:tblPrEx>
          <w:tblCellMar>
            <w:top w:w="0" w:type="dxa"/>
            <w:left w:w="108" w:type="dxa"/>
            <w:bottom w:w="0" w:type="dxa"/>
            <w:right w:w="108" w:type="dxa"/>
          </w:tblCellMar>
        </w:tblPrEx>
        <w:trPr>
          <w:trHeight w:val="565" w:hRule="atLeast"/>
        </w:trPr>
        <w:tc>
          <w:tcPr>
            <w:tcW w:w="270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项目名称</w:t>
            </w:r>
          </w:p>
        </w:tc>
        <w:tc>
          <w:tcPr>
            <w:tcW w:w="11433"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51080022Y000000267568-定额公用经费（事业）</w:t>
            </w:r>
          </w:p>
        </w:tc>
      </w:tr>
      <w:tr>
        <w:tblPrEx>
          <w:tblCellMar>
            <w:top w:w="0" w:type="dxa"/>
            <w:left w:w="108" w:type="dxa"/>
            <w:bottom w:w="0" w:type="dxa"/>
            <w:right w:w="108" w:type="dxa"/>
          </w:tblCellMar>
        </w:tblPrEx>
        <w:trPr>
          <w:trHeight w:val="514" w:hRule="atLeast"/>
        </w:trPr>
        <w:tc>
          <w:tcPr>
            <w:tcW w:w="270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主管部门</w:t>
            </w:r>
          </w:p>
        </w:tc>
        <w:tc>
          <w:tcPr>
            <w:tcW w:w="6672"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广元市市场监督管理局部门</w:t>
            </w:r>
          </w:p>
        </w:tc>
        <w:tc>
          <w:tcPr>
            <w:tcW w:w="1098" w:type="dxa"/>
            <w:tcBorders>
              <w:top w:val="nil"/>
              <w:left w:val="nil"/>
              <w:bottom w:val="nil"/>
              <w:right w:val="nil"/>
            </w:tcBorders>
            <w:shd w:val="clear" w:color="auto" w:fill="auto"/>
            <w:vAlign w:val="center"/>
          </w:tcPr>
          <w:p>
            <w:pPr>
              <w:widowControl/>
              <w:jc w:val="left"/>
              <w:rPr>
                <w:rFonts w:ascii="仿宋_GB2312" w:hAnsi="黑体" w:eastAsia="仿宋_GB2312" w:cs="宋体"/>
                <w:color w:val="000000"/>
                <w:kern w:val="0"/>
                <w:sz w:val="22"/>
                <w:szCs w:val="22"/>
              </w:rPr>
            </w:pPr>
            <w:r>
              <w:rPr>
                <w:rFonts w:hint="eastAsia" w:ascii="仿宋_GB2312" w:hAnsi="黑体" w:eastAsia="仿宋_GB2312" w:cs="宋体"/>
                <w:color w:val="000000"/>
                <w:kern w:val="0"/>
                <w:sz w:val="22"/>
                <w:szCs w:val="22"/>
              </w:rPr>
              <w:t>实施单位（盖章）</w:t>
            </w:r>
          </w:p>
        </w:tc>
        <w:tc>
          <w:tcPr>
            <w:tcW w:w="366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广元市市场监督管理局广元经开区分局</w:t>
            </w:r>
          </w:p>
        </w:tc>
      </w:tr>
      <w:tr>
        <w:trPr>
          <w:trHeight w:val="482" w:hRule="atLeast"/>
        </w:trPr>
        <w:tc>
          <w:tcPr>
            <w:tcW w:w="67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项目基本情况</w:t>
            </w:r>
          </w:p>
        </w:tc>
        <w:tc>
          <w:tcPr>
            <w:tcW w:w="2028"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1.项目年度目标完成情况</w:t>
            </w:r>
          </w:p>
        </w:tc>
        <w:tc>
          <w:tcPr>
            <w:tcW w:w="6672"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项目年度目标</w:t>
            </w:r>
          </w:p>
        </w:tc>
        <w:tc>
          <w:tcPr>
            <w:tcW w:w="4761"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仿宋_GB2312" w:hAnsi="黑体" w:eastAsia="仿宋_GB2312" w:cs="宋体"/>
                <w:color w:val="000000"/>
                <w:kern w:val="0"/>
                <w:sz w:val="22"/>
                <w:szCs w:val="22"/>
              </w:rPr>
            </w:pPr>
            <w:r>
              <w:rPr>
                <w:rFonts w:hint="eastAsia" w:ascii="仿宋_GB2312" w:hAnsi="黑体" w:eastAsia="仿宋_GB2312" w:cs="宋体"/>
                <w:color w:val="000000"/>
                <w:kern w:val="0"/>
                <w:sz w:val="22"/>
                <w:szCs w:val="22"/>
              </w:rPr>
              <w:t>年度目标完成情况</w:t>
            </w:r>
          </w:p>
        </w:tc>
      </w:tr>
      <w:tr>
        <w:tblPrEx>
          <w:tblCellMar>
            <w:top w:w="0" w:type="dxa"/>
            <w:left w:w="108" w:type="dxa"/>
            <w:bottom w:w="0" w:type="dxa"/>
            <w:right w:w="108" w:type="dxa"/>
          </w:tblCellMar>
        </w:tblPrEx>
        <w:trPr>
          <w:trHeight w:val="546" w:hRule="atLeast"/>
        </w:trPr>
        <w:tc>
          <w:tcPr>
            <w:tcW w:w="679"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color w:val="000000"/>
                <w:kern w:val="0"/>
                <w:sz w:val="22"/>
                <w:szCs w:val="22"/>
              </w:rPr>
            </w:pPr>
          </w:p>
        </w:tc>
        <w:tc>
          <w:tcPr>
            <w:tcW w:w="2028"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color w:val="000000"/>
                <w:kern w:val="0"/>
                <w:sz w:val="22"/>
                <w:szCs w:val="22"/>
              </w:rPr>
            </w:pPr>
          </w:p>
        </w:tc>
        <w:tc>
          <w:tcPr>
            <w:tcW w:w="6672"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保障单位日常运转，提高预算编制质量，严格执行预算。</w:t>
            </w:r>
          </w:p>
        </w:tc>
        <w:tc>
          <w:tcPr>
            <w:tcW w:w="4761"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仿宋_GB2312" w:hAnsi="黑体" w:eastAsia="仿宋_GB2312" w:cs="宋体"/>
                <w:color w:val="000000"/>
                <w:kern w:val="0"/>
                <w:sz w:val="22"/>
                <w:szCs w:val="22"/>
              </w:rPr>
            </w:pPr>
            <w:r>
              <w:rPr>
                <w:rFonts w:hint="eastAsia" w:ascii="仿宋_GB2312" w:hAnsi="黑体" w:eastAsia="仿宋_GB2312" w:cs="宋体"/>
                <w:color w:val="000000"/>
                <w:kern w:val="0"/>
                <w:sz w:val="22"/>
                <w:szCs w:val="22"/>
              </w:rPr>
              <w:t>保障了单位正常办公运行支出。</w:t>
            </w:r>
          </w:p>
        </w:tc>
      </w:tr>
      <w:tr>
        <w:tblPrEx>
          <w:tblCellMar>
            <w:top w:w="0" w:type="dxa"/>
            <w:left w:w="108" w:type="dxa"/>
            <w:bottom w:w="0" w:type="dxa"/>
            <w:right w:w="108" w:type="dxa"/>
          </w:tblCellMar>
        </w:tblPrEx>
        <w:trPr>
          <w:trHeight w:val="694" w:hRule="atLeast"/>
        </w:trPr>
        <w:tc>
          <w:tcPr>
            <w:tcW w:w="679" w:type="dxa"/>
            <w:vMerge w:val="continue"/>
            <w:tcBorders>
              <w:top w:val="nil"/>
              <w:left w:val="single" w:color="000000" w:sz="4" w:space="0"/>
              <w:bottom w:val="single" w:color="auto" w:sz="4" w:space="0"/>
              <w:right w:val="single" w:color="000000" w:sz="4" w:space="0"/>
            </w:tcBorders>
            <w:vAlign w:val="center"/>
          </w:tcPr>
          <w:p>
            <w:pPr>
              <w:widowControl/>
              <w:jc w:val="left"/>
              <w:rPr>
                <w:rFonts w:ascii="仿宋_GB2312" w:hAnsi="宋体" w:eastAsia="仿宋_GB2312" w:cs="宋体"/>
                <w:color w:val="000000"/>
                <w:kern w:val="0"/>
                <w:sz w:val="22"/>
                <w:szCs w:val="22"/>
              </w:rPr>
            </w:pPr>
          </w:p>
        </w:tc>
        <w:tc>
          <w:tcPr>
            <w:tcW w:w="2028" w:type="dxa"/>
            <w:tcBorders>
              <w:top w:val="nil"/>
              <w:left w:val="nil"/>
              <w:bottom w:val="single" w:color="auto" w:sz="4" w:space="0"/>
              <w:right w:val="single" w:color="000000"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2.项目实施内容及过程概述</w:t>
            </w:r>
          </w:p>
        </w:tc>
        <w:tc>
          <w:tcPr>
            <w:tcW w:w="11433" w:type="dxa"/>
            <w:gridSpan w:val="10"/>
            <w:tcBorders>
              <w:top w:val="single" w:color="000000" w:sz="4" w:space="0"/>
              <w:left w:val="nil"/>
              <w:bottom w:val="single" w:color="auto" w:sz="4" w:space="0"/>
              <w:right w:val="single" w:color="000000"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“定额公用经费（事业）”项目由财务股负责组织实施，通过制定专项工作计划方案、确定工作目标、明确组织实施措施和策略，有效地指导工作的正常有序开展。</w:t>
            </w:r>
          </w:p>
        </w:tc>
      </w:tr>
      <w:tr>
        <w:tblPrEx>
          <w:tblCellMar>
            <w:top w:w="0" w:type="dxa"/>
            <w:left w:w="108" w:type="dxa"/>
            <w:bottom w:w="0" w:type="dxa"/>
            <w:right w:w="108" w:type="dxa"/>
          </w:tblCellMar>
        </w:tblPrEx>
        <w:trPr>
          <w:trHeight w:val="360" w:hRule="atLeast"/>
        </w:trPr>
        <w:tc>
          <w:tcPr>
            <w:tcW w:w="67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预算执行情况（10分）</w:t>
            </w:r>
          </w:p>
        </w:tc>
        <w:tc>
          <w:tcPr>
            <w:tcW w:w="20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年度预算数（万元）</w:t>
            </w:r>
          </w:p>
        </w:tc>
        <w:tc>
          <w:tcPr>
            <w:tcW w:w="175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年初预算</w:t>
            </w:r>
          </w:p>
        </w:tc>
        <w:tc>
          <w:tcPr>
            <w:tcW w:w="22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调整后预算数</w:t>
            </w:r>
          </w:p>
        </w:tc>
        <w:tc>
          <w:tcPr>
            <w:tcW w:w="2690"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预算执行数</w:t>
            </w:r>
          </w:p>
        </w:tc>
        <w:tc>
          <w:tcPr>
            <w:tcW w:w="109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预算执行率</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权重</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得分</w:t>
            </w:r>
          </w:p>
        </w:tc>
        <w:tc>
          <w:tcPr>
            <w:tcW w:w="235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原因</w:t>
            </w:r>
          </w:p>
        </w:tc>
      </w:tr>
      <w:tr>
        <w:trPr>
          <w:trHeight w:val="387"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总额</w:t>
            </w:r>
          </w:p>
        </w:tc>
        <w:tc>
          <w:tcPr>
            <w:tcW w:w="175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1.50</w:t>
            </w:r>
          </w:p>
        </w:tc>
        <w:tc>
          <w:tcPr>
            <w:tcW w:w="22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1.50</w:t>
            </w:r>
          </w:p>
        </w:tc>
        <w:tc>
          <w:tcPr>
            <w:tcW w:w="2690"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1.50</w:t>
            </w:r>
          </w:p>
        </w:tc>
        <w:tc>
          <w:tcPr>
            <w:tcW w:w="109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100.00%</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　</w:t>
            </w:r>
          </w:p>
        </w:tc>
        <w:tc>
          <w:tcPr>
            <w:tcW w:w="235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黑体" w:eastAsia="仿宋_GB2312" w:cs="宋体"/>
                <w:iCs/>
                <w:color w:val="000000"/>
                <w:kern w:val="0"/>
                <w:sz w:val="22"/>
                <w:szCs w:val="22"/>
              </w:rPr>
            </w:pPr>
            <w:r>
              <w:rPr>
                <w:rFonts w:hint="eastAsia" w:ascii="仿宋_GB2312" w:hAnsi="黑体" w:eastAsia="仿宋_GB2312" w:cs="宋体"/>
                <w:iCs/>
                <w:color w:val="000000"/>
                <w:kern w:val="0"/>
                <w:sz w:val="22"/>
                <w:szCs w:val="22"/>
              </w:rPr>
              <w:t>无。</w:t>
            </w:r>
          </w:p>
        </w:tc>
      </w:tr>
      <w:tr>
        <w:tblPrEx>
          <w:tblCellMar>
            <w:top w:w="0" w:type="dxa"/>
            <w:left w:w="108" w:type="dxa"/>
            <w:bottom w:w="0" w:type="dxa"/>
            <w:right w:w="108" w:type="dxa"/>
          </w:tblCellMar>
        </w:tblPrEx>
        <w:trPr>
          <w:trHeight w:val="432"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其中：财政资金</w:t>
            </w:r>
          </w:p>
        </w:tc>
        <w:tc>
          <w:tcPr>
            <w:tcW w:w="175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1.50</w:t>
            </w:r>
          </w:p>
        </w:tc>
        <w:tc>
          <w:tcPr>
            <w:tcW w:w="22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1.50</w:t>
            </w:r>
          </w:p>
        </w:tc>
        <w:tc>
          <w:tcPr>
            <w:tcW w:w="2690"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1.50</w:t>
            </w:r>
          </w:p>
        </w:tc>
        <w:tc>
          <w:tcPr>
            <w:tcW w:w="109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100.00%</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235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黑体" w:eastAsia="仿宋_GB2312" w:cs="宋体"/>
                <w:iCs/>
                <w:color w:val="000000"/>
                <w:kern w:val="0"/>
                <w:sz w:val="22"/>
                <w:szCs w:val="22"/>
              </w:rPr>
            </w:pPr>
          </w:p>
        </w:tc>
      </w:tr>
      <w:tr>
        <w:tblPrEx>
          <w:tblCellMar>
            <w:top w:w="0" w:type="dxa"/>
            <w:left w:w="108" w:type="dxa"/>
            <w:bottom w:w="0" w:type="dxa"/>
            <w:right w:w="108" w:type="dxa"/>
          </w:tblCellMar>
        </w:tblPrEx>
        <w:trPr>
          <w:trHeight w:val="447"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财政专户管理资金</w:t>
            </w:r>
          </w:p>
        </w:tc>
        <w:tc>
          <w:tcPr>
            <w:tcW w:w="175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0.00</w:t>
            </w:r>
          </w:p>
        </w:tc>
        <w:tc>
          <w:tcPr>
            <w:tcW w:w="22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0.00</w:t>
            </w:r>
          </w:p>
        </w:tc>
        <w:tc>
          <w:tcPr>
            <w:tcW w:w="2690"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0.00</w:t>
            </w:r>
          </w:p>
        </w:tc>
        <w:tc>
          <w:tcPr>
            <w:tcW w:w="109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0.00%</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235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黑体" w:eastAsia="仿宋_GB2312" w:cs="宋体"/>
                <w:iCs/>
                <w:color w:val="000000"/>
                <w:kern w:val="0"/>
                <w:sz w:val="22"/>
                <w:szCs w:val="22"/>
              </w:rPr>
            </w:pPr>
          </w:p>
        </w:tc>
      </w:tr>
      <w:tr>
        <w:tblPrEx>
          <w:tblCellMar>
            <w:top w:w="0" w:type="dxa"/>
            <w:left w:w="108" w:type="dxa"/>
            <w:bottom w:w="0" w:type="dxa"/>
            <w:right w:w="108" w:type="dxa"/>
          </w:tblCellMar>
        </w:tblPrEx>
        <w:trPr>
          <w:trHeight w:val="402"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单位资金</w:t>
            </w:r>
          </w:p>
        </w:tc>
        <w:tc>
          <w:tcPr>
            <w:tcW w:w="175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0.00</w:t>
            </w:r>
          </w:p>
        </w:tc>
        <w:tc>
          <w:tcPr>
            <w:tcW w:w="22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0.00</w:t>
            </w:r>
          </w:p>
        </w:tc>
        <w:tc>
          <w:tcPr>
            <w:tcW w:w="2690"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0.00</w:t>
            </w:r>
          </w:p>
        </w:tc>
        <w:tc>
          <w:tcPr>
            <w:tcW w:w="109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0.00%</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235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黑体" w:eastAsia="仿宋_GB2312" w:cs="宋体"/>
                <w:iCs/>
                <w:color w:val="000000"/>
                <w:kern w:val="0"/>
                <w:sz w:val="22"/>
                <w:szCs w:val="22"/>
              </w:rPr>
            </w:pPr>
          </w:p>
        </w:tc>
      </w:tr>
      <w:tr>
        <w:trPr>
          <w:trHeight w:val="379"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其他资金</w:t>
            </w:r>
          </w:p>
        </w:tc>
        <w:tc>
          <w:tcPr>
            <w:tcW w:w="175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c>
          <w:tcPr>
            <w:tcW w:w="22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c>
          <w:tcPr>
            <w:tcW w:w="2690"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c>
          <w:tcPr>
            <w:tcW w:w="109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235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黑体" w:eastAsia="仿宋_GB2312" w:cs="宋体"/>
                <w:iCs/>
                <w:color w:val="000000"/>
                <w:kern w:val="0"/>
                <w:sz w:val="22"/>
                <w:szCs w:val="22"/>
              </w:rPr>
            </w:pPr>
          </w:p>
        </w:tc>
      </w:tr>
      <w:tr>
        <w:tblPrEx>
          <w:tblCellMar>
            <w:top w:w="0" w:type="dxa"/>
            <w:left w:w="108" w:type="dxa"/>
            <w:bottom w:w="0" w:type="dxa"/>
            <w:right w:w="108" w:type="dxa"/>
          </w:tblCellMar>
        </w:tblPrEx>
        <w:trPr>
          <w:trHeight w:val="454" w:hRule="atLeast"/>
        </w:trPr>
        <w:tc>
          <w:tcPr>
            <w:tcW w:w="67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绩效指标（90分）</w:t>
            </w:r>
          </w:p>
        </w:tc>
        <w:tc>
          <w:tcPr>
            <w:tcW w:w="20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一级指标</w:t>
            </w:r>
          </w:p>
        </w:tc>
        <w:tc>
          <w:tcPr>
            <w:tcW w:w="175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二级指标</w:t>
            </w:r>
          </w:p>
        </w:tc>
        <w:tc>
          <w:tcPr>
            <w:tcW w:w="22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三级指标</w:t>
            </w:r>
          </w:p>
        </w:tc>
        <w:tc>
          <w:tcPr>
            <w:tcW w:w="69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指标性质</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指标值</w:t>
            </w:r>
          </w:p>
        </w:tc>
        <w:tc>
          <w:tcPr>
            <w:tcW w:w="85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度量单位</w:t>
            </w:r>
          </w:p>
        </w:tc>
        <w:tc>
          <w:tcPr>
            <w:tcW w:w="109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完成值</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权重</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得分</w:t>
            </w:r>
          </w:p>
        </w:tc>
        <w:tc>
          <w:tcPr>
            <w:tcW w:w="235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未完成原因分析</w:t>
            </w:r>
          </w:p>
        </w:tc>
      </w:tr>
      <w:tr>
        <w:tblPrEx>
          <w:tblCellMar>
            <w:top w:w="0" w:type="dxa"/>
            <w:left w:w="108" w:type="dxa"/>
            <w:bottom w:w="0" w:type="dxa"/>
            <w:right w:w="108" w:type="dxa"/>
          </w:tblCellMar>
        </w:tblPrEx>
        <w:trPr>
          <w:trHeight w:val="467"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2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产出指标</w:t>
            </w:r>
          </w:p>
        </w:tc>
        <w:tc>
          <w:tcPr>
            <w:tcW w:w="175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数量指标</w:t>
            </w:r>
          </w:p>
        </w:tc>
        <w:tc>
          <w:tcPr>
            <w:tcW w:w="22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科目调整次数</w:t>
            </w:r>
          </w:p>
        </w:tc>
        <w:tc>
          <w:tcPr>
            <w:tcW w:w="69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w:t>
            </w:r>
          </w:p>
        </w:tc>
        <w:tc>
          <w:tcPr>
            <w:tcW w:w="85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次</w:t>
            </w:r>
          </w:p>
        </w:tc>
        <w:tc>
          <w:tcPr>
            <w:tcW w:w="109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0</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22.5</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22.5　</w:t>
            </w:r>
          </w:p>
        </w:tc>
        <w:tc>
          <w:tcPr>
            <w:tcW w:w="235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r>
      <w:tr>
        <w:tblPrEx>
          <w:tblCellMar>
            <w:top w:w="0" w:type="dxa"/>
            <w:left w:w="108" w:type="dxa"/>
            <w:bottom w:w="0" w:type="dxa"/>
            <w:right w:w="108" w:type="dxa"/>
          </w:tblCellMar>
        </w:tblPrEx>
        <w:trPr>
          <w:trHeight w:val="679"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202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175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质量指标</w:t>
            </w:r>
          </w:p>
        </w:tc>
        <w:tc>
          <w:tcPr>
            <w:tcW w:w="222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预算编制准确率（计算方法为：</w:t>
            </w:r>
            <w:r>
              <w:rPr>
                <w:rFonts w:hint="eastAsia" w:ascii="仿宋_GB2312" w:hAnsi="宋体" w:cs="宋体"/>
                <w:color w:val="000000"/>
                <w:kern w:val="0"/>
                <w:sz w:val="22"/>
                <w:szCs w:val="22"/>
              </w:rPr>
              <w:t>∣</w:t>
            </w:r>
            <w:r>
              <w:rPr>
                <w:rFonts w:hint="eastAsia" w:ascii="仿宋_GB2312" w:hAnsi="宋体" w:eastAsia="仿宋_GB2312" w:cs="宋体"/>
                <w:color w:val="000000"/>
                <w:kern w:val="0"/>
                <w:sz w:val="22"/>
                <w:szCs w:val="22"/>
              </w:rPr>
              <w:t>（执行数-预算数）/预算数</w:t>
            </w:r>
            <w:r>
              <w:rPr>
                <w:rFonts w:hint="eastAsia" w:ascii="仿宋_GB2312" w:hAnsi="宋体" w:cs="宋体"/>
                <w:color w:val="000000"/>
                <w:kern w:val="0"/>
                <w:sz w:val="22"/>
                <w:szCs w:val="22"/>
              </w:rPr>
              <w:t>∣</w:t>
            </w:r>
            <w:r>
              <w:rPr>
                <w:rFonts w:hint="eastAsia" w:ascii="仿宋_GB2312" w:hAnsi="宋体" w:eastAsia="仿宋_GB2312" w:cs="宋体"/>
                <w:color w:val="000000"/>
                <w:kern w:val="0"/>
                <w:sz w:val="22"/>
                <w:szCs w:val="22"/>
              </w:rPr>
              <w:t>）</w:t>
            </w:r>
          </w:p>
        </w:tc>
        <w:tc>
          <w:tcPr>
            <w:tcW w:w="69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5</w:t>
            </w:r>
          </w:p>
        </w:tc>
        <w:tc>
          <w:tcPr>
            <w:tcW w:w="85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109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0</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22.5</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22.5　</w:t>
            </w:r>
          </w:p>
        </w:tc>
        <w:tc>
          <w:tcPr>
            <w:tcW w:w="235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r>
      <w:tr>
        <w:trPr>
          <w:trHeight w:val="904" w:hRule="atLeast"/>
        </w:trPr>
        <w:tc>
          <w:tcPr>
            <w:tcW w:w="679" w:type="dxa"/>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ascii="仿宋_GB2312" w:hAnsi="宋体" w:eastAsia="仿宋_GB2312" w:cs="宋体"/>
                <w:color w:val="000000"/>
                <w:kern w:val="0"/>
                <w:sz w:val="22"/>
                <w:szCs w:val="22"/>
              </w:rPr>
            </w:pPr>
          </w:p>
        </w:tc>
        <w:tc>
          <w:tcPr>
            <w:tcW w:w="2028" w:type="dxa"/>
            <w:vMerge w:val="restart"/>
            <w:tcBorders>
              <w:top w:val="single" w:color="auto"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效益指标</w:t>
            </w:r>
          </w:p>
        </w:tc>
        <w:tc>
          <w:tcPr>
            <w:tcW w:w="1754" w:type="dxa"/>
            <w:vMerge w:val="restart"/>
            <w:tcBorders>
              <w:top w:val="single" w:color="auto"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经济效益指标</w:t>
            </w:r>
          </w:p>
        </w:tc>
        <w:tc>
          <w:tcPr>
            <w:tcW w:w="2228" w:type="dxa"/>
            <w:tcBorders>
              <w:top w:val="single" w:color="auto" w:sz="4" w:space="0"/>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“三公经费”控制率[计算方法为：（三公经费实际支出数/预算安排数]×100%）</w:t>
            </w:r>
          </w:p>
        </w:tc>
        <w:tc>
          <w:tcPr>
            <w:tcW w:w="697" w:type="dxa"/>
            <w:gridSpan w:val="2"/>
            <w:tcBorders>
              <w:top w:val="single" w:color="auto" w:sz="4" w:space="0"/>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1134" w:type="dxa"/>
            <w:tcBorders>
              <w:top w:val="single" w:color="auto" w:sz="4" w:space="0"/>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100</w:t>
            </w:r>
          </w:p>
        </w:tc>
        <w:tc>
          <w:tcPr>
            <w:tcW w:w="859" w:type="dxa"/>
            <w:tcBorders>
              <w:top w:val="single" w:color="auto" w:sz="4" w:space="0"/>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1098" w:type="dxa"/>
            <w:tcBorders>
              <w:top w:val="single" w:color="auto" w:sz="4" w:space="0"/>
              <w:left w:val="nil"/>
              <w:bottom w:val="single" w:color="000000" w:sz="4" w:space="0"/>
              <w:right w:val="single" w:color="000000"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89.95</w:t>
            </w:r>
          </w:p>
        </w:tc>
        <w:tc>
          <w:tcPr>
            <w:tcW w:w="656" w:type="dxa"/>
            <w:tcBorders>
              <w:top w:val="single" w:color="auto" w:sz="4" w:space="0"/>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22.5</w:t>
            </w:r>
          </w:p>
        </w:tc>
        <w:tc>
          <w:tcPr>
            <w:tcW w:w="656" w:type="dxa"/>
            <w:tcBorders>
              <w:top w:val="single" w:color="auto" w:sz="4" w:space="0"/>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22.5　</w:t>
            </w:r>
          </w:p>
        </w:tc>
        <w:tc>
          <w:tcPr>
            <w:tcW w:w="2351" w:type="dxa"/>
            <w:tcBorders>
              <w:top w:val="single" w:color="auto" w:sz="4" w:space="0"/>
              <w:left w:val="nil"/>
              <w:bottom w:val="single" w:color="000000" w:sz="4" w:space="0"/>
              <w:right w:val="single" w:color="000000"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r>
      <w:tr>
        <w:tblPrEx>
          <w:tblCellMar>
            <w:top w:w="0" w:type="dxa"/>
            <w:left w:w="108" w:type="dxa"/>
            <w:bottom w:w="0" w:type="dxa"/>
            <w:right w:w="108" w:type="dxa"/>
          </w:tblCellMar>
        </w:tblPrEx>
        <w:trPr>
          <w:trHeight w:val="544" w:hRule="atLeast"/>
        </w:trPr>
        <w:tc>
          <w:tcPr>
            <w:tcW w:w="679" w:type="dxa"/>
            <w:vMerge w:val="continue"/>
            <w:tcBorders>
              <w:top w:val="nil"/>
              <w:left w:val="single" w:color="auto" w:sz="4" w:space="0"/>
              <w:bottom w:val="single" w:color="000000" w:sz="4" w:space="0"/>
              <w:right w:val="single" w:color="000000" w:sz="4" w:space="0"/>
            </w:tcBorders>
            <w:vAlign w:val="center"/>
          </w:tcPr>
          <w:p>
            <w:pPr>
              <w:widowControl/>
              <w:jc w:val="left"/>
              <w:rPr>
                <w:rFonts w:ascii="仿宋_GB2312" w:hAnsi="宋体" w:eastAsia="仿宋_GB2312" w:cs="宋体"/>
                <w:color w:val="000000"/>
                <w:kern w:val="0"/>
                <w:sz w:val="22"/>
                <w:szCs w:val="22"/>
              </w:rPr>
            </w:pPr>
          </w:p>
        </w:tc>
        <w:tc>
          <w:tcPr>
            <w:tcW w:w="2028"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color w:val="000000"/>
                <w:kern w:val="0"/>
                <w:sz w:val="22"/>
                <w:szCs w:val="22"/>
              </w:rPr>
            </w:pPr>
          </w:p>
        </w:tc>
        <w:tc>
          <w:tcPr>
            <w:tcW w:w="1754"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color w:val="000000"/>
                <w:kern w:val="0"/>
                <w:sz w:val="22"/>
                <w:szCs w:val="22"/>
              </w:rPr>
            </w:pPr>
          </w:p>
        </w:tc>
        <w:tc>
          <w:tcPr>
            <w:tcW w:w="2228"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运转保障率</w:t>
            </w:r>
          </w:p>
        </w:tc>
        <w:tc>
          <w:tcPr>
            <w:tcW w:w="697" w:type="dxa"/>
            <w:gridSpan w:val="2"/>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1134"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100</w:t>
            </w:r>
          </w:p>
        </w:tc>
        <w:tc>
          <w:tcPr>
            <w:tcW w:w="859"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1098"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100　</w:t>
            </w:r>
          </w:p>
        </w:tc>
        <w:tc>
          <w:tcPr>
            <w:tcW w:w="656"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22.5</w:t>
            </w:r>
          </w:p>
        </w:tc>
        <w:tc>
          <w:tcPr>
            <w:tcW w:w="656"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22.5　</w:t>
            </w:r>
          </w:p>
        </w:tc>
        <w:tc>
          <w:tcPr>
            <w:tcW w:w="2351"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r>
      <w:tr>
        <w:tblPrEx>
          <w:tblCellMar>
            <w:top w:w="0" w:type="dxa"/>
            <w:left w:w="108" w:type="dxa"/>
            <w:bottom w:w="0" w:type="dxa"/>
            <w:right w:w="108" w:type="dxa"/>
          </w:tblCellMar>
        </w:tblPrEx>
        <w:trPr>
          <w:trHeight w:val="478" w:hRule="atLeast"/>
        </w:trPr>
        <w:tc>
          <w:tcPr>
            <w:tcW w:w="10477"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合计</w:t>
            </w:r>
          </w:p>
        </w:tc>
        <w:tc>
          <w:tcPr>
            <w:tcW w:w="656" w:type="dxa"/>
            <w:tcBorders>
              <w:top w:val="nil"/>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100</w:t>
            </w:r>
          </w:p>
        </w:tc>
        <w:tc>
          <w:tcPr>
            <w:tcW w:w="656" w:type="dxa"/>
            <w:tcBorders>
              <w:top w:val="nil"/>
              <w:left w:val="nil"/>
              <w:bottom w:val="single" w:color="000000" w:sz="4" w:space="0"/>
              <w:right w:val="single" w:color="000000"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100</w:t>
            </w:r>
          </w:p>
        </w:tc>
        <w:tc>
          <w:tcPr>
            <w:tcW w:w="2351" w:type="dxa"/>
            <w:tcBorders>
              <w:top w:val="nil"/>
              <w:left w:val="nil"/>
              <w:bottom w:val="single" w:color="000000" w:sz="4" w:space="0"/>
              <w:right w:val="single" w:color="000000"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　</w:t>
            </w:r>
          </w:p>
        </w:tc>
      </w:tr>
      <w:tr>
        <w:tblPrEx>
          <w:tblCellMar>
            <w:top w:w="0" w:type="dxa"/>
            <w:left w:w="108" w:type="dxa"/>
            <w:bottom w:w="0" w:type="dxa"/>
            <w:right w:w="108" w:type="dxa"/>
          </w:tblCellMar>
        </w:tblPrEx>
        <w:trPr>
          <w:trHeight w:val="604" w:hRule="atLeast"/>
        </w:trPr>
        <w:tc>
          <w:tcPr>
            <w:tcW w:w="679"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评价结论</w:t>
            </w:r>
          </w:p>
        </w:tc>
        <w:tc>
          <w:tcPr>
            <w:tcW w:w="13461" w:type="dxa"/>
            <w:gridSpan w:val="11"/>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仿宋_GB2312" w:hAnsi="微软雅黑" w:eastAsia="仿宋_GB2312" w:cs="宋体"/>
                <w:iCs/>
                <w:color w:val="000000"/>
                <w:kern w:val="0"/>
                <w:sz w:val="22"/>
                <w:szCs w:val="22"/>
              </w:rPr>
            </w:pPr>
            <w:r>
              <w:rPr>
                <w:rFonts w:hint="eastAsia" w:ascii="仿宋_GB2312" w:hAnsi="黑体" w:eastAsia="仿宋_GB2312" w:cs="宋体"/>
                <w:color w:val="000000"/>
                <w:kern w:val="0"/>
                <w:sz w:val="22"/>
                <w:szCs w:val="22"/>
              </w:rPr>
              <w:t>保障了单位正常办公运行支出，项目自评得分为100分。</w:t>
            </w:r>
          </w:p>
        </w:tc>
      </w:tr>
      <w:tr>
        <w:trPr>
          <w:trHeight w:val="574" w:hRule="atLeast"/>
        </w:trPr>
        <w:tc>
          <w:tcPr>
            <w:tcW w:w="679"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存在问题</w:t>
            </w:r>
          </w:p>
        </w:tc>
        <w:tc>
          <w:tcPr>
            <w:tcW w:w="13461" w:type="dxa"/>
            <w:gridSpan w:val="11"/>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无。</w:t>
            </w:r>
          </w:p>
        </w:tc>
      </w:tr>
      <w:tr>
        <w:tblPrEx>
          <w:tblCellMar>
            <w:top w:w="0" w:type="dxa"/>
            <w:left w:w="108" w:type="dxa"/>
            <w:bottom w:w="0" w:type="dxa"/>
            <w:right w:w="108" w:type="dxa"/>
          </w:tblCellMar>
        </w:tblPrEx>
        <w:trPr>
          <w:trHeight w:val="634" w:hRule="atLeast"/>
        </w:trPr>
        <w:tc>
          <w:tcPr>
            <w:tcW w:w="679"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改进措施</w:t>
            </w:r>
          </w:p>
        </w:tc>
        <w:tc>
          <w:tcPr>
            <w:tcW w:w="13461" w:type="dxa"/>
            <w:gridSpan w:val="11"/>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无。</w:t>
            </w:r>
          </w:p>
        </w:tc>
      </w:tr>
      <w:tr>
        <w:tblPrEx>
          <w:tblCellMar>
            <w:top w:w="0" w:type="dxa"/>
            <w:left w:w="108" w:type="dxa"/>
            <w:bottom w:w="0" w:type="dxa"/>
            <w:right w:w="108" w:type="dxa"/>
          </w:tblCellMar>
        </w:tblPrEx>
        <w:trPr>
          <w:trHeight w:val="482" w:hRule="atLeast"/>
        </w:trPr>
        <w:tc>
          <w:tcPr>
            <w:tcW w:w="720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仿宋_GB2312" w:hAnsi="黑体" w:eastAsia="仿宋_GB2312" w:cs="宋体"/>
                <w:color w:val="000000"/>
                <w:kern w:val="0"/>
                <w:sz w:val="22"/>
                <w:szCs w:val="22"/>
              </w:rPr>
            </w:pPr>
            <w:r>
              <w:rPr>
                <w:rFonts w:hint="eastAsia" w:ascii="仿宋_GB2312" w:hAnsi="黑体" w:eastAsia="仿宋_GB2312" w:cs="宋体"/>
                <w:color w:val="000000"/>
                <w:kern w:val="0"/>
                <w:sz w:val="22"/>
                <w:szCs w:val="22"/>
              </w:rPr>
              <w:t>项目负责人：廖红</w:t>
            </w:r>
          </w:p>
        </w:tc>
        <w:tc>
          <w:tcPr>
            <w:tcW w:w="6933"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仿宋_GB2312" w:hAnsi="黑体" w:eastAsia="仿宋_GB2312" w:cs="宋体"/>
                <w:color w:val="000000"/>
                <w:kern w:val="0"/>
                <w:sz w:val="22"/>
                <w:szCs w:val="22"/>
              </w:rPr>
            </w:pPr>
            <w:r>
              <w:rPr>
                <w:rFonts w:hint="eastAsia" w:ascii="仿宋_GB2312" w:hAnsi="黑体" w:eastAsia="仿宋_GB2312" w:cs="宋体"/>
                <w:color w:val="000000"/>
                <w:kern w:val="0"/>
                <w:sz w:val="22"/>
                <w:szCs w:val="22"/>
              </w:rPr>
              <w:t>财务负责人：岳林</w:t>
            </w:r>
          </w:p>
        </w:tc>
      </w:tr>
    </w:tbl>
    <w:p>
      <w:pPr>
        <w:pStyle w:val="2"/>
        <w:spacing w:before="93"/>
      </w:pPr>
    </w:p>
    <w:p>
      <w:pPr>
        <w:pStyle w:val="2"/>
        <w:spacing w:before="93"/>
      </w:pPr>
    </w:p>
    <w:p>
      <w:pPr>
        <w:pStyle w:val="2"/>
        <w:spacing w:before="93"/>
      </w:pPr>
    </w:p>
    <w:p>
      <w:pPr>
        <w:pStyle w:val="2"/>
        <w:spacing w:before="93"/>
        <w:rPr>
          <w:sz w:val="32"/>
          <w:szCs w:val="28"/>
        </w:rPr>
      </w:pPr>
      <w:r>
        <w:rPr>
          <w:rFonts w:hint="eastAsia"/>
          <w:sz w:val="32"/>
          <w:szCs w:val="28"/>
        </w:rPr>
        <w:t>附件15</w:t>
      </w:r>
    </w:p>
    <w:tbl>
      <w:tblPr>
        <w:tblStyle w:val="15"/>
        <w:tblW w:w="14140" w:type="dxa"/>
        <w:tblInd w:w="93" w:type="dxa"/>
        <w:tblLayout w:type="autofit"/>
        <w:tblCellMar>
          <w:top w:w="0" w:type="dxa"/>
          <w:left w:w="108" w:type="dxa"/>
          <w:bottom w:w="0" w:type="dxa"/>
          <w:right w:w="108" w:type="dxa"/>
        </w:tblCellMar>
      </w:tblPr>
      <w:tblGrid>
        <w:gridCol w:w="679"/>
        <w:gridCol w:w="1999"/>
        <w:gridCol w:w="1731"/>
        <w:gridCol w:w="2191"/>
        <w:gridCol w:w="513"/>
        <w:gridCol w:w="237"/>
        <w:gridCol w:w="1106"/>
        <w:gridCol w:w="804"/>
        <w:gridCol w:w="1090"/>
        <w:gridCol w:w="656"/>
        <w:gridCol w:w="656"/>
        <w:gridCol w:w="2478"/>
      </w:tblGrid>
      <w:tr>
        <w:tblPrEx>
          <w:tblCellMar>
            <w:top w:w="0" w:type="dxa"/>
            <w:left w:w="108" w:type="dxa"/>
            <w:bottom w:w="0" w:type="dxa"/>
            <w:right w:w="108" w:type="dxa"/>
          </w:tblCellMar>
        </w:tblPrEx>
        <w:trPr>
          <w:trHeight w:val="640" w:hRule="atLeast"/>
        </w:trPr>
        <w:tc>
          <w:tcPr>
            <w:tcW w:w="14140" w:type="dxa"/>
            <w:gridSpan w:val="1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b/>
                <w:bCs/>
                <w:color w:val="000000"/>
                <w:kern w:val="0"/>
                <w:sz w:val="22"/>
                <w:szCs w:val="22"/>
              </w:rPr>
            </w:pPr>
            <w:r>
              <w:rPr>
                <w:rFonts w:hint="eastAsia" w:ascii="仿宋_GB2312" w:hAnsi="宋体" w:eastAsia="仿宋_GB2312" w:cs="宋体"/>
                <w:b/>
                <w:bCs/>
                <w:color w:val="000000"/>
                <w:kern w:val="0"/>
                <w:sz w:val="22"/>
                <w:szCs w:val="22"/>
              </w:rPr>
              <w:t>部门预算项目支出绩效自评表（2022年度）</w:t>
            </w:r>
          </w:p>
        </w:tc>
      </w:tr>
      <w:tr>
        <w:tblPrEx>
          <w:tblCellMar>
            <w:top w:w="0" w:type="dxa"/>
            <w:left w:w="108" w:type="dxa"/>
            <w:bottom w:w="0" w:type="dxa"/>
            <w:right w:w="108" w:type="dxa"/>
          </w:tblCellMar>
        </w:tblPrEx>
        <w:trPr>
          <w:trHeight w:val="427" w:hRule="atLeast"/>
        </w:trPr>
        <w:tc>
          <w:tcPr>
            <w:tcW w:w="26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项目名称</w:t>
            </w:r>
          </w:p>
        </w:tc>
        <w:tc>
          <w:tcPr>
            <w:tcW w:w="11462" w:type="dxa"/>
            <w:gridSpan w:val="10"/>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51080023R000007612345-规范后市级基础绩效奖及生活补助</w:t>
            </w:r>
          </w:p>
        </w:tc>
      </w:tr>
      <w:tr>
        <w:tblPrEx>
          <w:tblCellMar>
            <w:top w:w="0" w:type="dxa"/>
            <w:left w:w="108" w:type="dxa"/>
            <w:bottom w:w="0" w:type="dxa"/>
            <w:right w:w="108" w:type="dxa"/>
          </w:tblCellMar>
        </w:tblPrEx>
        <w:trPr>
          <w:trHeight w:val="514" w:hRule="atLeast"/>
        </w:trPr>
        <w:tc>
          <w:tcPr>
            <w:tcW w:w="26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主管部门</w:t>
            </w:r>
          </w:p>
        </w:tc>
        <w:tc>
          <w:tcPr>
            <w:tcW w:w="6582"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广元市市场监督管理局部门</w:t>
            </w:r>
          </w:p>
        </w:tc>
        <w:tc>
          <w:tcPr>
            <w:tcW w:w="1090" w:type="dxa"/>
            <w:tcBorders>
              <w:top w:val="nil"/>
              <w:left w:val="nil"/>
              <w:bottom w:val="nil"/>
              <w:right w:val="nil"/>
            </w:tcBorders>
            <w:shd w:val="clear" w:color="auto" w:fill="auto"/>
            <w:vAlign w:val="center"/>
          </w:tcPr>
          <w:p>
            <w:pPr>
              <w:widowControl/>
              <w:jc w:val="left"/>
              <w:rPr>
                <w:rFonts w:ascii="仿宋_GB2312" w:hAnsi="黑体" w:eastAsia="仿宋_GB2312" w:cs="宋体"/>
                <w:color w:val="000000"/>
                <w:kern w:val="0"/>
                <w:sz w:val="22"/>
                <w:szCs w:val="22"/>
              </w:rPr>
            </w:pPr>
            <w:r>
              <w:rPr>
                <w:rFonts w:hint="eastAsia" w:ascii="仿宋_GB2312" w:hAnsi="黑体" w:eastAsia="仿宋_GB2312" w:cs="宋体"/>
                <w:color w:val="000000"/>
                <w:kern w:val="0"/>
                <w:sz w:val="22"/>
                <w:szCs w:val="22"/>
              </w:rPr>
              <w:t>实施单位（盖章）</w:t>
            </w:r>
          </w:p>
        </w:tc>
        <w:tc>
          <w:tcPr>
            <w:tcW w:w="37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广元市市场监督管理局广元经开区分局</w:t>
            </w:r>
          </w:p>
        </w:tc>
      </w:tr>
      <w:tr>
        <w:tblPrEx>
          <w:tblCellMar>
            <w:top w:w="0" w:type="dxa"/>
            <w:left w:w="108" w:type="dxa"/>
            <w:bottom w:w="0" w:type="dxa"/>
            <w:right w:w="108" w:type="dxa"/>
          </w:tblCellMar>
        </w:tblPrEx>
        <w:trPr>
          <w:trHeight w:val="498" w:hRule="atLeast"/>
        </w:trPr>
        <w:tc>
          <w:tcPr>
            <w:tcW w:w="67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项目基本情况</w:t>
            </w:r>
          </w:p>
        </w:tc>
        <w:tc>
          <w:tcPr>
            <w:tcW w:w="199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1.项目年度目标完成情况</w:t>
            </w:r>
          </w:p>
        </w:tc>
        <w:tc>
          <w:tcPr>
            <w:tcW w:w="6582"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项目年度目标</w:t>
            </w:r>
          </w:p>
        </w:tc>
        <w:tc>
          <w:tcPr>
            <w:tcW w:w="488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仿宋_GB2312" w:hAnsi="黑体" w:eastAsia="仿宋_GB2312" w:cs="宋体"/>
                <w:color w:val="000000"/>
                <w:kern w:val="0"/>
                <w:sz w:val="22"/>
                <w:szCs w:val="22"/>
              </w:rPr>
            </w:pPr>
            <w:r>
              <w:rPr>
                <w:rFonts w:hint="eastAsia" w:ascii="仿宋_GB2312" w:hAnsi="黑体" w:eastAsia="仿宋_GB2312" w:cs="宋体"/>
                <w:color w:val="000000"/>
                <w:kern w:val="0"/>
                <w:sz w:val="22"/>
                <w:szCs w:val="22"/>
              </w:rPr>
              <w:t>年度目标完成情况</w:t>
            </w:r>
          </w:p>
        </w:tc>
      </w:tr>
      <w:tr>
        <w:tblPrEx>
          <w:tblCellMar>
            <w:top w:w="0" w:type="dxa"/>
            <w:left w:w="108" w:type="dxa"/>
            <w:bottom w:w="0" w:type="dxa"/>
            <w:right w:w="108" w:type="dxa"/>
          </w:tblCellMar>
        </w:tblPrEx>
        <w:trPr>
          <w:trHeight w:val="709" w:hRule="atLeast"/>
        </w:trPr>
        <w:tc>
          <w:tcPr>
            <w:tcW w:w="679"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color w:val="000000"/>
                <w:kern w:val="0"/>
                <w:sz w:val="22"/>
                <w:szCs w:val="22"/>
              </w:rPr>
            </w:pPr>
          </w:p>
        </w:tc>
        <w:tc>
          <w:tcPr>
            <w:tcW w:w="1999" w:type="dxa"/>
            <w:vMerge w:val="continue"/>
            <w:tcBorders>
              <w:top w:val="nil"/>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color w:val="000000"/>
                <w:kern w:val="0"/>
                <w:sz w:val="22"/>
                <w:szCs w:val="22"/>
              </w:rPr>
            </w:pPr>
          </w:p>
        </w:tc>
        <w:tc>
          <w:tcPr>
            <w:tcW w:w="6582"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保障单位日常运转，提高预算编制质量，严格执行预算。</w:t>
            </w:r>
          </w:p>
        </w:tc>
        <w:tc>
          <w:tcPr>
            <w:tcW w:w="4880"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仿宋_GB2312" w:hAnsi="黑体" w:eastAsia="仿宋_GB2312" w:cs="宋体"/>
                <w:color w:val="000000"/>
                <w:kern w:val="0"/>
                <w:sz w:val="22"/>
                <w:szCs w:val="22"/>
              </w:rPr>
            </w:pPr>
            <w:r>
              <w:rPr>
                <w:rFonts w:hint="eastAsia" w:ascii="仿宋_GB2312" w:hAnsi="黑体" w:eastAsia="仿宋_GB2312" w:cs="宋体"/>
                <w:color w:val="000000"/>
                <w:kern w:val="0"/>
                <w:sz w:val="22"/>
                <w:szCs w:val="22"/>
              </w:rPr>
              <w:t>保障了单位在职职工基础绩效和退休人员生活补助的足额发放。</w:t>
            </w:r>
          </w:p>
        </w:tc>
      </w:tr>
      <w:tr>
        <w:tblPrEx>
          <w:tblCellMar>
            <w:top w:w="0" w:type="dxa"/>
            <w:left w:w="108" w:type="dxa"/>
            <w:bottom w:w="0" w:type="dxa"/>
            <w:right w:w="108" w:type="dxa"/>
          </w:tblCellMar>
        </w:tblPrEx>
        <w:trPr>
          <w:trHeight w:val="694" w:hRule="atLeast"/>
        </w:trPr>
        <w:tc>
          <w:tcPr>
            <w:tcW w:w="679" w:type="dxa"/>
            <w:vMerge w:val="continue"/>
            <w:tcBorders>
              <w:top w:val="nil"/>
              <w:left w:val="single" w:color="000000" w:sz="4" w:space="0"/>
              <w:bottom w:val="single" w:color="auto" w:sz="4" w:space="0"/>
              <w:right w:val="single" w:color="000000" w:sz="4" w:space="0"/>
            </w:tcBorders>
            <w:vAlign w:val="center"/>
          </w:tcPr>
          <w:p>
            <w:pPr>
              <w:widowControl/>
              <w:jc w:val="left"/>
              <w:rPr>
                <w:rFonts w:ascii="仿宋_GB2312" w:hAnsi="宋体" w:eastAsia="仿宋_GB2312" w:cs="宋体"/>
                <w:color w:val="000000"/>
                <w:kern w:val="0"/>
                <w:sz w:val="22"/>
                <w:szCs w:val="22"/>
              </w:rPr>
            </w:pPr>
          </w:p>
        </w:tc>
        <w:tc>
          <w:tcPr>
            <w:tcW w:w="1999" w:type="dxa"/>
            <w:tcBorders>
              <w:top w:val="nil"/>
              <w:left w:val="nil"/>
              <w:bottom w:val="single" w:color="auto" w:sz="4" w:space="0"/>
              <w:right w:val="single" w:color="000000"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2.项目实施内容及过程概述</w:t>
            </w:r>
          </w:p>
        </w:tc>
        <w:tc>
          <w:tcPr>
            <w:tcW w:w="11462" w:type="dxa"/>
            <w:gridSpan w:val="10"/>
            <w:tcBorders>
              <w:top w:val="single" w:color="000000" w:sz="4" w:space="0"/>
              <w:left w:val="nil"/>
              <w:bottom w:val="single" w:color="auto" w:sz="4" w:space="0"/>
              <w:right w:val="single" w:color="000000"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“规范后市级基础绩效奖及生活补助”项目由财务股负责组织实施，通过制定专项工作计划方案、确定工作目标、明确组织实施措施和策略，有效地指导工作的正常有序开展。</w:t>
            </w:r>
          </w:p>
        </w:tc>
      </w:tr>
      <w:tr>
        <w:tblPrEx>
          <w:tblCellMar>
            <w:top w:w="0" w:type="dxa"/>
            <w:left w:w="108" w:type="dxa"/>
            <w:bottom w:w="0" w:type="dxa"/>
            <w:right w:w="108" w:type="dxa"/>
          </w:tblCellMar>
        </w:tblPrEx>
        <w:trPr>
          <w:trHeight w:val="360" w:hRule="atLeast"/>
        </w:trPr>
        <w:tc>
          <w:tcPr>
            <w:tcW w:w="67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预算执行情况（10分）</w:t>
            </w:r>
          </w:p>
        </w:tc>
        <w:tc>
          <w:tcPr>
            <w:tcW w:w="199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年度预算数（万元）</w:t>
            </w:r>
          </w:p>
        </w:tc>
        <w:tc>
          <w:tcPr>
            <w:tcW w:w="173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年初预算</w:t>
            </w:r>
          </w:p>
        </w:tc>
        <w:tc>
          <w:tcPr>
            <w:tcW w:w="21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调整后预算数</w:t>
            </w:r>
          </w:p>
        </w:tc>
        <w:tc>
          <w:tcPr>
            <w:tcW w:w="2660"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预算执行数</w:t>
            </w:r>
          </w:p>
        </w:tc>
        <w:tc>
          <w:tcPr>
            <w:tcW w:w="109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预算执行率</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权重</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得分</w:t>
            </w:r>
          </w:p>
        </w:tc>
        <w:tc>
          <w:tcPr>
            <w:tcW w:w="247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原因</w:t>
            </w:r>
          </w:p>
        </w:tc>
      </w:tr>
      <w:tr>
        <w:tblPrEx>
          <w:tblCellMar>
            <w:top w:w="0" w:type="dxa"/>
            <w:left w:w="108" w:type="dxa"/>
            <w:bottom w:w="0" w:type="dxa"/>
            <w:right w:w="108" w:type="dxa"/>
          </w:tblCellMar>
        </w:tblPrEx>
        <w:trPr>
          <w:trHeight w:val="387"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199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总额</w:t>
            </w:r>
          </w:p>
        </w:tc>
        <w:tc>
          <w:tcPr>
            <w:tcW w:w="173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0.00</w:t>
            </w:r>
          </w:p>
        </w:tc>
        <w:tc>
          <w:tcPr>
            <w:tcW w:w="21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9.22</w:t>
            </w:r>
          </w:p>
        </w:tc>
        <w:tc>
          <w:tcPr>
            <w:tcW w:w="2660"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8.91</w:t>
            </w:r>
          </w:p>
        </w:tc>
        <w:tc>
          <w:tcPr>
            <w:tcW w:w="109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96.71%</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9　</w:t>
            </w:r>
          </w:p>
        </w:tc>
        <w:tc>
          <w:tcPr>
            <w:tcW w:w="247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黑体" w:eastAsia="仿宋_GB2312" w:cs="宋体"/>
                <w:iCs/>
                <w:color w:val="000000"/>
                <w:kern w:val="0"/>
                <w:sz w:val="22"/>
                <w:szCs w:val="22"/>
              </w:rPr>
            </w:pPr>
            <w:r>
              <w:rPr>
                <w:rFonts w:hint="eastAsia" w:ascii="仿宋_GB2312" w:hAnsi="黑体" w:eastAsia="仿宋_GB2312" w:cs="宋体"/>
                <w:iCs/>
                <w:color w:val="000000"/>
                <w:kern w:val="0"/>
                <w:sz w:val="22"/>
                <w:szCs w:val="22"/>
              </w:rPr>
              <w:t>追加原因：年中追加基础绩效奖及退休人员生活补助。</w:t>
            </w:r>
          </w:p>
        </w:tc>
      </w:tr>
      <w:tr>
        <w:tblPrEx>
          <w:tblCellMar>
            <w:top w:w="0" w:type="dxa"/>
            <w:left w:w="108" w:type="dxa"/>
            <w:bottom w:w="0" w:type="dxa"/>
            <w:right w:w="108" w:type="dxa"/>
          </w:tblCellMar>
        </w:tblPrEx>
        <w:trPr>
          <w:trHeight w:val="432"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199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其中：财政资金</w:t>
            </w:r>
          </w:p>
        </w:tc>
        <w:tc>
          <w:tcPr>
            <w:tcW w:w="173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0.00</w:t>
            </w:r>
          </w:p>
        </w:tc>
        <w:tc>
          <w:tcPr>
            <w:tcW w:w="21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9.22</w:t>
            </w:r>
          </w:p>
        </w:tc>
        <w:tc>
          <w:tcPr>
            <w:tcW w:w="2660"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8.91</w:t>
            </w:r>
          </w:p>
        </w:tc>
        <w:tc>
          <w:tcPr>
            <w:tcW w:w="109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96.71%</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247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黑体" w:eastAsia="仿宋_GB2312" w:cs="宋体"/>
                <w:iCs/>
                <w:color w:val="000000"/>
                <w:kern w:val="0"/>
                <w:sz w:val="22"/>
                <w:szCs w:val="22"/>
              </w:rPr>
            </w:pPr>
          </w:p>
        </w:tc>
      </w:tr>
      <w:tr>
        <w:tblPrEx>
          <w:tblCellMar>
            <w:top w:w="0" w:type="dxa"/>
            <w:left w:w="108" w:type="dxa"/>
            <w:bottom w:w="0" w:type="dxa"/>
            <w:right w:w="108" w:type="dxa"/>
          </w:tblCellMar>
        </w:tblPrEx>
        <w:trPr>
          <w:trHeight w:val="447"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199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财政专户管理资金</w:t>
            </w:r>
          </w:p>
        </w:tc>
        <w:tc>
          <w:tcPr>
            <w:tcW w:w="173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0.00</w:t>
            </w:r>
          </w:p>
        </w:tc>
        <w:tc>
          <w:tcPr>
            <w:tcW w:w="21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0.00</w:t>
            </w:r>
          </w:p>
        </w:tc>
        <w:tc>
          <w:tcPr>
            <w:tcW w:w="2660"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0.00</w:t>
            </w:r>
          </w:p>
        </w:tc>
        <w:tc>
          <w:tcPr>
            <w:tcW w:w="109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0.00%</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247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黑体" w:eastAsia="仿宋_GB2312" w:cs="宋体"/>
                <w:iCs/>
                <w:color w:val="000000"/>
                <w:kern w:val="0"/>
                <w:sz w:val="22"/>
                <w:szCs w:val="22"/>
              </w:rPr>
            </w:pPr>
          </w:p>
        </w:tc>
      </w:tr>
      <w:tr>
        <w:tblPrEx>
          <w:tblCellMar>
            <w:top w:w="0" w:type="dxa"/>
            <w:left w:w="108" w:type="dxa"/>
            <w:bottom w:w="0" w:type="dxa"/>
            <w:right w:w="108" w:type="dxa"/>
          </w:tblCellMar>
        </w:tblPrEx>
        <w:trPr>
          <w:trHeight w:val="402"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199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单位资金</w:t>
            </w:r>
          </w:p>
        </w:tc>
        <w:tc>
          <w:tcPr>
            <w:tcW w:w="173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0.00</w:t>
            </w:r>
          </w:p>
        </w:tc>
        <w:tc>
          <w:tcPr>
            <w:tcW w:w="21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0.00</w:t>
            </w:r>
          </w:p>
        </w:tc>
        <w:tc>
          <w:tcPr>
            <w:tcW w:w="2660"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0.00</w:t>
            </w:r>
          </w:p>
        </w:tc>
        <w:tc>
          <w:tcPr>
            <w:tcW w:w="109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0.00%</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247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黑体" w:eastAsia="仿宋_GB2312" w:cs="宋体"/>
                <w:iCs/>
                <w:color w:val="000000"/>
                <w:kern w:val="0"/>
                <w:sz w:val="22"/>
                <w:szCs w:val="22"/>
              </w:rPr>
            </w:pPr>
          </w:p>
        </w:tc>
      </w:tr>
      <w:tr>
        <w:tblPrEx>
          <w:tblCellMar>
            <w:top w:w="0" w:type="dxa"/>
            <w:left w:w="108" w:type="dxa"/>
            <w:bottom w:w="0" w:type="dxa"/>
            <w:right w:w="108" w:type="dxa"/>
          </w:tblCellMar>
        </w:tblPrEx>
        <w:trPr>
          <w:trHeight w:val="379"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199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其他资金</w:t>
            </w:r>
          </w:p>
        </w:tc>
        <w:tc>
          <w:tcPr>
            <w:tcW w:w="173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c>
          <w:tcPr>
            <w:tcW w:w="21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c>
          <w:tcPr>
            <w:tcW w:w="2660"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c>
          <w:tcPr>
            <w:tcW w:w="109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247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黑体" w:eastAsia="仿宋_GB2312" w:cs="宋体"/>
                <w:iCs/>
                <w:color w:val="000000"/>
                <w:kern w:val="0"/>
                <w:sz w:val="22"/>
                <w:szCs w:val="22"/>
              </w:rPr>
            </w:pPr>
          </w:p>
        </w:tc>
      </w:tr>
      <w:tr>
        <w:tblPrEx>
          <w:tblCellMar>
            <w:top w:w="0" w:type="dxa"/>
            <w:left w:w="108" w:type="dxa"/>
            <w:bottom w:w="0" w:type="dxa"/>
            <w:right w:w="108" w:type="dxa"/>
          </w:tblCellMar>
        </w:tblPrEx>
        <w:trPr>
          <w:trHeight w:val="454" w:hRule="atLeast"/>
        </w:trPr>
        <w:tc>
          <w:tcPr>
            <w:tcW w:w="67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绩效指标（90分）</w:t>
            </w:r>
          </w:p>
        </w:tc>
        <w:tc>
          <w:tcPr>
            <w:tcW w:w="199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一级指标</w:t>
            </w:r>
          </w:p>
        </w:tc>
        <w:tc>
          <w:tcPr>
            <w:tcW w:w="173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二级指标</w:t>
            </w:r>
          </w:p>
        </w:tc>
        <w:tc>
          <w:tcPr>
            <w:tcW w:w="21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三级指标</w:t>
            </w:r>
          </w:p>
        </w:tc>
        <w:tc>
          <w:tcPr>
            <w:tcW w:w="75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指标性质</w:t>
            </w:r>
          </w:p>
        </w:tc>
        <w:tc>
          <w:tcPr>
            <w:tcW w:w="110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指标值</w:t>
            </w:r>
          </w:p>
        </w:tc>
        <w:tc>
          <w:tcPr>
            <w:tcW w:w="80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度量单位</w:t>
            </w:r>
          </w:p>
        </w:tc>
        <w:tc>
          <w:tcPr>
            <w:tcW w:w="109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完成值</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权重</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得分</w:t>
            </w:r>
          </w:p>
        </w:tc>
        <w:tc>
          <w:tcPr>
            <w:tcW w:w="247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未完成原因分析</w:t>
            </w:r>
          </w:p>
        </w:tc>
      </w:tr>
      <w:tr>
        <w:tblPrEx>
          <w:tblCellMar>
            <w:top w:w="0" w:type="dxa"/>
            <w:left w:w="108" w:type="dxa"/>
            <w:bottom w:w="0" w:type="dxa"/>
            <w:right w:w="108" w:type="dxa"/>
          </w:tblCellMar>
        </w:tblPrEx>
        <w:trPr>
          <w:trHeight w:val="338" w:hRule="atLeast"/>
        </w:trPr>
        <w:tc>
          <w:tcPr>
            <w:tcW w:w="67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199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　产出指标</w:t>
            </w:r>
          </w:p>
        </w:tc>
        <w:tc>
          <w:tcPr>
            <w:tcW w:w="173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数量指标</w:t>
            </w:r>
          </w:p>
        </w:tc>
        <w:tc>
          <w:tcPr>
            <w:tcW w:w="21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科目调整次数</w:t>
            </w:r>
          </w:p>
        </w:tc>
        <w:tc>
          <w:tcPr>
            <w:tcW w:w="75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110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w:t>
            </w:r>
          </w:p>
        </w:tc>
        <w:tc>
          <w:tcPr>
            <w:tcW w:w="80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次</w:t>
            </w:r>
          </w:p>
        </w:tc>
        <w:tc>
          <w:tcPr>
            <w:tcW w:w="109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0</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22.5</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30　</w:t>
            </w:r>
          </w:p>
        </w:tc>
        <w:tc>
          <w:tcPr>
            <w:tcW w:w="247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p>
        </w:tc>
      </w:tr>
      <w:tr>
        <w:tblPrEx>
          <w:tblCellMar>
            <w:top w:w="0" w:type="dxa"/>
            <w:left w:w="108" w:type="dxa"/>
            <w:bottom w:w="0" w:type="dxa"/>
            <w:right w:w="108" w:type="dxa"/>
          </w:tblCellMar>
        </w:tblPrEx>
        <w:trPr>
          <w:trHeight w:val="338" w:hRule="atLeast"/>
        </w:trPr>
        <w:tc>
          <w:tcPr>
            <w:tcW w:w="679" w:type="dxa"/>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199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p>
        </w:tc>
        <w:tc>
          <w:tcPr>
            <w:tcW w:w="173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质量指标</w:t>
            </w:r>
          </w:p>
        </w:tc>
        <w:tc>
          <w:tcPr>
            <w:tcW w:w="21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预算编制准确率（计算方法为：</w:t>
            </w:r>
            <w:r>
              <w:rPr>
                <w:rFonts w:hint="eastAsia" w:ascii="仿宋_GB2312" w:hAnsi="宋体" w:cs="宋体"/>
                <w:color w:val="000000"/>
                <w:kern w:val="0"/>
                <w:sz w:val="22"/>
                <w:szCs w:val="22"/>
              </w:rPr>
              <w:t>∣</w:t>
            </w:r>
            <w:r>
              <w:rPr>
                <w:rFonts w:hint="eastAsia" w:ascii="仿宋_GB2312" w:hAnsi="宋体" w:eastAsia="仿宋_GB2312" w:cs="宋体"/>
                <w:color w:val="000000"/>
                <w:kern w:val="0"/>
                <w:sz w:val="22"/>
                <w:szCs w:val="22"/>
              </w:rPr>
              <w:t>（执行数-预算数）/预算数</w:t>
            </w:r>
            <w:r>
              <w:rPr>
                <w:rFonts w:hint="eastAsia" w:ascii="仿宋_GB2312" w:hAnsi="宋体" w:cs="宋体"/>
                <w:color w:val="000000"/>
                <w:kern w:val="0"/>
                <w:sz w:val="22"/>
                <w:szCs w:val="22"/>
              </w:rPr>
              <w:t>∣</w:t>
            </w:r>
            <w:r>
              <w:rPr>
                <w:rFonts w:hint="eastAsia" w:ascii="仿宋_GB2312" w:hAnsi="宋体" w:eastAsia="仿宋_GB2312" w:cs="宋体"/>
                <w:color w:val="000000"/>
                <w:kern w:val="0"/>
                <w:sz w:val="22"/>
                <w:szCs w:val="22"/>
              </w:rPr>
              <w:t>）</w:t>
            </w:r>
          </w:p>
        </w:tc>
        <w:tc>
          <w:tcPr>
            <w:tcW w:w="75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110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5</w:t>
            </w:r>
          </w:p>
        </w:tc>
        <w:tc>
          <w:tcPr>
            <w:tcW w:w="80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109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0</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22.5</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30　</w:t>
            </w:r>
          </w:p>
        </w:tc>
        <w:tc>
          <w:tcPr>
            <w:tcW w:w="247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　</w:t>
            </w:r>
          </w:p>
        </w:tc>
      </w:tr>
      <w:tr>
        <w:tblPrEx>
          <w:tblCellMar>
            <w:top w:w="0" w:type="dxa"/>
            <w:left w:w="108" w:type="dxa"/>
            <w:bottom w:w="0" w:type="dxa"/>
            <w:right w:w="108" w:type="dxa"/>
          </w:tblCellMar>
        </w:tblPrEx>
        <w:trPr>
          <w:trHeight w:val="530" w:hRule="atLeast"/>
        </w:trPr>
        <w:tc>
          <w:tcPr>
            <w:tcW w:w="679" w:type="dxa"/>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color w:val="000000"/>
                <w:kern w:val="0"/>
                <w:sz w:val="22"/>
                <w:szCs w:val="22"/>
              </w:rPr>
            </w:pPr>
          </w:p>
        </w:tc>
        <w:tc>
          <w:tcPr>
            <w:tcW w:w="199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效益指标</w:t>
            </w:r>
          </w:p>
        </w:tc>
        <w:tc>
          <w:tcPr>
            <w:tcW w:w="173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经济效益指标</w:t>
            </w:r>
          </w:p>
        </w:tc>
        <w:tc>
          <w:tcPr>
            <w:tcW w:w="219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运转保障率</w:t>
            </w:r>
          </w:p>
        </w:tc>
        <w:tc>
          <w:tcPr>
            <w:tcW w:w="75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110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100</w:t>
            </w:r>
          </w:p>
        </w:tc>
        <w:tc>
          <w:tcPr>
            <w:tcW w:w="80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w:t>
            </w:r>
          </w:p>
        </w:tc>
        <w:tc>
          <w:tcPr>
            <w:tcW w:w="109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100　</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22.5</w:t>
            </w:r>
          </w:p>
        </w:tc>
        <w:tc>
          <w:tcPr>
            <w:tcW w:w="65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30　</w:t>
            </w:r>
          </w:p>
        </w:tc>
        <w:tc>
          <w:tcPr>
            <w:tcW w:w="247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2"/>
                <w:szCs w:val="22"/>
              </w:rPr>
            </w:pPr>
          </w:p>
        </w:tc>
      </w:tr>
      <w:tr>
        <w:tblPrEx>
          <w:tblCellMar>
            <w:top w:w="0" w:type="dxa"/>
            <w:left w:w="108" w:type="dxa"/>
            <w:bottom w:w="0" w:type="dxa"/>
            <w:right w:w="108" w:type="dxa"/>
          </w:tblCellMar>
        </w:tblPrEx>
        <w:trPr>
          <w:trHeight w:val="450" w:hRule="atLeast"/>
        </w:trPr>
        <w:tc>
          <w:tcPr>
            <w:tcW w:w="10350" w:type="dxa"/>
            <w:gridSpan w:val="9"/>
            <w:tcBorders>
              <w:top w:val="single" w:color="auto"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合计</w:t>
            </w:r>
          </w:p>
        </w:tc>
        <w:tc>
          <w:tcPr>
            <w:tcW w:w="656" w:type="dxa"/>
            <w:tcBorders>
              <w:top w:val="single" w:color="auto" w:sz="4" w:space="0"/>
              <w:left w:val="nil"/>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100</w:t>
            </w:r>
          </w:p>
        </w:tc>
        <w:tc>
          <w:tcPr>
            <w:tcW w:w="656" w:type="dxa"/>
            <w:tcBorders>
              <w:top w:val="single" w:color="auto" w:sz="4" w:space="0"/>
              <w:left w:val="nil"/>
              <w:bottom w:val="single" w:color="000000" w:sz="4" w:space="0"/>
              <w:right w:val="single" w:color="000000"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　99</w:t>
            </w:r>
          </w:p>
        </w:tc>
        <w:tc>
          <w:tcPr>
            <w:tcW w:w="2478" w:type="dxa"/>
            <w:tcBorders>
              <w:top w:val="single" w:color="auto" w:sz="4" w:space="0"/>
              <w:left w:val="nil"/>
              <w:bottom w:val="single" w:color="000000" w:sz="4" w:space="0"/>
              <w:right w:val="single" w:color="000000" w:sz="4" w:space="0"/>
            </w:tcBorders>
            <w:shd w:val="clear" w:color="auto" w:fill="auto"/>
            <w:vAlign w:val="center"/>
          </w:tcPr>
          <w:p>
            <w:pPr>
              <w:widowControl/>
              <w:jc w:val="left"/>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　</w:t>
            </w:r>
          </w:p>
        </w:tc>
      </w:tr>
      <w:tr>
        <w:tblPrEx>
          <w:tblCellMar>
            <w:top w:w="0" w:type="dxa"/>
            <w:left w:w="108" w:type="dxa"/>
            <w:bottom w:w="0" w:type="dxa"/>
            <w:right w:w="108" w:type="dxa"/>
          </w:tblCellMar>
        </w:tblPrEx>
        <w:trPr>
          <w:trHeight w:val="604" w:hRule="atLeast"/>
        </w:trPr>
        <w:tc>
          <w:tcPr>
            <w:tcW w:w="679"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评价结论</w:t>
            </w:r>
          </w:p>
        </w:tc>
        <w:tc>
          <w:tcPr>
            <w:tcW w:w="13461" w:type="dxa"/>
            <w:gridSpan w:val="11"/>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仿宋_GB2312" w:hAnsi="微软雅黑" w:eastAsia="仿宋_GB2312" w:cs="宋体"/>
                <w:iCs/>
                <w:color w:val="000000"/>
                <w:kern w:val="0"/>
                <w:sz w:val="22"/>
                <w:szCs w:val="22"/>
              </w:rPr>
            </w:pPr>
            <w:r>
              <w:rPr>
                <w:rFonts w:hint="eastAsia" w:ascii="仿宋_GB2312" w:hAnsi="黑体" w:eastAsia="仿宋_GB2312" w:cs="宋体"/>
                <w:color w:val="000000"/>
                <w:kern w:val="0"/>
                <w:sz w:val="22"/>
                <w:szCs w:val="22"/>
              </w:rPr>
              <w:t>保障了单位在职职工基础绩效和退休人员生活补助的足额发放，项目自评得分为99分。</w:t>
            </w:r>
          </w:p>
        </w:tc>
      </w:tr>
      <w:tr>
        <w:tblPrEx>
          <w:tblCellMar>
            <w:top w:w="0" w:type="dxa"/>
            <w:left w:w="108" w:type="dxa"/>
            <w:bottom w:w="0" w:type="dxa"/>
            <w:right w:w="108" w:type="dxa"/>
          </w:tblCellMar>
        </w:tblPrEx>
        <w:trPr>
          <w:trHeight w:val="574" w:hRule="atLeast"/>
        </w:trPr>
        <w:tc>
          <w:tcPr>
            <w:tcW w:w="679"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存在问题</w:t>
            </w:r>
          </w:p>
        </w:tc>
        <w:tc>
          <w:tcPr>
            <w:tcW w:w="13461" w:type="dxa"/>
            <w:gridSpan w:val="11"/>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预算执行进度未达100%。</w:t>
            </w:r>
          </w:p>
        </w:tc>
      </w:tr>
      <w:tr>
        <w:tblPrEx>
          <w:tblCellMar>
            <w:top w:w="0" w:type="dxa"/>
            <w:left w:w="108" w:type="dxa"/>
            <w:bottom w:w="0" w:type="dxa"/>
            <w:right w:w="108" w:type="dxa"/>
          </w:tblCellMar>
        </w:tblPrEx>
        <w:trPr>
          <w:trHeight w:val="634" w:hRule="atLeast"/>
        </w:trPr>
        <w:tc>
          <w:tcPr>
            <w:tcW w:w="679"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仿宋_GB2312" w:hAnsi="宋体" w:eastAsia="仿宋_GB2312" w:cs="宋体"/>
                <w:color w:val="000000"/>
                <w:kern w:val="0"/>
                <w:sz w:val="22"/>
                <w:szCs w:val="22"/>
              </w:rPr>
            </w:pPr>
            <w:r>
              <w:rPr>
                <w:rFonts w:hint="eastAsia" w:ascii="仿宋_GB2312" w:hAnsi="宋体" w:eastAsia="仿宋_GB2312" w:cs="宋体"/>
                <w:color w:val="000000"/>
                <w:kern w:val="0"/>
                <w:sz w:val="22"/>
                <w:szCs w:val="22"/>
              </w:rPr>
              <w:t>改进措施</w:t>
            </w:r>
          </w:p>
        </w:tc>
        <w:tc>
          <w:tcPr>
            <w:tcW w:w="13461" w:type="dxa"/>
            <w:gridSpan w:val="11"/>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仿宋_GB2312" w:hAnsi="微软雅黑" w:eastAsia="仿宋_GB2312" w:cs="宋体"/>
                <w:iCs/>
                <w:color w:val="000000"/>
                <w:kern w:val="0"/>
                <w:sz w:val="22"/>
                <w:szCs w:val="22"/>
              </w:rPr>
            </w:pPr>
            <w:r>
              <w:rPr>
                <w:rFonts w:hint="eastAsia" w:ascii="仿宋_GB2312" w:hAnsi="微软雅黑" w:eastAsia="仿宋_GB2312" w:cs="宋体"/>
                <w:iCs/>
                <w:color w:val="000000"/>
                <w:kern w:val="0"/>
                <w:sz w:val="22"/>
                <w:szCs w:val="22"/>
              </w:rPr>
              <w:t>进一步强化预算编制，加强事中、事后绩效监控，及时调整工作目标，提高预算执行的科学性。</w:t>
            </w:r>
          </w:p>
        </w:tc>
      </w:tr>
      <w:tr>
        <w:tblPrEx>
          <w:tblCellMar>
            <w:top w:w="0" w:type="dxa"/>
            <w:left w:w="108" w:type="dxa"/>
            <w:bottom w:w="0" w:type="dxa"/>
            <w:right w:w="108" w:type="dxa"/>
          </w:tblCellMar>
        </w:tblPrEx>
        <w:trPr>
          <w:trHeight w:val="482" w:hRule="atLeast"/>
        </w:trPr>
        <w:tc>
          <w:tcPr>
            <w:tcW w:w="7113"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仿宋_GB2312" w:hAnsi="黑体" w:eastAsia="仿宋_GB2312" w:cs="宋体"/>
                <w:color w:val="000000"/>
                <w:kern w:val="0"/>
                <w:sz w:val="22"/>
                <w:szCs w:val="22"/>
              </w:rPr>
            </w:pPr>
            <w:r>
              <w:rPr>
                <w:rFonts w:hint="eastAsia" w:ascii="仿宋_GB2312" w:hAnsi="黑体" w:eastAsia="仿宋_GB2312" w:cs="宋体"/>
                <w:color w:val="000000"/>
                <w:kern w:val="0"/>
                <w:sz w:val="22"/>
                <w:szCs w:val="22"/>
              </w:rPr>
              <w:t>项目负责人：廖红</w:t>
            </w:r>
          </w:p>
        </w:tc>
        <w:tc>
          <w:tcPr>
            <w:tcW w:w="7027"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仿宋_GB2312" w:hAnsi="黑体" w:eastAsia="仿宋_GB2312" w:cs="宋体"/>
                <w:color w:val="000000"/>
                <w:kern w:val="0"/>
                <w:sz w:val="22"/>
                <w:szCs w:val="22"/>
              </w:rPr>
            </w:pPr>
            <w:r>
              <w:rPr>
                <w:rFonts w:hint="eastAsia" w:ascii="仿宋_GB2312" w:hAnsi="黑体" w:eastAsia="仿宋_GB2312" w:cs="宋体"/>
                <w:color w:val="000000"/>
                <w:kern w:val="0"/>
                <w:sz w:val="22"/>
                <w:szCs w:val="22"/>
              </w:rPr>
              <w:t>财务负责人：岳林</w:t>
            </w:r>
          </w:p>
        </w:tc>
      </w:tr>
    </w:tbl>
    <w:p>
      <w:pPr>
        <w:pStyle w:val="2"/>
        <w:spacing w:before="93"/>
      </w:pPr>
    </w:p>
    <w:p>
      <w:pPr>
        <w:pStyle w:val="2"/>
        <w:spacing w:before="93"/>
      </w:pPr>
    </w:p>
    <w:p>
      <w:pPr>
        <w:pStyle w:val="2"/>
        <w:spacing w:before="93"/>
      </w:pPr>
    </w:p>
    <w:p>
      <w:pPr>
        <w:pStyle w:val="2"/>
        <w:spacing w:before="93"/>
        <w:sectPr>
          <w:footerReference r:id="rId9" w:type="first"/>
          <w:footerReference r:id="rId8" w:type="default"/>
          <w:pgSz w:w="16838" w:h="11906" w:orient="landscape"/>
          <w:pgMar w:top="1800" w:right="1440" w:bottom="1800" w:left="1440" w:header="851" w:footer="992" w:gutter="0"/>
          <w:cols w:space="425" w:num="1"/>
          <w:titlePg/>
          <w:docGrid w:type="lines" w:linePitch="312" w:charSpace="0"/>
        </w:sectPr>
      </w:pPr>
    </w:p>
    <w:bookmarkEnd w:id="96"/>
    <w:p>
      <w:pPr>
        <w:pStyle w:val="3"/>
        <w:spacing w:line="600" w:lineRule="exact"/>
        <w:jc w:val="center"/>
        <w:rPr>
          <w:rFonts w:ascii="方正小标宋简体" w:hAnsi="方正小标宋简体" w:eastAsia="方正小标宋简体" w:cs="方正小标宋简体"/>
          <w:b w:val="0"/>
          <w:bCs w:val="0"/>
          <w:kern w:val="2"/>
        </w:rPr>
      </w:pPr>
      <w:bookmarkStart w:id="101" w:name="_Toc147678544"/>
      <w:bookmarkStart w:id="102" w:name="_Toc147676476"/>
      <w:bookmarkStart w:id="103" w:name="_Toc15396619"/>
      <w:r>
        <w:rPr>
          <w:rFonts w:hint="eastAsia" w:ascii="方正小标宋简体" w:hAnsi="方正小标宋简体" w:eastAsia="方正小标宋简体" w:cs="方正小标宋简体"/>
          <w:b w:val="0"/>
          <w:bCs w:val="0"/>
          <w:kern w:val="2"/>
        </w:rPr>
        <w:t>第五部分附表</w:t>
      </w:r>
      <w:bookmarkEnd w:id="101"/>
      <w:bookmarkEnd w:id="102"/>
    </w:p>
    <w:p>
      <w:pPr>
        <w:pStyle w:val="4"/>
        <w:spacing w:line="415" w:lineRule="auto"/>
        <w:ind w:firstLine="640" w:firstLineChars="200"/>
        <w:rPr>
          <w:rFonts w:ascii="仿宋_GB2312" w:hAnsi="仿宋_GB2312" w:eastAsia="仿宋_GB2312" w:cs="仿宋_GB2312"/>
          <w:b w:val="0"/>
        </w:rPr>
      </w:pPr>
      <w:bookmarkStart w:id="104" w:name="_Toc147676477"/>
      <w:bookmarkStart w:id="105" w:name="_Toc147678545"/>
      <w:r>
        <w:rPr>
          <w:rFonts w:hint="eastAsia" w:ascii="仿宋_GB2312" w:hAnsi="仿宋_GB2312" w:eastAsia="仿宋_GB2312" w:cs="仿宋_GB2312"/>
          <w:b w:val="0"/>
        </w:rPr>
        <w:t>一、收入支出决算总表</w:t>
      </w:r>
      <w:bookmarkEnd w:id="103"/>
      <w:bookmarkEnd w:id="104"/>
      <w:bookmarkEnd w:id="105"/>
    </w:p>
    <w:p>
      <w:pPr>
        <w:pStyle w:val="4"/>
        <w:spacing w:line="415" w:lineRule="auto"/>
        <w:ind w:firstLine="640" w:firstLineChars="200"/>
        <w:rPr>
          <w:rFonts w:ascii="仿宋_GB2312" w:hAnsi="仿宋_GB2312" w:eastAsia="仿宋_GB2312" w:cs="仿宋_GB2312"/>
          <w:b w:val="0"/>
        </w:rPr>
      </w:pPr>
      <w:bookmarkStart w:id="106" w:name="_Toc147676478"/>
      <w:bookmarkStart w:id="107" w:name="_Toc15396620"/>
      <w:bookmarkStart w:id="108" w:name="_Toc147678546"/>
      <w:r>
        <w:rPr>
          <w:rFonts w:hint="eastAsia" w:ascii="仿宋_GB2312" w:hAnsi="仿宋_GB2312" w:eastAsia="仿宋_GB2312" w:cs="仿宋_GB2312"/>
          <w:b w:val="0"/>
        </w:rPr>
        <w:t>二、收</w:t>
      </w:r>
      <w:r>
        <w:rPr>
          <w:rFonts w:hint="eastAsia" w:ascii="仿宋_GB2312" w:hAnsi="仿宋_GB2312" w:eastAsia="仿宋_GB2312" w:cs="仿宋_GB2312"/>
          <w:b w:val="0"/>
          <w:bCs w:val="0"/>
        </w:rPr>
        <w:t>入决算表</w:t>
      </w:r>
      <w:bookmarkEnd w:id="106"/>
      <w:bookmarkEnd w:id="107"/>
      <w:bookmarkEnd w:id="108"/>
    </w:p>
    <w:p>
      <w:pPr>
        <w:pStyle w:val="4"/>
        <w:spacing w:line="415" w:lineRule="auto"/>
        <w:ind w:firstLine="640" w:firstLineChars="200"/>
        <w:rPr>
          <w:rFonts w:ascii="仿宋_GB2312" w:hAnsi="仿宋_GB2312" w:eastAsia="仿宋_GB2312" w:cs="仿宋_GB2312"/>
          <w:b w:val="0"/>
          <w:bCs w:val="0"/>
        </w:rPr>
      </w:pPr>
      <w:bookmarkStart w:id="109" w:name="_Toc147678547"/>
      <w:bookmarkStart w:id="110" w:name="_Toc147676479"/>
      <w:bookmarkStart w:id="111" w:name="_Toc15396621"/>
      <w:r>
        <w:rPr>
          <w:rFonts w:hint="eastAsia" w:ascii="仿宋_GB2312" w:hAnsi="仿宋_GB2312" w:eastAsia="仿宋_GB2312" w:cs="仿宋_GB2312"/>
          <w:b w:val="0"/>
          <w:bCs w:val="0"/>
        </w:rPr>
        <w:t>三、</w:t>
      </w:r>
      <w:r>
        <w:rPr>
          <w:rFonts w:hint="eastAsia" w:ascii="仿宋_GB2312" w:hAnsi="仿宋_GB2312" w:eastAsia="仿宋_GB2312" w:cs="仿宋_GB2312"/>
          <w:b w:val="0"/>
          <w:bCs w:val="0"/>
        </w:rPr>
        <w:t>支出</w:t>
      </w:r>
      <w:r>
        <w:rPr>
          <w:rFonts w:hint="eastAsia" w:ascii="仿宋_GB2312" w:hAnsi="仿宋_GB2312" w:eastAsia="仿宋_GB2312" w:cs="仿宋_GB2312"/>
          <w:b w:val="0"/>
        </w:rPr>
        <w:t>决算表</w:t>
      </w:r>
      <w:bookmarkEnd w:id="109"/>
      <w:bookmarkEnd w:id="110"/>
      <w:bookmarkEnd w:id="111"/>
    </w:p>
    <w:p>
      <w:pPr>
        <w:pStyle w:val="4"/>
        <w:spacing w:line="415" w:lineRule="auto"/>
        <w:ind w:firstLine="640" w:firstLineChars="200"/>
        <w:rPr>
          <w:rFonts w:ascii="仿宋_GB2312" w:hAnsi="仿宋_GB2312" w:eastAsia="仿宋_GB2312" w:cs="仿宋_GB2312"/>
        </w:rPr>
      </w:pPr>
      <w:bookmarkStart w:id="112" w:name="_Toc147678548"/>
      <w:bookmarkStart w:id="113" w:name="_Toc15396622"/>
      <w:bookmarkStart w:id="114" w:name="_Toc147676480"/>
      <w:r>
        <w:rPr>
          <w:rFonts w:hint="eastAsia" w:ascii="仿宋_GB2312" w:hAnsi="仿宋_GB2312" w:eastAsia="仿宋_GB2312" w:cs="仿宋_GB2312"/>
          <w:b w:val="0"/>
          <w:bCs w:val="0"/>
        </w:rPr>
        <w:t>四、</w:t>
      </w:r>
      <w:r>
        <w:rPr>
          <w:rFonts w:hint="eastAsia" w:ascii="仿宋_GB2312" w:hAnsi="仿宋_GB2312" w:eastAsia="仿宋_GB2312" w:cs="仿宋_GB2312"/>
          <w:b w:val="0"/>
        </w:rPr>
        <w:t>财</w:t>
      </w:r>
      <w:r>
        <w:rPr>
          <w:rFonts w:hint="eastAsia" w:ascii="仿宋_GB2312" w:hAnsi="仿宋_GB2312" w:eastAsia="仿宋_GB2312" w:cs="仿宋_GB2312"/>
          <w:b w:val="0"/>
          <w:bCs w:val="0"/>
        </w:rPr>
        <w:t>政拨款收入支出决算总表</w:t>
      </w:r>
      <w:bookmarkEnd w:id="112"/>
      <w:bookmarkEnd w:id="113"/>
      <w:bookmarkEnd w:id="114"/>
    </w:p>
    <w:p>
      <w:pPr>
        <w:pStyle w:val="4"/>
        <w:spacing w:line="415" w:lineRule="auto"/>
        <w:ind w:firstLine="640" w:firstLineChars="200"/>
        <w:rPr>
          <w:rFonts w:ascii="仿宋_GB2312" w:hAnsi="仿宋_GB2312" w:eastAsia="仿宋_GB2312" w:cs="仿宋_GB2312"/>
          <w:b w:val="0"/>
        </w:rPr>
      </w:pPr>
      <w:bookmarkStart w:id="115" w:name="_Toc15396623"/>
      <w:bookmarkStart w:id="116" w:name="_Toc147676481"/>
      <w:bookmarkStart w:id="117" w:name="_Toc147678549"/>
      <w:r>
        <w:rPr>
          <w:rFonts w:hint="eastAsia" w:ascii="仿宋_GB2312" w:hAnsi="仿宋_GB2312" w:eastAsia="仿宋_GB2312" w:cs="仿宋_GB2312"/>
          <w:b w:val="0"/>
        </w:rPr>
        <w:t>五、</w:t>
      </w:r>
      <w:r>
        <w:rPr>
          <w:rFonts w:hint="eastAsia" w:ascii="仿宋_GB2312" w:hAnsi="仿宋_GB2312" w:eastAsia="仿宋_GB2312" w:cs="仿宋_GB2312"/>
          <w:b w:val="0"/>
          <w:bCs w:val="0"/>
        </w:rPr>
        <w:t>财</w:t>
      </w:r>
      <w:r>
        <w:rPr>
          <w:rFonts w:hint="eastAsia" w:ascii="仿宋_GB2312" w:hAnsi="仿宋_GB2312" w:eastAsia="仿宋_GB2312" w:cs="仿宋_GB2312"/>
          <w:b w:val="0"/>
        </w:rPr>
        <w:t>政拨款支出决算明细表</w:t>
      </w:r>
      <w:bookmarkEnd w:id="115"/>
      <w:bookmarkEnd w:id="116"/>
      <w:bookmarkEnd w:id="117"/>
      <w:bookmarkStart w:id="118" w:name="_Toc15396624"/>
    </w:p>
    <w:p>
      <w:pPr>
        <w:pStyle w:val="4"/>
        <w:spacing w:line="415" w:lineRule="auto"/>
        <w:ind w:firstLine="640" w:firstLineChars="200"/>
        <w:rPr>
          <w:rFonts w:ascii="仿宋_GB2312" w:hAnsi="仿宋_GB2312" w:eastAsia="仿宋_GB2312" w:cs="仿宋_GB2312"/>
          <w:b w:val="0"/>
        </w:rPr>
      </w:pPr>
      <w:bookmarkStart w:id="119" w:name="_Toc147678550"/>
      <w:bookmarkStart w:id="120" w:name="_Toc147676482"/>
      <w:r>
        <w:rPr>
          <w:rFonts w:hint="eastAsia" w:ascii="仿宋_GB2312" w:hAnsi="仿宋_GB2312" w:eastAsia="仿宋_GB2312" w:cs="仿宋_GB2312"/>
          <w:b w:val="0"/>
          <w:bCs w:val="0"/>
        </w:rPr>
        <w:t>六、</w:t>
      </w:r>
      <w:r>
        <w:rPr>
          <w:rFonts w:hint="eastAsia" w:ascii="仿宋_GB2312" w:hAnsi="仿宋_GB2312" w:eastAsia="仿宋_GB2312" w:cs="仿宋_GB2312"/>
          <w:b w:val="0"/>
        </w:rPr>
        <w:t>一</w:t>
      </w:r>
      <w:r>
        <w:rPr>
          <w:rFonts w:hint="eastAsia" w:ascii="仿宋_GB2312" w:hAnsi="仿宋_GB2312" w:eastAsia="仿宋_GB2312" w:cs="仿宋_GB2312"/>
          <w:b w:val="0"/>
          <w:bCs w:val="0"/>
        </w:rPr>
        <w:t>般公共预算财政拨款支出决算表</w:t>
      </w:r>
      <w:bookmarkEnd w:id="118"/>
      <w:bookmarkEnd w:id="119"/>
      <w:bookmarkEnd w:id="120"/>
    </w:p>
    <w:p>
      <w:pPr>
        <w:pStyle w:val="4"/>
        <w:spacing w:line="415" w:lineRule="auto"/>
        <w:ind w:firstLine="640" w:firstLineChars="200"/>
        <w:rPr>
          <w:rFonts w:ascii="仿宋_GB2312" w:hAnsi="仿宋_GB2312" w:eastAsia="仿宋_GB2312" w:cs="仿宋_GB2312"/>
          <w:b w:val="0"/>
          <w:bCs w:val="0"/>
        </w:rPr>
      </w:pPr>
      <w:bookmarkStart w:id="121" w:name="_Toc147676483"/>
      <w:bookmarkStart w:id="122" w:name="_Toc147678551"/>
      <w:bookmarkStart w:id="123" w:name="_Toc15396625"/>
      <w:r>
        <w:rPr>
          <w:rFonts w:hint="eastAsia" w:ascii="仿宋_GB2312" w:hAnsi="仿宋_GB2312" w:eastAsia="仿宋_GB2312" w:cs="仿宋_GB2312"/>
          <w:b w:val="0"/>
        </w:rPr>
        <w:t>七、</w:t>
      </w:r>
      <w:r>
        <w:rPr>
          <w:rFonts w:hint="eastAsia" w:ascii="仿宋_GB2312" w:hAnsi="仿宋_GB2312" w:eastAsia="仿宋_GB2312" w:cs="仿宋_GB2312"/>
          <w:b w:val="0"/>
          <w:bCs w:val="0"/>
        </w:rPr>
        <w:t>一</w:t>
      </w:r>
      <w:r>
        <w:rPr>
          <w:rFonts w:hint="eastAsia" w:ascii="仿宋_GB2312" w:hAnsi="仿宋_GB2312" w:eastAsia="仿宋_GB2312" w:cs="仿宋_GB2312"/>
          <w:b w:val="0"/>
        </w:rPr>
        <w:t>般公共预算财政拨款支出决算明细表</w:t>
      </w:r>
      <w:bookmarkEnd w:id="121"/>
      <w:bookmarkEnd w:id="122"/>
      <w:bookmarkEnd w:id="123"/>
    </w:p>
    <w:p>
      <w:pPr>
        <w:pStyle w:val="4"/>
        <w:spacing w:line="415" w:lineRule="auto"/>
        <w:ind w:firstLine="640" w:firstLineChars="200"/>
        <w:rPr>
          <w:rFonts w:ascii="仿宋_GB2312" w:hAnsi="仿宋_GB2312" w:eastAsia="仿宋_GB2312" w:cs="仿宋_GB2312"/>
          <w:b w:val="0"/>
          <w:bCs w:val="0"/>
        </w:rPr>
      </w:pPr>
      <w:bookmarkStart w:id="124" w:name="_Toc147678552"/>
      <w:bookmarkStart w:id="125" w:name="_Toc15396626"/>
      <w:bookmarkStart w:id="126" w:name="_Toc147676484"/>
      <w:r>
        <w:rPr>
          <w:rFonts w:hint="eastAsia" w:ascii="仿宋_GB2312" w:hAnsi="仿宋_GB2312" w:eastAsia="仿宋_GB2312" w:cs="仿宋_GB2312"/>
          <w:b w:val="0"/>
        </w:rPr>
        <w:t>八、</w:t>
      </w:r>
      <w:r>
        <w:rPr>
          <w:rFonts w:hint="eastAsia" w:ascii="仿宋_GB2312" w:hAnsi="仿宋_GB2312" w:eastAsia="仿宋_GB2312" w:cs="仿宋_GB2312"/>
          <w:b w:val="0"/>
          <w:bCs w:val="0"/>
        </w:rPr>
        <w:t>一</w:t>
      </w:r>
      <w:r>
        <w:rPr>
          <w:rFonts w:hint="eastAsia" w:ascii="仿宋_GB2312" w:hAnsi="仿宋_GB2312" w:eastAsia="仿宋_GB2312" w:cs="仿宋_GB2312"/>
          <w:b w:val="0"/>
        </w:rPr>
        <w:t>般公共预算财政拨款基本支出决算表</w:t>
      </w:r>
      <w:bookmarkEnd w:id="124"/>
      <w:bookmarkEnd w:id="125"/>
      <w:bookmarkEnd w:id="126"/>
    </w:p>
    <w:p>
      <w:pPr>
        <w:pStyle w:val="4"/>
        <w:spacing w:line="415" w:lineRule="auto"/>
        <w:ind w:firstLine="640" w:firstLineChars="200"/>
        <w:rPr>
          <w:rFonts w:ascii="仿宋_GB2312" w:hAnsi="仿宋_GB2312" w:eastAsia="仿宋_GB2312" w:cs="仿宋_GB2312"/>
          <w:b w:val="0"/>
          <w:bCs w:val="0"/>
        </w:rPr>
      </w:pPr>
      <w:bookmarkStart w:id="127" w:name="_Toc15396627"/>
      <w:bookmarkStart w:id="128" w:name="_Toc147678553"/>
      <w:bookmarkStart w:id="129" w:name="_Toc147676485"/>
      <w:r>
        <w:rPr>
          <w:rFonts w:hint="eastAsia" w:ascii="仿宋_GB2312" w:hAnsi="仿宋_GB2312" w:eastAsia="仿宋_GB2312" w:cs="仿宋_GB2312"/>
          <w:b w:val="0"/>
        </w:rPr>
        <w:t>九、</w:t>
      </w:r>
      <w:r>
        <w:rPr>
          <w:rFonts w:hint="eastAsia" w:ascii="仿宋_GB2312" w:hAnsi="仿宋_GB2312" w:eastAsia="仿宋_GB2312" w:cs="仿宋_GB2312"/>
          <w:b w:val="0"/>
          <w:bCs w:val="0"/>
        </w:rPr>
        <w:t>一</w:t>
      </w:r>
      <w:r>
        <w:rPr>
          <w:rFonts w:hint="eastAsia" w:ascii="仿宋_GB2312" w:hAnsi="仿宋_GB2312" w:eastAsia="仿宋_GB2312" w:cs="仿宋_GB2312"/>
          <w:b w:val="0"/>
        </w:rPr>
        <w:t>般公共预算财政拨款项目支出决算表</w:t>
      </w:r>
      <w:bookmarkEnd w:id="127"/>
      <w:bookmarkEnd w:id="128"/>
      <w:bookmarkEnd w:id="129"/>
    </w:p>
    <w:p>
      <w:pPr>
        <w:pStyle w:val="4"/>
        <w:spacing w:line="415" w:lineRule="auto"/>
        <w:ind w:firstLine="640" w:firstLineChars="200"/>
        <w:rPr>
          <w:rFonts w:ascii="仿宋_GB2312" w:hAnsi="仿宋_GB2312" w:eastAsia="仿宋_GB2312" w:cs="仿宋_GB2312"/>
          <w:b w:val="0"/>
          <w:bCs w:val="0"/>
        </w:rPr>
      </w:pPr>
      <w:bookmarkStart w:id="130" w:name="_Toc15396628"/>
      <w:bookmarkStart w:id="131" w:name="_Toc147678554"/>
      <w:bookmarkStart w:id="132" w:name="_Toc147676486"/>
      <w:r>
        <w:rPr>
          <w:rFonts w:hint="eastAsia" w:ascii="仿宋_GB2312" w:hAnsi="仿宋_GB2312" w:eastAsia="仿宋_GB2312" w:cs="仿宋_GB2312"/>
          <w:b w:val="0"/>
        </w:rPr>
        <w:t>十、</w:t>
      </w:r>
      <w:bookmarkEnd w:id="130"/>
      <w:r>
        <w:rPr>
          <w:rFonts w:hint="eastAsia" w:ascii="仿宋_GB2312" w:hAnsi="仿宋_GB2312" w:eastAsia="仿宋_GB2312" w:cs="仿宋_GB2312"/>
          <w:b w:val="0"/>
          <w:bCs w:val="0"/>
        </w:rPr>
        <w:t>政</w:t>
      </w:r>
      <w:r>
        <w:rPr>
          <w:rFonts w:hint="eastAsia" w:ascii="仿宋_GB2312" w:hAnsi="仿宋_GB2312" w:eastAsia="仿宋_GB2312" w:cs="仿宋_GB2312"/>
          <w:b w:val="0"/>
        </w:rPr>
        <w:t>府性基金预算财政拨款收入支出决算表</w:t>
      </w:r>
      <w:bookmarkEnd w:id="131"/>
      <w:bookmarkEnd w:id="132"/>
    </w:p>
    <w:p>
      <w:pPr>
        <w:pStyle w:val="4"/>
        <w:spacing w:line="415" w:lineRule="auto"/>
        <w:ind w:firstLine="640" w:firstLineChars="200"/>
        <w:rPr>
          <w:rFonts w:ascii="仿宋_GB2312" w:hAnsi="仿宋_GB2312" w:eastAsia="仿宋_GB2312" w:cs="仿宋_GB2312"/>
          <w:b w:val="0"/>
          <w:bCs w:val="0"/>
        </w:rPr>
      </w:pPr>
      <w:bookmarkStart w:id="133" w:name="_Toc15396629"/>
      <w:bookmarkStart w:id="134" w:name="_Toc147676487"/>
      <w:bookmarkStart w:id="135" w:name="_Toc147678555"/>
      <w:r>
        <w:rPr>
          <w:rFonts w:hint="eastAsia" w:ascii="仿宋_GB2312" w:hAnsi="仿宋_GB2312" w:eastAsia="仿宋_GB2312" w:cs="仿宋_GB2312"/>
          <w:b w:val="0"/>
        </w:rPr>
        <w:t>十一、</w:t>
      </w:r>
      <w:bookmarkEnd w:id="133"/>
      <w:r>
        <w:rPr>
          <w:rFonts w:hint="eastAsia" w:ascii="仿宋_GB2312" w:hAnsi="仿宋_GB2312" w:eastAsia="仿宋_GB2312" w:cs="仿宋_GB2312"/>
          <w:b w:val="0"/>
          <w:bCs w:val="0"/>
        </w:rPr>
        <w:t>国</w:t>
      </w:r>
      <w:r>
        <w:rPr>
          <w:rFonts w:hint="eastAsia" w:ascii="仿宋_GB2312" w:hAnsi="仿宋_GB2312" w:eastAsia="仿宋_GB2312" w:cs="仿宋_GB2312"/>
          <w:b w:val="0"/>
        </w:rPr>
        <w:t>有资本经营预算财政拨款收入支出决算表</w:t>
      </w:r>
      <w:bookmarkEnd w:id="134"/>
      <w:bookmarkEnd w:id="135"/>
    </w:p>
    <w:p>
      <w:pPr>
        <w:pStyle w:val="4"/>
        <w:spacing w:line="415" w:lineRule="auto"/>
        <w:ind w:firstLine="640" w:firstLineChars="200"/>
        <w:rPr>
          <w:rFonts w:ascii="仿宋_GB2312" w:hAnsi="仿宋_GB2312" w:eastAsia="仿宋_GB2312" w:cs="仿宋_GB2312"/>
          <w:b w:val="0"/>
          <w:bCs w:val="0"/>
        </w:rPr>
      </w:pPr>
      <w:bookmarkStart w:id="136" w:name="_Toc15396630"/>
      <w:bookmarkStart w:id="137" w:name="_Toc147676488"/>
      <w:bookmarkStart w:id="138" w:name="_Toc147678556"/>
      <w:r>
        <w:rPr>
          <w:rFonts w:hint="eastAsia" w:ascii="仿宋_GB2312" w:hAnsi="仿宋_GB2312" w:eastAsia="仿宋_GB2312" w:cs="仿宋_GB2312"/>
          <w:b w:val="0"/>
        </w:rPr>
        <w:t>十二、</w:t>
      </w:r>
      <w:bookmarkEnd w:id="136"/>
      <w:r>
        <w:rPr>
          <w:rFonts w:hint="eastAsia" w:ascii="仿宋_GB2312" w:hAnsi="仿宋_GB2312" w:eastAsia="仿宋_GB2312" w:cs="仿宋_GB2312"/>
          <w:b w:val="0"/>
        </w:rPr>
        <w:t>国有资本经营预算财政拨款支出决算表</w:t>
      </w:r>
      <w:bookmarkEnd w:id="137"/>
      <w:bookmarkEnd w:id="138"/>
    </w:p>
    <w:p>
      <w:pPr>
        <w:pStyle w:val="4"/>
        <w:spacing w:line="415" w:lineRule="auto"/>
        <w:ind w:firstLine="640" w:firstLineChars="200"/>
        <w:rPr>
          <w:rFonts w:ascii="仿宋_GB2312" w:hAnsi="仿宋_GB2312" w:eastAsia="仿宋_GB2312" w:cs="仿宋_GB2312"/>
        </w:rPr>
      </w:pPr>
      <w:bookmarkStart w:id="139" w:name="_Toc15396631"/>
      <w:bookmarkStart w:id="140" w:name="_Toc147676489"/>
      <w:bookmarkStart w:id="141" w:name="_Toc147678557"/>
      <w:r>
        <w:rPr>
          <w:rFonts w:hint="eastAsia" w:ascii="仿宋_GB2312" w:hAnsi="仿宋_GB2312" w:eastAsia="仿宋_GB2312" w:cs="仿宋_GB2312"/>
          <w:b w:val="0"/>
        </w:rPr>
        <w:t>十三、</w:t>
      </w:r>
      <w:bookmarkEnd w:id="139"/>
      <w:r>
        <w:rPr>
          <w:rFonts w:hint="eastAsia" w:ascii="仿宋_GB2312" w:hAnsi="仿宋_GB2312" w:eastAsia="仿宋_GB2312" w:cs="仿宋_GB2312"/>
          <w:b w:val="0"/>
        </w:rPr>
        <w:t>财政拨款“三公”经费支出决算表</w:t>
      </w:r>
      <w:bookmarkEnd w:id="140"/>
      <w:bookmarkEnd w:id="141"/>
    </w:p>
    <w:sectPr>
      <w:footerReference r:id="rId11" w:type="first"/>
      <w:footerReference r:id="rId10" w:type="default"/>
      <w:pgSz w:w="11906" w:h="16838"/>
      <w:pgMar w:top="2098" w:right="1474" w:bottom="1984" w:left="1587" w:header="851" w:footer="1559"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Lucida Sans"/>
    <w:panose1 w:val="020F0502020204030204"/>
    <w:charset w:val="00"/>
    <w:family w:val="swiss"/>
    <w:pitch w:val="default"/>
    <w:sig w:usb0="00000000" w:usb1="00000000" w:usb2="00000001" w:usb3="00000000" w:csb0="0000019F" w:csb1="00000000"/>
  </w:font>
  <w:font w:name="Cambria">
    <w:altName w:val="Noto Sans Syriac Eastern"/>
    <w:panose1 w:val="02040503050406030204"/>
    <w:charset w:val="00"/>
    <w:family w:val="roman"/>
    <w:pitch w:val="default"/>
    <w:sig w:usb0="00000000" w:usb1="00000000" w:usb2="00000000" w:usb3="00000000" w:csb0="0000009F" w:csb1="00000000"/>
  </w:font>
  <w:font w:name="仿宋_GB2312">
    <w:panose1 w:val="02010609030101010101"/>
    <w:charset w:val="86"/>
    <w:family w:val="modern"/>
    <w:pitch w:val="default"/>
    <w:sig w:usb0="00000001" w:usb1="080E0000" w:usb2="00000000" w:usb3="00000000" w:csb0="00040000" w:csb1="00000000"/>
  </w:font>
  <w:font w:name="仿宋">
    <w:altName w:val="宋体"/>
    <w:panose1 w:val="00000000000000000000"/>
    <w:charset w:val="86"/>
    <w:family w:val="auto"/>
    <w:pitch w:val="default"/>
    <w:sig w:usb0="00000000" w:usb1="00000000" w:usb2="00000016" w:usb3="00000000" w:csb0="00040001" w:csb1="00000000"/>
  </w:font>
  <w:font w:name="方正仿宋简体">
    <w:panose1 w:val="03000509000000000000"/>
    <w:charset w:val="86"/>
    <w:family w:val="script"/>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楷体_GB2312">
    <w:panose1 w:val="02010609030101010101"/>
    <w:charset w:val="86"/>
    <w:family w:val="modern"/>
    <w:pitch w:val="default"/>
    <w:sig w:usb0="00000001" w:usb1="080E0000" w:usb2="00000000" w:usb3="00000000" w:csb0="00040000" w:csb1="00000000"/>
  </w:font>
  <w:font w:name="MS Mincho">
    <w:altName w:val="宋体"/>
    <w:panose1 w:val="02020609040205080304"/>
    <w:charset w:val="80"/>
    <w:family w:val="modern"/>
    <w:pitch w:val="default"/>
    <w:sig w:usb0="00000000" w:usb1="00000000" w:usb2="00000010" w:usb3="00000000" w:csb0="0002009F" w:csb1="00000000"/>
  </w:font>
  <w:font w:name="微软雅黑">
    <w:altName w:val="黑体"/>
    <w:panose1 w:val="020B0503020204020204"/>
    <w:charset w:val="86"/>
    <w:family w:val="swiss"/>
    <w:pitch w:val="default"/>
    <w:sig w:usb0="00000000" w:usb1="00000000" w:usb2="00000016" w:usb3="00000000" w:csb0="0004001F" w:csb1="00000000"/>
  </w:font>
  <w:font w:name="华文楷体">
    <w:altName w:val="方正楷体_GBK"/>
    <w:panose1 w:val="02010600040101010101"/>
    <w:charset w:val="86"/>
    <w:family w:val="auto"/>
    <w:pitch w:val="default"/>
    <w:sig w:usb0="00000000" w:usb1="00000000" w:usb2="00000010" w:usb3="00000000" w:csb0="0004009F" w:csb1="00000000"/>
  </w:font>
  <w:font w:name="Lucida Sans">
    <w:panose1 w:val="020B0602030504020204"/>
    <w:charset w:val="00"/>
    <w:family w:val="auto"/>
    <w:pitch w:val="default"/>
    <w:sig w:usb0="00000000" w:usb1="00000000" w:usb2="00000000" w:usb3="00000000" w:csb0="00000000" w:csb1="00000000"/>
  </w:font>
  <w:font w:name="Comic Sans MS">
    <w:panose1 w:val="030F0702030302020204"/>
    <w:charset w:val="00"/>
    <w:family w:val="auto"/>
    <w:pitch w:val="default"/>
    <w:sig w:usb0="00000287" w:usb1="00000000" w:usb2="00000000" w:usb3="00000000" w:csb0="2000009F" w:csb1="00000000"/>
  </w:font>
  <w:font w:name="Noto Sans Syriac Eastern">
    <w:panose1 w:val="02040503050306020203"/>
    <w:charset w:val="86"/>
    <w:family w:val="auto"/>
    <w:pitch w:val="default"/>
    <w:sig w:usb0="00000000" w:usb1="00000000" w:usb2="00000080" w:usb3="00000000" w:csb0="203E0161" w:csb1="D7FF0000"/>
  </w:font>
  <w:font w:name="方正宋体S-超大字符集">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8"/>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9525">
                        <a:noFill/>
                      </a:ln>
                      <a:effectLst/>
                    </wps:spPr>
                    <wps:txbx>
                      <w:txbxContent>
                        <w:p>
                          <w:pPr>
                            <w:pStyle w:val="9"/>
                          </w:pPr>
                          <w:r>
                            <w:fldChar w:fldCharType="begin"/>
                          </w:r>
                          <w:r>
                            <w:instrText xml:space="preserve"> PAGE  \* MERGEFORMAT </w:instrText>
                          </w:r>
                          <w:r>
                            <w:fldChar w:fldCharType="separate"/>
                          </w:r>
                          <w:r>
                            <w:t>1</w:t>
                          </w:r>
                          <w:r>
                            <w:fldChar w:fldCharType="end"/>
                          </w:r>
                        </w:p>
                      </w:txbxContent>
                    </wps:txbx>
                    <wps:bodyPr vert="horz" wrap="none" lIns="0" tIns="0" rIns="0" bIns="0" anchor="t" anchorCtr="false" upright="false">
                      <a:spAutoFit/>
                    </wps:bodyPr>
                  </wps:wsp>
                </a:graphicData>
              </a:graphic>
            </wp:anchor>
          </w:drawing>
        </mc:Choice>
        <mc:Fallback>
          <w:pict>
            <v:shape id="文本框 8" o:spid="_x0000_s1026" o:spt="202" type="#_x0000_t202" style="position:absolute;left:0pt;margin-top:0pt;height:144pt;width:144pt;mso-position-horizontal:center;mso-position-horizontal-relative:margin;mso-wrap-style:none;z-index:251671552;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OoBmNHYAQAAkwMAAA4AAABkcnMv&#10;ZTJvRG9jLnhtbK1TzY7TMBC+I/EOlu80adGiENVdAatFSAiQFh7AdezGkv80dpuUB4A34MSFO8/V&#10;52DsNF20e0NcnBnP+Jv5vpmsr0dryEFC1N4xulzUlEgnfKfdjtEvn2+fNZTExF3HjXeS0aOM9Hrz&#10;9Ml6CK1c+d6bTgJBEBfbITDapxTaqoqil5bHhQ/SYVB5sDyhC7uqAz4gujXVqq5fVIOHLoAXMka8&#10;vZmCdFPwlZIifVQqykQMo9hbKieUc5vParPm7Q546LU4t8H/oQvLtcOiF6gbnjjZg34EZbUAH71K&#10;C+Ft5ZXSQhYOyGZZP2Bz1/MgCxcUJ4aLTPH/wYoPh09AdIeze06J4xZndPrx/fTz9+nXN9JkfYYQ&#10;W0y7C5iYxtd+ZDTBXs6hiPeZ+ajA5i9yIpiCYh8vAssxEYGXy2bVNDWGBMZmB0tU988DxPRWekuy&#10;wSjgBIuw/PA+pil1TsnVnL/VxpQpGkcGRl9era7Kg0sEwY3LubLswxkms5paz1Yat+OZ6tZ3R2SK&#10;O43lew9fKRlwPxh1uMCUmHcO5c+rNBswG9vZ4E7gQ5SJksl8k9BT3EQE2AfQux6xJz83FsOrfUIi&#10;hV9uZ+oBdckOTr4odN7SvFp/+yXr/l/a/A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WAAAAZHJzL1BLAQIUABQAAAAIAIdO4kDOqXm5zwAA&#10;AAUBAAAPAAAAAAAAAAEAIAAAADgAAABkcnMvZG93bnJldi54bWxQSwECFAAUAAAACACHTuJA6gGY&#10;0dgBAACTAwAADgAAAAAAAAABACAAAAA0AQAAZHJzL2Uyb0RvYy54bWxQSwUGAAAAAAYABgBZAQAA&#10;fgUAAAAA&#10;">
              <v:fill on="f" focussize="0,0"/>
              <v:stroke on="f"/>
              <v:imagedata o:title=""/>
              <o:lock v:ext="edit" aspectratio="f"/>
              <v:textbox inset="0mm,0mm,0mm,0mm" style="mso-fit-shape-to-text:t;">
                <w:txbxContent>
                  <w:p>
                    <w:pPr>
                      <w:pStyle w:val="9"/>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4"/>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a:effectLst/>
                    </wps:spPr>
                    <wps:txbx>
                      <w:txbxContent>
                        <w:p>
                          <w:pPr>
                            <w:pStyle w:val="9"/>
                          </w:pPr>
                          <w:r>
                            <w:fldChar w:fldCharType="begin"/>
                          </w:r>
                          <w:r>
                            <w:instrText xml:space="preserve"> PAGE  \* MERGEFORMAT </w:instrText>
                          </w:r>
                          <w:r>
                            <w:fldChar w:fldCharType="separate"/>
                          </w:r>
                          <w:r>
                            <w:t>1</w:t>
                          </w:r>
                          <w:r>
                            <w:fldChar w:fldCharType="end"/>
                          </w:r>
                        </w:p>
                      </w:txbxContent>
                    </wps:txbx>
                    <wps:bodyPr vert="horz" wrap="none" lIns="0" tIns="0" rIns="0" bIns="0" anchor="t" anchorCtr="false" upright="true">
                      <a:spAutoFit/>
                    </wps:bodyPr>
                  </wps:wsp>
                </a:graphicData>
              </a:graphic>
            </wp:anchor>
          </w:drawing>
        </mc:Choice>
        <mc:Fallback>
          <w:pict>
            <v:shape id="文本框 4"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KCmLfXPAQAAiAMAAA4AAABkcnMv&#10;ZTJvRG9jLnhtbK1TTW4TMRTeI/UOlvfNTAJC0ShOBVRFSAiQCgdwPHbGkv/07GQmHABuwIoNe86V&#10;c/TZk0mh3VXdeN6fv/e+z29WV4M1ZC8hau8Ync9qSqQTvtVuy+i3rzeXS0pi4q7lxjvJ6EFGerW+&#10;eLHqQyMXvvOmlUAQxMWmD4x2KYWmqqLopOVx5oN0mFQeLE/owrZqgfeIbk21qOvXVe+hDeCFjBGj&#10;12OSrgu+UlKkz0pFmYhhFGdL5YRybvJZrVe82QIPnRanMfgTprBcO2x6hrrmiZMd6EdQVgvw0as0&#10;E95WXiktZOGAbOb1Aza3HQ+ycEFxYjjLFJ8PVnzafwGiW0ZfUuK4xSc6/vp5/P33+OcHeZXl6UNs&#10;sOo2YF0a3vqB0QQ7OaUixjPxQYHNX6REsAS1Ppz1lUMiAoPz5WK5rDElMDc52KK6vx4gpvfSW5IN&#10;RgEfsOjK9x9jGkunktzN+RttTHlE4/4LIOYYkWULTrczmXHibKVhM5wYbnx7QIK4ydi18/Cdkh63&#10;glGHa0uJ+eBQ9LxAkwGTsZkM7gReRHUoGc13CT3FTUSAXQC97RC7aJcnjeHNLuH4hVWeZhwB1cgO&#10;PnfR5bSaeZ/+9UvV/Q+0vgN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WAAAAZHJzL1BLAQIUABQAAAAIAIdO4kDOqXm5zwAAAAUBAAAPAAAA&#10;AAAAAAEAIAAAADgAAABkcnMvZG93bnJldi54bWxQSwECFAAUAAAACACHTuJAoKYt9c8BAACIAwAA&#10;DgAAAAAAAAABACAAAAA0AQAAZHJzL2Uyb0RvYy54bWxQSwUGAAAAAAYABgBZAQAAdQUAAAAA&#10;">
              <v:fill on="f" focussize="0,0"/>
              <v:stroke on="f"/>
              <v:imagedata o:title=""/>
              <o:lock v:ext="edit" aspectratio="f"/>
              <v:textbox inset="0mm,0mm,0mm,0mm" style="mso-fit-shape-to-text:t;">
                <w:txbxContent>
                  <w:p>
                    <w:pPr>
                      <w:pStyle w:val="9"/>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5"/>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a:effectLst/>
                    </wps:spPr>
                    <wps:txbx>
                      <w:txbxContent>
                        <w:p>
                          <w:pPr>
                            <w:pStyle w:val="9"/>
                          </w:pPr>
                          <w:r>
                            <w:fldChar w:fldCharType="begin"/>
                          </w:r>
                          <w:r>
                            <w:instrText xml:space="preserve"> PAGE  \* MERGEFORMAT </w:instrText>
                          </w:r>
                          <w:r>
                            <w:fldChar w:fldCharType="separate"/>
                          </w:r>
                          <w:r>
                            <w:t>5</w:t>
                          </w:r>
                          <w:r>
                            <w:fldChar w:fldCharType="end"/>
                          </w:r>
                        </w:p>
                      </w:txbxContent>
                    </wps:txbx>
                    <wps:bodyPr vert="horz" wrap="none" lIns="0" tIns="0" rIns="0" bIns="0" anchor="t" anchorCtr="false" upright="true">
                      <a:spAutoFit/>
                    </wps:bodyPr>
                  </wps:wsp>
                </a:graphicData>
              </a:graphic>
            </wp:anchor>
          </w:drawing>
        </mc:Choice>
        <mc:Fallback>
          <w:pict>
            <v:shape id="文本框 5"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MIPM67PAQAAiAMAAA4AAABkcnMv&#10;ZTJvRG9jLnhtbK1TTW4TMRTeI/UOlvfNTCJA0ShOBVRFSAiQCgdwPHbGkv/07GQmHABuwIoNe86V&#10;c/TZk0mh3VXdeN6fv/e+z29WV4M1ZC8hau8Ync9qSqQTvtVuy+i3rzeXS0pi4q7lxjvJ6EFGerW+&#10;eLHqQyMXvvOmlUAQxMWmD4x2KYWmqqLopOVx5oN0mFQeLE/owrZqgfeIbk21qOvXVe+hDeCFjBGj&#10;12OSrgu+UlKkz0pFmYhhFGdL5YRybvJZrVe82QIPnRanMfgTprBcO2x6hrrmiZMd6EdQVgvw0as0&#10;E95WXiktZOGAbOb1Aza3HQ+ycEFxYjjLFJ8PVnzafwGiW0ZfUuK4xSc6/vp5/P33+OcHeZXl6UNs&#10;sOo2YF0a3vqB0QQ7OaUixjPxQYHNX6REsAS1Ppz1lUMiAoPz5WK5rDElMDc52KK6vx4gpvfSW5IN&#10;RgEfsOjK9x9jGkunktzN+RttTHlE4/4LIOYYkWULTrczmXHibKVhM5wYbnx7QIK4ydi18/Cdkh63&#10;glGHa0uJ+eBQ9LxAkwGTsZkM7gReRHUoGc13CT3FTUSAXQC97RC7aJcnjeHNLuH4hVWeZhwB1cgO&#10;PnfR5bSaeZ/+9UvV/Q+0vgN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WAAAAZHJzL1BLAQIUABQAAAAIAIdO4kDOqXm5zwAAAAUBAAAPAAAA&#10;AAAAAAEAIAAAADgAAABkcnMvZG93bnJldi54bWxQSwECFAAUAAAACACHTuJAwg8zrs8BAACIAwAA&#10;DgAAAAAAAAABACAAAAA0AQAAZHJzL2Uyb0RvYy54bWxQSwUGAAAAAAYABgBZAQAAdQUAAAAA&#10;">
              <v:fill on="f" focussize="0,0"/>
              <v:stroke on="f"/>
              <v:imagedata o:title=""/>
              <o:lock v:ext="edit" aspectratio="f"/>
              <v:textbox inset="0mm,0mm,0mm,0mm" style="mso-fit-shape-to-text:t;">
                <w:txbxContent>
                  <w:p>
                    <w:pPr>
                      <w:pStyle w:val="9"/>
                    </w:pPr>
                    <w:r>
                      <w:fldChar w:fldCharType="begin"/>
                    </w:r>
                    <w:r>
                      <w:instrText xml:space="preserve"> PAGE  \* MERGEFORMAT </w:instrText>
                    </w:r>
                    <w:r>
                      <w:fldChar w:fldCharType="separate"/>
                    </w:r>
                    <w:r>
                      <w:t>5</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6"/>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a:effectLst/>
                    </wps:spPr>
                    <wps:txbx>
                      <w:txbxContent>
                        <w:p>
                          <w:pPr>
                            <w:pStyle w:val="9"/>
                          </w:pPr>
                          <w:r>
                            <w:fldChar w:fldCharType="begin"/>
                          </w:r>
                          <w:r>
                            <w:instrText xml:space="preserve"> PAGE  \* MERGEFORMAT </w:instrText>
                          </w:r>
                          <w:r>
                            <w:fldChar w:fldCharType="separate"/>
                          </w:r>
                          <w:r>
                            <w:t>4</w:t>
                          </w:r>
                          <w:r>
                            <w:fldChar w:fldCharType="end"/>
                          </w:r>
                        </w:p>
                      </w:txbxContent>
                    </wps:txbx>
                    <wps:bodyPr vert="horz" wrap="none" lIns="0" tIns="0" rIns="0" bIns="0" anchor="t" anchorCtr="false" upright="true">
                      <a:spAutoFit/>
                    </wps:bodyPr>
                  </wps:wsp>
                </a:graphicData>
              </a:graphic>
            </wp:anchor>
          </w:drawing>
        </mc:Choice>
        <mc:Fallback>
          <w:pict>
            <v:shape id="文本框 16"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N3LkJLPAQAAigMAAA4AAABkcnMv&#10;ZTJvRG9jLnhtbK1TTa7TMBDeI3EHy3uatIunKmr6BDw9hIQA6cEBXMduLNkea+w2KQeAG7Biw55z&#10;9RyMnaaPnx1i48yfP8/3zWRzOzrLjgqjAd/y5aLmTHkJnfH7ln/8cP9szVlMwnfCglctP6nIb7dP&#10;n2yG0KgV9GA7hYxAfGyG0PI+pdBUVZS9ciIuIChPSQ3oRCIX91WHYiB0Z6tVXd9UA2AXEKSKkaJ3&#10;U5JvC77WSqZ3WkeVmG059ZbKieXc5bPabkSzRxF6Iy9tiH/owgnj6dEr1J1Igh3Q/AXljESIoNNC&#10;gqtAayNV4UBslvUfbB56EVThQuLEcJUp/j9Y+fb4HpnpaHYrzrxwNKPz1y/nbz/O3z+z5U0WaAix&#10;obqHQJVpfAFjyxMe1JyKFM/UR40uf4kUoxJS+3RVWI2JSQou16v1uqaUpNzs0BPV4/WAMb1S4Fg2&#10;Wo40wqKsOL6JaSqdS/JrHu6NtWWM1v8WIMwposoeXG5nMlPH2Urjbrww3EF3IoK0y/RqD/iJs4H2&#10;ouWeFpcz+9qT7HmFZgNnYzcbwku6SOpwNpkvE3la2EgAh4Bm3xN20S53GsPzQ6L2C6vczdQCqZEd&#10;GnjR5bKceaN+9UvV4y+0/Ql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WAAAAZHJzL1BLAQIUABQAAAAIAIdO4kDOqXm5zwAAAAUBAAAPAAAA&#10;AAAAAAEAIAAAADgAAABkcnMvZG93bnJldi54bWxQSwECFAAUAAAACACHTuJA3cuQks8BAACKAwAA&#10;DgAAAAAAAAABACAAAAA0AQAAZHJzL2Uyb0RvYy54bWxQSwUGAAAAAAYABgBZAQAAdQUAAAAA&#10;">
              <v:fill on="f" focussize="0,0"/>
              <v:stroke on="f"/>
              <v:imagedata o:title=""/>
              <o:lock v:ext="edit" aspectratio="f"/>
              <v:textbox inset="0mm,0mm,0mm,0mm" style="mso-fit-shape-to-text:t;">
                <w:txbxContent>
                  <w:p>
                    <w:pPr>
                      <w:pStyle w:val="9"/>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15"/>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a:effectLst/>
                    </wps:spPr>
                    <wps:txbx>
                      <w:txbxContent>
                        <w:p>
                          <w:pPr>
                            <w:pStyle w:val="9"/>
                          </w:pPr>
                          <w:r>
                            <w:fldChar w:fldCharType="begin"/>
                          </w:r>
                          <w:r>
                            <w:instrText xml:space="preserve"> PAGE  \* MERGEFORMAT </w:instrText>
                          </w:r>
                          <w:r>
                            <w:fldChar w:fldCharType="separate"/>
                          </w:r>
                          <w:r>
                            <w:t>17</w:t>
                          </w:r>
                          <w:r>
                            <w:fldChar w:fldCharType="end"/>
                          </w:r>
                        </w:p>
                      </w:txbxContent>
                    </wps:txbx>
                    <wps:bodyPr vert="horz" wrap="none" lIns="0" tIns="0" rIns="0" bIns="0" anchor="t" anchorCtr="false" upright="true">
                      <a:spAutoFit/>
                    </wps:bodyPr>
                  </wps:wsp>
                </a:graphicData>
              </a:graphic>
            </wp:anchor>
          </w:drawing>
        </mc:Choice>
        <mc:Fallback>
          <w:pict>
            <v:shape id="文本框 15"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BeMTvPQAQAAiQMAAA4AAABkcnMv&#10;ZTJvRG9jLnhtbK1TTW4TMRTeI/UOlvfNTCKBwihOBVRFSAiQCgdwPHbGkv/07GQmHABuwIoNe86V&#10;c/TZk0mh3VXdeN6fv/e+z29WV4M1ZC8hau8Ync9qSqQTvtVuy+i3rzeXS0pi4q7lxjvJ6EFGerW+&#10;eLHqQyMXvvOmlUAQxMWmD4x2KYWmqqLopOVx5oN0mFQeLE/owrZqgfeIbk21qOtXVe+hDeCFjBGj&#10;12OSrgu+UlKkz0pFmYhhFGdL5YRybvJZrVe82QIPnRanMfgTprBcO2x6hrrmiZMd6EdQVgvw0as0&#10;E95WXiktZOGAbOb1Aza3HQ+ycEFxYjjLFJ8PVnzafwGiW0ZfU+K4xSc6/vp5/P33+OcHmb/M+vQh&#10;Nlh2G7AwDW/9wGiCnZxSEeOZ+aDA5i9yIliCYh/OAsshEYHB+XKxXNaYEpibHGxR3V8PENN76S3J&#10;BqOAL1iE5fuPMY2lU0nu5vyNNqa8onH/BRBzjMiyBqfbmcw4cbbSsBlODDe+PSBBXGXs2nn4TkmP&#10;a8Gow72lxHxwqHreoMmAydhMBncCL6I6lIzmu4Se4iYiwC6A3naIXbTLk8bwZpdw/MIqTzOOgGpk&#10;B9+76HLazbxQ//ql6v4PWt8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FgAAAGRycy9QSwECFAAUAAAACACHTuJAzql5uc8AAAAFAQAADwAA&#10;AAAAAAABACAAAAA4AAAAZHJzL2Rvd25yZXYueG1sUEsBAhQAFAAAAAgAh07iQBeMTvPQAQAAiQMA&#10;AA4AAAAAAAAAAQAgAAAANAEAAGRycy9lMm9Eb2MueG1sUEsFBgAAAAAGAAYAWQEAAHYFAAAAAA==&#10;">
              <v:fill on="f" focussize="0,0"/>
              <v:stroke on="f"/>
              <v:imagedata o:title=""/>
              <o:lock v:ext="edit" aspectratio="f"/>
              <v:textbox inset="0mm,0mm,0mm,0mm" style="mso-fit-shape-to-text:t;">
                <w:txbxContent>
                  <w:p>
                    <w:pPr>
                      <w:pStyle w:val="9"/>
                    </w:pPr>
                    <w:r>
                      <w:fldChar w:fldCharType="begin"/>
                    </w:r>
                    <w:r>
                      <w:instrText xml:space="preserve"> PAGE  \* MERGEFORMAT </w:instrText>
                    </w:r>
                    <w:r>
                      <w:fldChar w:fldCharType="separate"/>
                    </w:r>
                    <w:r>
                      <w:t>17</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mc:AlternateContent>
        <mc:Choice Requires="wps">
          <w:drawing>
            <wp:anchor distT="0" distB="0" distL="114300" distR="114300" simplePos="0" relativeHeight="251672576"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9"/>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9525">
                        <a:noFill/>
                      </a:ln>
                      <a:effectLst/>
                    </wps:spPr>
                    <wps:txbx>
                      <w:txbxContent>
                        <w:p>
                          <w:pPr>
                            <w:pStyle w:val="9"/>
                          </w:pPr>
                          <w:r>
                            <w:fldChar w:fldCharType="begin"/>
                          </w:r>
                          <w:r>
                            <w:instrText xml:space="preserve"> PAGE  \* MERGEFORMAT </w:instrText>
                          </w:r>
                          <w:r>
                            <w:fldChar w:fldCharType="separate"/>
                          </w:r>
                          <w:r>
                            <w:t>16</w:t>
                          </w:r>
                          <w:r>
                            <w:fldChar w:fldCharType="end"/>
                          </w:r>
                        </w:p>
                      </w:txbxContent>
                    </wps:txbx>
                    <wps:bodyPr vert="horz" wrap="none" lIns="0" tIns="0" rIns="0" bIns="0" anchor="t" anchorCtr="false" upright="false">
                      <a:spAutoFit/>
                    </wps:bodyPr>
                  </wps:wsp>
                </a:graphicData>
              </a:graphic>
            </wp:anchor>
          </w:drawing>
        </mc:Choice>
        <mc:Fallback>
          <w:pict>
            <v:shape id="文本框 9" o:spid="_x0000_s1026" o:spt="202" type="#_x0000_t202" style="position:absolute;left:0pt;margin-top:0pt;height:144pt;width:144pt;mso-position-horizontal:center;mso-position-horizontal-relative:margin;mso-wrap-style:none;z-index:251672576;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ER/bgTZAQAAkwMAAA4AAABkcnMv&#10;ZTJvRG9jLnhtbK1TzW4TMRC+I/UdLN+b3UQtSldxKqBqhYQAqfAAjtfOWvKfxk52wwPAG3Diwp3n&#10;ynN07M2mCG6Ii3fGM/5mvm9mV7eDNWQvIWrvGJ3PakqkE77Vbsvo50/3l0tKYuKu5cY7yehBRnq7&#10;vnix6kMjF77zppVAEMTFpg+MdimFpqqi6KTlceaDdBhUHixP6MK2aoH3iG5Ntajrl1XvoQ3ghYwR&#10;b+/GIF0XfKWkSB+UijIRwyj2lsoJ5dzks1qveLMFHjotTm3wf+jCcu2w6BnqjidOdqD/grJagI9e&#10;pZnwtvJKaSELB2Qzr/9g89jxIAsXFCeGs0zx/8GK9/uPQHSLs7uixHGLMzp+/3b88ev48yu5yfr0&#10;ITaY9hgwMQ2v/cBogp2cQhHvM/NBgc1f5EQwBcU+nAWWQyICL+fLxXJZY0hgbHKwRPX8PEBMD9Jb&#10;kg1GASdYhOX7dzGNqVNKrub8vTamTNE40jN6c724Lg/OEQQ3LufKsg8nmMxqbD1badgMJ6ob3x6Q&#10;Ke40lu88fKGkx/1g1OECU2LeOpQ/r9JkwGRsJoM7gQ9RJkpG801CT3ETEWAXQG87xB793FgMr3YJ&#10;iRR+uZ2xB9QlOzj5otBpS/Nq/e6XrOd/af0E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FgAAAGRycy9QSwECFAAUAAAACACHTuJAzql5uc8A&#10;AAAFAQAADwAAAAAAAAABACAAAAA4AAAAZHJzL2Rvd25yZXYueG1sUEsBAhQAFAAAAAgAh07iQER/&#10;bgTZAQAAkwMAAA4AAAAAAAAAAQAgAAAANAEAAGRycy9lMm9Eb2MueG1sUEsFBgAAAAAGAAYAWQEA&#10;AH8FAAAAAA==&#10;">
              <v:fill on="f" focussize="0,0"/>
              <v:stroke on="f"/>
              <v:imagedata o:title=""/>
              <o:lock v:ext="edit" aspectratio="f"/>
              <v:textbox inset="0mm,0mm,0mm,0mm" style="mso-fit-shape-to-text:t;">
                <w:txbxContent>
                  <w:p>
                    <w:pPr>
                      <w:pStyle w:val="9"/>
                    </w:pPr>
                    <w:r>
                      <w:fldChar w:fldCharType="begin"/>
                    </w:r>
                    <w:r>
                      <w:instrText xml:space="preserve"> PAGE  \* MERGEFORMAT </w:instrText>
                    </w:r>
                    <w:r>
                      <w:fldChar w:fldCharType="separate"/>
                    </w:r>
                    <w:r>
                      <w:t>16</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12"/>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a:effectLst/>
                    </wps:spPr>
                    <wps:txbx>
                      <w:txbxContent>
                        <w:p>
                          <w:pPr>
                            <w:pStyle w:val="9"/>
                          </w:pPr>
                          <w:r>
                            <w:fldChar w:fldCharType="begin"/>
                          </w:r>
                          <w:r>
                            <w:instrText xml:space="preserve"> PAGE  \* MERGEFORMAT </w:instrText>
                          </w:r>
                          <w:r>
                            <w:fldChar w:fldCharType="separate"/>
                          </w:r>
                          <w:r>
                            <w:t>53</w:t>
                          </w:r>
                          <w:r>
                            <w:fldChar w:fldCharType="end"/>
                          </w:r>
                        </w:p>
                      </w:txbxContent>
                    </wps:txbx>
                    <wps:bodyPr vert="horz" wrap="none" lIns="0" tIns="0" rIns="0" bIns="0" anchor="t" anchorCtr="false" upright="true">
                      <a:spAutoFit/>
                    </wps:bodyPr>
                  </wps:wsp>
                </a:graphicData>
              </a:graphic>
            </wp:anchor>
          </w:drawing>
        </mc:Choice>
        <mc:Fallback>
          <w:pict>
            <v:shape id="文本框 12"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HPdpCLOAQAAiQMAAA4AAABkcnMv&#10;ZTJvRG9jLnhtbK1TTa7TMBDeI3EHy3uatIunKmr6BDw9hIQA6cEBXMduLNkea+w2KQeAG7Biw55z&#10;9RyMnaaPnx1i48yfv5nv82RzOzrLjgqjAd/y5aLmTHkJnfH7ln/8cP9szVlMwnfCglctP6nIb7dP&#10;n2yG0KgV9GA7hYxAfGyG0PI+pdBUVZS9ciIuIChPSQ3oRCIX91WHYiB0Z6tVXd9UA2AXEKSKkaJ3&#10;U5JvC77WSqZ3WkeVmG05zZbKieXc5bPabkSzRxF6Iy9jiH+YwgnjqekV6k4kwQ5o/oJyRiJE0Gkh&#10;wVWgtZGqcCA2y/oPNg+9CKpwIXFiuMoU/x+sfHt8j8x0Lb/hzAtHT3T++uX87cf5+2e2XGV9hhAb&#10;KnsIVJjGFzC2POFBzalI8cx81OjylzgxKiGxT1eB1ZiYpOByvVqva0pJys0OtagerweM6ZUCx7LR&#10;cqQXLMKK45uYptK5JHfzcG+sLa9o/W8BwpwiqqzB5XYmM02crTTuxgvDHXQnIkirTF17wE+cDbQW&#10;Lfe0t5zZ155Uzxs0Gzgbu9kQXtJFUoezyXyZyNPCRgI4BDT7nrCLdnnSGJ4fEo1fWOVpphFIjezQ&#10;exddLruZF+pXv1Q9/kHbn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BYAAABkcnMvUEsBAhQAFAAAAAgAh07iQM6pebnPAAAABQEAAA8AAAAA&#10;AAAAAQAgAAAAOAAAAGRycy9kb3ducmV2LnhtbFBLAQIUABQAAAAIAIdO4kBz3aQizgEAAIkDAAAO&#10;AAAAAAAAAAEAIAAAADQBAABkcnMvZTJvRG9jLnhtbFBLBQYAAAAABgAGAFkBAAB0BQAAAAA=&#10;">
              <v:fill on="f" focussize="0,0"/>
              <v:stroke on="f"/>
              <v:imagedata o:title=""/>
              <o:lock v:ext="edit" aspectratio="f"/>
              <v:textbox inset="0mm,0mm,0mm,0mm" style="mso-fit-shape-to-text:t;">
                <w:txbxContent>
                  <w:p>
                    <w:pPr>
                      <w:pStyle w:val="9"/>
                    </w:pPr>
                    <w:r>
                      <w:fldChar w:fldCharType="begin"/>
                    </w:r>
                    <w:r>
                      <w:instrText xml:space="preserve"> PAGE  \* MERGEFORMAT </w:instrText>
                    </w:r>
                    <w:r>
                      <w:fldChar w:fldCharType="separate"/>
                    </w:r>
                    <w:r>
                      <w:t>53</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13"/>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9525">
                        <a:noFill/>
                      </a:ln>
                      <a:effectLst/>
                    </wps:spPr>
                    <wps:txbx>
                      <w:txbxContent>
                        <w:p>
                          <w:pPr>
                            <w:pStyle w:val="9"/>
                          </w:pPr>
                          <w:r>
                            <w:fldChar w:fldCharType="begin"/>
                          </w:r>
                          <w:r>
                            <w:instrText xml:space="preserve"> PAGE  \* MERGEFORMAT </w:instrText>
                          </w:r>
                          <w:r>
                            <w:fldChar w:fldCharType="separate"/>
                          </w:r>
                          <w:r>
                            <w:t>53</w:t>
                          </w:r>
                          <w:r>
                            <w:fldChar w:fldCharType="end"/>
                          </w:r>
                        </w:p>
                      </w:txbxContent>
                    </wps:txbx>
                    <wps:bodyPr vert="horz" wrap="none" lIns="0" tIns="0" rIns="0" bIns="0" anchor="t" anchorCtr="false" upright="false">
                      <a:spAutoFit/>
                    </wps:bodyPr>
                  </wps:wsp>
                </a:graphicData>
              </a:graphic>
            </wp:anchor>
          </w:drawing>
        </mc:Choice>
        <mc:Fallback>
          <w:pict>
            <v:shape id="文本框 13"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NqG37jZAQAAkwMAAA4AAABkcnMv&#10;ZTJvRG9jLnhtbK1TzW4TMRC+I/EOlu9kN6mKwipOBa2KkBAglT6A47WzlvynsZPd8ADwBpy4cOe5&#10;8hyMvdm0am+Ii3fGM/5mvm9mV1eDNWQvIWrvGJ3PakqkE77Vbsvo/dfbV0tKYuKu5cY7yehBRnq1&#10;fvli1YdGLnznTSuBIIiLTR8Y7VIKTVVF0UnL48wH6TCoPFie0IVt1QLvEd2aalHXr6veQxvACxkj&#10;3t6MQbou+EpJkT4rFWUihlHsLZUTyrnJZ7Ve8WYLPHRanNrg/9CF5dph0TPUDU+c7EA/g7JagI9e&#10;pZnwtvJKaSELB2Qzr5+wuet4kIULihPDWab4/2DFp/0XILplFAfluMURHX/+OP76c/z9ncwvsj59&#10;iA2m3QVMTMM7PzCaYCenUMT7zHxQYPMXORFMQbEPZ4HlkIjAy/lysVzWGBIYmxwsUT08DxDTe+kt&#10;yQajgBMswvL9x5jG1CklV3P+VhtTpmgc6Rl9c7m4LA/OEQQ3LufKsg8nmMxqbD1badgMJ6ob3x6Q&#10;Ke40lu88fKOkx/1g1OECU2I+OJQ/r9JkwGRsJoM7gQ9RJkpG8zqhp7iJCLALoLcdYo9+biyGt7uE&#10;RAq/3M7YA+qSHZx8Uei0pXm1Hvsl6+FfWv8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FgAAAGRycy9QSwECFAAUAAAACACHTuJAzql5uc8A&#10;AAAFAQAADwAAAAAAAAABACAAAAA4AAAAZHJzL2Rvd25yZXYueG1sUEsBAhQAFAAAAAgAh07iQNqG&#10;37jZAQAAkwMAAA4AAAAAAAAAAQAgAAAANAEAAGRycy9lMm9Eb2MueG1sUEsFBgAAAAAGAAYAWQEA&#10;AH8FAAAAAA==&#10;">
              <v:fill on="f" focussize="0,0"/>
              <v:stroke on="f"/>
              <v:imagedata o:title=""/>
              <o:lock v:ext="edit" aspectratio="f"/>
              <v:textbox inset="0mm,0mm,0mm,0mm" style="mso-fit-shape-to-text:t;">
                <w:txbxContent>
                  <w:p>
                    <w:pPr>
                      <w:pStyle w:val="9"/>
                    </w:pPr>
                    <w:r>
                      <w:fldChar w:fldCharType="begin"/>
                    </w:r>
                    <w:r>
                      <w:instrText xml:space="preserve"> PAGE  \* MERGEFORMAT </w:instrText>
                    </w:r>
                    <w:r>
                      <w:fldChar w:fldCharType="separate"/>
                    </w:r>
                    <w:r>
                      <w:t>53</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9D30C69"/>
    <w:multiLevelType w:val="multilevel"/>
    <w:tmpl w:val="39D30C69"/>
    <w:lvl w:ilvl="0" w:tentative="0">
      <w:start w:val="2"/>
      <w:numFmt w:val="japaneseCounting"/>
      <w:lvlText w:val="%1、"/>
      <w:lvlJc w:val="left"/>
      <w:pPr>
        <w:ind w:left="1360" w:hanging="72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true"/>
  <w:bordersDoNotSurroundFooter w:val="true"/>
  <w:documentProtection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c2ZGZiNzZiNDVlOGViOWVmM2JhOTY0NGJkNjUyYzgifQ=="/>
  </w:docVars>
  <w:rsids>
    <w:rsidRoot w:val="00F1361C"/>
    <w:rsid w:val="00007F3B"/>
    <w:rsid w:val="00014FF2"/>
    <w:rsid w:val="00017764"/>
    <w:rsid w:val="000222C6"/>
    <w:rsid w:val="0002549F"/>
    <w:rsid w:val="000273AA"/>
    <w:rsid w:val="000468DB"/>
    <w:rsid w:val="000525F8"/>
    <w:rsid w:val="0006487A"/>
    <w:rsid w:val="00065F8F"/>
    <w:rsid w:val="00067CE6"/>
    <w:rsid w:val="00070A43"/>
    <w:rsid w:val="000768F2"/>
    <w:rsid w:val="0009184B"/>
    <w:rsid w:val="000923EB"/>
    <w:rsid w:val="00094236"/>
    <w:rsid w:val="0009593C"/>
    <w:rsid w:val="00097322"/>
    <w:rsid w:val="000A6A92"/>
    <w:rsid w:val="000B047F"/>
    <w:rsid w:val="000B5923"/>
    <w:rsid w:val="000B5A48"/>
    <w:rsid w:val="000B6FF3"/>
    <w:rsid w:val="000C3467"/>
    <w:rsid w:val="000C3CA6"/>
    <w:rsid w:val="000C5713"/>
    <w:rsid w:val="000D0A18"/>
    <w:rsid w:val="000D1267"/>
    <w:rsid w:val="000D1D50"/>
    <w:rsid w:val="000D4426"/>
    <w:rsid w:val="000D5782"/>
    <w:rsid w:val="000E6613"/>
    <w:rsid w:val="000E7119"/>
    <w:rsid w:val="001030D2"/>
    <w:rsid w:val="00114E9B"/>
    <w:rsid w:val="001153B7"/>
    <w:rsid w:val="001275E7"/>
    <w:rsid w:val="00127C23"/>
    <w:rsid w:val="00142216"/>
    <w:rsid w:val="00144D6A"/>
    <w:rsid w:val="0014729F"/>
    <w:rsid w:val="00151A18"/>
    <w:rsid w:val="00152ECA"/>
    <w:rsid w:val="00157BAB"/>
    <w:rsid w:val="001654D1"/>
    <w:rsid w:val="001720A8"/>
    <w:rsid w:val="00174518"/>
    <w:rsid w:val="0018106D"/>
    <w:rsid w:val="0018179B"/>
    <w:rsid w:val="00182395"/>
    <w:rsid w:val="001825EB"/>
    <w:rsid w:val="00186B1A"/>
    <w:rsid w:val="001877A7"/>
    <w:rsid w:val="00191536"/>
    <w:rsid w:val="00196687"/>
    <w:rsid w:val="001A30DD"/>
    <w:rsid w:val="001A5550"/>
    <w:rsid w:val="001A6401"/>
    <w:rsid w:val="001C0962"/>
    <w:rsid w:val="001D60AB"/>
    <w:rsid w:val="001D7531"/>
    <w:rsid w:val="001E249D"/>
    <w:rsid w:val="001E737D"/>
    <w:rsid w:val="001F0592"/>
    <w:rsid w:val="001F7506"/>
    <w:rsid w:val="002006CD"/>
    <w:rsid w:val="00202B36"/>
    <w:rsid w:val="00204B7A"/>
    <w:rsid w:val="00204CDE"/>
    <w:rsid w:val="0020775C"/>
    <w:rsid w:val="0021101A"/>
    <w:rsid w:val="00220536"/>
    <w:rsid w:val="00231722"/>
    <w:rsid w:val="00234A27"/>
    <w:rsid w:val="00235629"/>
    <w:rsid w:val="00237F09"/>
    <w:rsid w:val="00260C38"/>
    <w:rsid w:val="002616C0"/>
    <w:rsid w:val="00265372"/>
    <w:rsid w:val="002662AA"/>
    <w:rsid w:val="002748AE"/>
    <w:rsid w:val="00276209"/>
    <w:rsid w:val="00280496"/>
    <w:rsid w:val="002820A0"/>
    <w:rsid w:val="00286C5A"/>
    <w:rsid w:val="00286DB5"/>
    <w:rsid w:val="00294DC9"/>
    <w:rsid w:val="00295495"/>
    <w:rsid w:val="00297EDE"/>
    <w:rsid w:val="002A31DE"/>
    <w:rsid w:val="002A5AC4"/>
    <w:rsid w:val="002B2613"/>
    <w:rsid w:val="002D6D05"/>
    <w:rsid w:val="002F1818"/>
    <w:rsid w:val="002F567B"/>
    <w:rsid w:val="003006A6"/>
    <w:rsid w:val="003213EC"/>
    <w:rsid w:val="003216A9"/>
    <w:rsid w:val="00335A74"/>
    <w:rsid w:val="003618FA"/>
    <w:rsid w:val="0036420E"/>
    <w:rsid w:val="0036561B"/>
    <w:rsid w:val="0037013F"/>
    <w:rsid w:val="00372919"/>
    <w:rsid w:val="00380C92"/>
    <w:rsid w:val="00383B7B"/>
    <w:rsid w:val="003A3553"/>
    <w:rsid w:val="003A484F"/>
    <w:rsid w:val="003A4883"/>
    <w:rsid w:val="003B0BE0"/>
    <w:rsid w:val="003B0C1B"/>
    <w:rsid w:val="003B2AB9"/>
    <w:rsid w:val="003B3E8E"/>
    <w:rsid w:val="003B688C"/>
    <w:rsid w:val="003C0291"/>
    <w:rsid w:val="003C39AE"/>
    <w:rsid w:val="003C7B60"/>
    <w:rsid w:val="003D0C0F"/>
    <w:rsid w:val="003D1FB2"/>
    <w:rsid w:val="003D5127"/>
    <w:rsid w:val="003D5C46"/>
    <w:rsid w:val="003D66DA"/>
    <w:rsid w:val="003E1310"/>
    <w:rsid w:val="003E6D2B"/>
    <w:rsid w:val="003E6F55"/>
    <w:rsid w:val="00405D5E"/>
    <w:rsid w:val="00406254"/>
    <w:rsid w:val="0041066F"/>
    <w:rsid w:val="004120C5"/>
    <w:rsid w:val="004223DE"/>
    <w:rsid w:val="00427824"/>
    <w:rsid w:val="00434489"/>
    <w:rsid w:val="00437085"/>
    <w:rsid w:val="00440FEB"/>
    <w:rsid w:val="00441039"/>
    <w:rsid w:val="00443880"/>
    <w:rsid w:val="00443903"/>
    <w:rsid w:val="004464F4"/>
    <w:rsid w:val="00452C2D"/>
    <w:rsid w:val="00462D28"/>
    <w:rsid w:val="004633D0"/>
    <w:rsid w:val="00471401"/>
    <w:rsid w:val="00473F31"/>
    <w:rsid w:val="00480654"/>
    <w:rsid w:val="0048263A"/>
    <w:rsid w:val="00486106"/>
    <w:rsid w:val="00486787"/>
    <w:rsid w:val="00487E5D"/>
    <w:rsid w:val="004A704F"/>
    <w:rsid w:val="004A711F"/>
    <w:rsid w:val="004B199D"/>
    <w:rsid w:val="004B4690"/>
    <w:rsid w:val="004D2034"/>
    <w:rsid w:val="004E0A2D"/>
    <w:rsid w:val="004E206B"/>
    <w:rsid w:val="004E24BD"/>
    <w:rsid w:val="004E6DF7"/>
    <w:rsid w:val="004F0211"/>
    <w:rsid w:val="004F0FBD"/>
    <w:rsid w:val="004F4E2D"/>
    <w:rsid w:val="00504997"/>
    <w:rsid w:val="00505A47"/>
    <w:rsid w:val="00506334"/>
    <w:rsid w:val="00512FDA"/>
    <w:rsid w:val="00515CFB"/>
    <w:rsid w:val="00520DA0"/>
    <w:rsid w:val="00520EBF"/>
    <w:rsid w:val="00525658"/>
    <w:rsid w:val="00533B27"/>
    <w:rsid w:val="00534D76"/>
    <w:rsid w:val="00550F52"/>
    <w:rsid w:val="00551D3B"/>
    <w:rsid w:val="00563D99"/>
    <w:rsid w:val="005664BB"/>
    <w:rsid w:val="00566FFA"/>
    <w:rsid w:val="005713EB"/>
    <w:rsid w:val="0057481D"/>
    <w:rsid w:val="005772A4"/>
    <w:rsid w:val="00582239"/>
    <w:rsid w:val="0058486E"/>
    <w:rsid w:val="00585B33"/>
    <w:rsid w:val="0059014D"/>
    <w:rsid w:val="00593141"/>
    <w:rsid w:val="005B5C64"/>
    <w:rsid w:val="005C1E5F"/>
    <w:rsid w:val="005C2DDD"/>
    <w:rsid w:val="005C5337"/>
    <w:rsid w:val="005C6BD0"/>
    <w:rsid w:val="005C6D6E"/>
    <w:rsid w:val="005D1C8B"/>
    <w:rsid w:val="005D468D"/>
    <w:rsid w:val="005D5CED"/>
    <w:rsid w:val="005E5A1C"/>
    <w:rsid w:val="005F1A4C"/>
    <w:rsid w:val="00605688"/>
    <w:rsid w:val="006070AF"/>
    <w:rsid w:val="00607E6C"/>
    <w:rsid w:val="006101B1"/>
    <w:rsid w:val="00614E44"/>
    <w:rsid w:val="0062270A"/>
    <w:rsid w:val="00622830"/>
    <w:rsid w:val="006239AD"/>
    <w:rsid w:val="00623DA0"/>
    <w:rsid w:val="00630AEF"/>
    <w:rsid w:val="006325F8"/>
    <w:rsid w:val="00633463"/>
    <w:rsid w:val="00634C9A"/>
    <w:rsid w:val="00636254"/>
    <w:rsid w:val="006440E4"/>
    <w:rsid w:val="006565C9"/>
    <w:rsid w:val="0066343B"/>
    <w:rsid w:val="00664777"/>
    <w:rsid w:val="0067428E"/>
    <w:rsid w:val="006748A4"/>
    <w:rsid w:val="00681A31"/>
    <w:rsid w:val="00683E73"/>
    <w:rsid w:val="006949A4"/>
    <w:rsid w:val="006A3141"/>
    <w:rsid w:val="006A5E34"/>
    <w:rsid w:val="006A64AA"/>
    <w:rsid w:val="006B2422"/>
    <w:rsid w:val="006B2B9A"/>
    <w:rsid w:val="006C1937"/>
    <w:rsid w:val="006C774B"/>
    <w:rsid w:val="006C7FEA"/>
    <w:rsid w:val="006D0A36"/>
    <w:rsid w:val="006F020C"/>
    <w:rsid w:val="006F253E"/>
    <w:rsid w:val="006F2A58"/>
    <w:rsid w:val="006F70FC"/>
    <w:rsid w:val="0070027E"/>
    <w:rsid w:val="0070337E"/>
    <w:rsid w:val="007127B7"/>
    <w:rsid w:val="00716052"/>
    <w:rsid w:val="0071798E"/>
    <w:rsid w:val="00724DE7"/>
    <w:rsid w:val="007416B6"/>
    <w:rsid w:val="00746F48"/>
    <w:rsid w:val="0075404D"/>
    <w:rsid w:val="007605F0"/>
    <w:rsid w:val="0076182A"/>
    <w:rsid w:val="00767B7E"/>
    <w:rsid w:val="00776BFD"/>
    <w:rsid w:val="007770C3"/>
    <w:rsid w:val="00782700"/>
    <w:rsid w:val="00784D24"/>
    <w:rsid w:val="00785FBA"/>
    <w:rsid w:val="00786E4A"/>
    <w:rsid w:val="007875EB"/>
    <w:rsid w:val="0079426B"/>
    <w:rsid w:val="007A2DFC"/>
    <w:rsid w:val="007B4458"/>
    <w:rsid w:val="007C2638"/>
    <w:rsid w:val="007C6739"/>
    <w:rsid w:val="007D1682"/>
    <w:rsid w:val="007D312A"/>
    <w:rsid w:val="007D3F19"/>
    <w:rsid w:val="007E0761"/>
    <w:rsid w:val="007E1A70"/>
    <w:rsid w:val="007E20FC"/>
    <w:rsid w:val="007E23B0"/>
    <w:rsid w:val="007E23E5"/>
    <w:rsid w:val="007E70A0"/>
    <w:rsid w:val="007F1991"/>
    <w:rsid w:val="007F2C2F"/>
    <w:rsid w:val="007F55FC"/>
    <w:rsid w:val="007F5665"/>
    <w:rsid w:val="007F73B6"/>
    <w:rsid w:val="00800112"/>
    <w:rsid w:val="00813348"/>
    <w:rsid w:val="008253BB"/>
    <w:rsid w:val="00830EE0"/>
    <w:rsid w:val="00833DC9"/>
    <w:rsid w:val="0083706E"/>
    <w:rsid w:val="008408F6"/>
    <w:rsid w:val="008423A5"/>
    <w:rsid w:val="008451D9"/>
    <w:rsid w:val="00850625"/>
    <w:rsid w:val="00853718"/>
    <w:rsid w:val="00853EC2"/>
    <w:rsid w:val="00855221"/>
    <w:rsid w:val="00855F4A"/>
    <w:rsid w:val="00860645"/>
    <w:rsid w:val="00871F71"/>
    <w:rsid w:val="00872FD8"/>
    <w:rsid w:val="00885AF4"/>
    <w:rsid w:val="008939CD"/>
    <w:rsid w:val="008A1933"/>
    <w:rsid w:val="008A2636"/>
    <w:rsid w:val="008B768C"/>
    <w:rsid w:val="008C4DB1"/>
    <w:rsid w:val="008C4EAF"/>
    <w:rsid w:val="008C5176"/>
    <w:rsid w:val="008C7FD0"/>
    <w:rsid w:val="008D0C42"/>
    <w:rsid w:val="008D1228"/>
    <w:rsid w:val="008D6E84"/>
    <w:rsid w:val="008E1DE7"/>
    <w:rsid w:val="008E707C"/>
    <w:rsid w:val="00900B08"/>
    <w:rsid w:val="00902155"/>
    <w:rsid w:val="00902FA3"/>
    <w:rsid w:val="0092003E"/>
    <w:rsid w:val="0092116C"/>
    <w:rsid w:val="00922A9C"/>
    <w:rsid w:val="00923564"/>
    <w:rsid w:val="0092392E"/>
    <w:rsid w:val="00925433"/>
    <w:rsid w:val="009315F9"/>
    <w:rsid w:val="009325DD"/>
    <w:rsid w:val="00933499"/>
    <w:rsid w:val="00935B05"/>
    <w:rsid w:val="00935C98"/>
    <w:rsid w:val="00946945"/>
    <w:rsid w:val="00951248"/>
    <w:rsid w:val="0095152F"/>
    <w:rsid w:val="00954C49"/>
    <w:rsid w:val="00955E37"/>
    <w:rsid w:val="00960F0F"/>
    <w:rsid w:val="00961B8A"/>
    <w:rsid w:val="0097099F"/>
    <w:rsid w:val="00971997"/>
    <w:rsid w:val="00971FFC"/>
    <w:rsid w:val="00974B8A"/>
    <w:rsid w:val="0097781D"/>
    <w:rsid w:val="0098660A"/>
    <w:rsid w:val="009931C3"/>
    <w:rsid w:val="00993833"/>
    <w:rsid w:val="009B2C43"/>
    <w:rsid w:val="009B4338"/>
    <w:rsid w:val="009B4EAE"/>
    <w:rsid w:val="009B7573"/>
    <w:rsid w:val="009C22F4"/>
    <w:rsid w:val="009C2A4B"/>
    <w:rsid w:val="009C2E98"/>
    <w:rsid w:val="009C7332"/>
    <w:rsid w:val="009D2336"/>
    <w:rsid w:val="009D3447"/>
    <w:rsid w:val="009D4711"/>
    <w:rsid w:val="009E74A1"/>
    <w:rsid w:val="009F1185"/>
    <w:rsid w:val="009F18CD"/>
    <w:rsid w:val="009F2A13"/>
    <w:rsid w:val="009F7527"/>
    <w:rsid w:val="009F79F8"/>
    <w:rsid w:val="00A01306"/>
    <w:rsid w:val="00A04EB0"/>
    <w:rsid w:val="00A13CC1"/>
    <w:rsid w:val="00A16847"/>
    <w:rsid w:val="00A17046"/>
    <w:rsid w:val="00A237D8"/>
    <w:rsid w:val="00A2598F"/>
    <w:rsid w:val="00A268C4"/>
    <w:rsid w:val="00A307CD"/>
    <w:rsid w:val="00A3089C"/>
    <w:rsid w:val="00A331C8"/>
    <w:rsid w:val="00A3622B"/>
    <w:rsid w:val="00A40A00"/>
    <w:rsid w:val="00A4142F"/>
    <w:rsid w:val="00A422EB"/>
    <w:rsid w:val="00A4399A"/>
    <w:rsid w:val="00A448EA"/>
    <w:rsid w:val="00A45BB7"/>
    <w:rsid w:val="00A4706A"/>
    <w:rsid w:val="00A56DF2"/>
    <w:rsid w:val="00A56E6E"/>
    <w:rsid w:val="00A607F2"/>
    <w:rsid w:val="00A62CD1"/>
    <w:rsid w:val="00A646EE"/>
    <w:rsid w:val="00A67AB5"/>
    <w:rsid w:val="00A71873"/>
    <w:rsid w:val="00A733B2"/>
    <w:rsid w:val="00A741C2"/>
    <w:rsid w:val="00A80FC9"/>
    <w:rsid w:val="00A811C6"/>
    <w:rsid w:val="00A81FCE"/>
    <w:rsid w:val="00A91760"/>
    <w:rsid w:val="00A932A7"/>
    <w:rsid w:val="00A93B00"/>
    <w:rsid w:val="00A93C21"/>
    <w:rsid w:val="00AB64C9"/>
    <w:rsid w:val="00AC3C6A"/>
    <w:rsid w:val="00AD5620"/>
    <w:rsid w:val="00AD656B"/>
    <w:rsid w:val="00AD6E98"/>
    <w:rsid w:val="00AD7C1B"/>
    <w:rsid w:val="00AE16BA"/>
    <w:rsid w:val="00AE1EBE"/>
    <w:rsid w:val="00AE7DA8"/>
    <w:rsid w:val="00AF00FF"/>
    <w:rsid w:val="00AF3B78"/>
    <w:rsid w:val="00B01830"/>
    <w:rsid w:val="00B03C9D"/>
    <w:rsid w:val="00B060AE"/>
    <w:rsid w:val="00B10517"/>
    <w:rsid w:val="00B14E76"/>
    <w:rsid w:val="00B161B8"/>
    <w:rsid w:val="00B2048C"/>
    <w:rsid w:val="00B24FF4"/>
    <w:rsid w:val="00B304DA"/>
    <w:rsid w:val="00B310B9"/>
    <w:rsid w:val="00B35F3F"/>
    <w:rsid w:val="00B36CBB"/>
    <w:rsid w:val="00B425E0"/>
    <w:rsid w:val="00B440AA"/>
    <w:rsid w:val="00B44B70"/>
    <w:rsid w:val="00B53C56"/>
    <w:rsid w:val="00B57DAF"/>
    <w:rsid w:val="00B63C64"/>
    <w:rsid w:val="00B722E1"/>
    <w:rsid w:val="00B77EA6"/>
    <w:rsid w:val="00B81598"/>
    <w:rsid w:val="00B841F1"/>
    <w:rsid w:val="00B860B5"/>
    <w:rsid w:val="00B944D6"/>
    <w:rsid w:val="00BA2DB7"/>
    <w:rsid w:val="00BB4CE5"/>
    <w:rsid w:val="00BB4DF0"/>
    <w:rsid w:val="00BC289F"/>
    <w:rsid w:val="00BC2D50"/>
    <w:rsid w:val="00BC5361"/>
    <w:rsid w:val="00BC5460"/>
    <w:rsid w:val="00BC6B50"/>
    <w:rsid w:val="00BD0E25"/>
    <w:rsid w:val="00BF0E31"/>
    <w:rsid w:val="00BF5BD6"/>
    <w:rsid w:val="00C03393"/>
    <w:rsid w:val="00C03E31"/>
    <w:rsid w:val="00C1579D"/>
    <w:rsid w:val="00C33E72"/>
    <w:rsid w:val="00C354B2"/>
    <w:rsid w:val="00C35554"/>
    <w:rsid w:val="00C42709"/>
    <w:rsid w:val="00C533CC"/>
    <w:rsid w:val="00C5751C"/>
    <w:rsid w:val="00C61BFC"/>
    <w:rsid w:val="00C62B85"/>
    <w:rsid w:val="00C65438"/>
    <w:rsid w:val="00C76CF9"/>
    <w:rsid w:val="00C77E3C"/>
    <w:rsid w:val="00C87FD8"/>
    <w:rsid w:val="00C91381"/>
    <w:rsid w:val="00C91CBB"/>
    <w:rsid w:val="00C931A7"/>
    <w:rsid w:val="00CB4E70"/>
    <w:rsid w:val="00CB6CAE"/>
    <w:rsid w:val="00CC09B6"/>
    <w:rsid w:val="00CC0BD6"/>
    <w:rsid w:val="00CC666F"/>
    <w:rsid w:val="00CD1E3F"/>
    <w:rsid w:val="00CD220E"/>
    <w:rsid w:val="00CD2A59"/>
    <w:rsid w:val="00CE22BA"/>
    <w:rsid w:val="00CE42AB"/>
    <w:rsid w:val="00CE44F6"/>
    <w:rsid w:val="00CE49DA"/>
    <w:rsid w:val="00CE7B61"/>
    <w:rsid w:val="00CF6619"/>
    <w:rsid w:val="00D00095"/>
    <w:rsid w:val="00D114F0"/>
    <w:rsid w:val="00D20620"/>
    <w:rsid w:val="00D229AE"/>
    <w:rsid w:val="00D254F7"/>
    <w:rsid w:val="00D26091"/>
    <w:rsid w:val="00D2685C"/>
    <w:rsid w:val="00D27840"/>
    <w:rsid w:val="00D33124"/>
    <w:rsid w:val="00D34E4E"/>
    <w:rsid w:val="00D34E7C"/>
    <w:rsid w:val="00D35489"/>
    <w:rsid w:val="00D36AFE"/>
    <w:rsid w:val="00D51276"/>
    <w:rsid w:val="00D60C38"/>
    <w:rsid w:val="00D63DAF"/>
    <w:rsid w:val="00D7035F"/>
    <w:rsid w:val="00D81600"/>
    <w:rsid w:val="00D87381"/>
    <w:rsid w:val="00DA1DAF"/>
    <w:rsid w:val="00DA634F"/>
    <w:rsid w:val="00DA65AC"/>
    <w:rsid w:val="00DB1913"/>
    <w:rsid w:val="00DB1AD2"/>
    <w:rsid w:val="00DC219A"/>
    <w:rsid w:val="00DC410D"/>
    <w:rsid w:val="00DC5A81"/>
    <w:rsid w:val="00DC68CA"/>
    <w:rsid w:val="00DC7CBA"/>
    <w:rsid w:val="00DD73B7"/>
    <w:rsid w:val="00DD7D4F"/>
    <w:rsid w:val="00DE516E"/>
    <w:rsid w:val="00DE5A50"/>
    <w:rsid w:val="00DF0B64"/>
    <w:rsid w:val="00DF28BC"/>
    <w:rsid w:val="00DF34B9"/>
    <w:rsid w:val="00E00EC8"/>
    <w:rsid w:val="00E01053"/>
    <w:rsid w:val="00E02751"/>
    <w:rsid w:val="00E07ACF"/>
    <w:rsid w:val="00E2029F"/>
    <w:rsid w:val="00E253D8"/>
    <w:rsid w:val="00E331A1"/>
    <w:rsid w:val="00E33202"/>
    <w:rsid w:val="00E336A9"/>
    <w:rsid w:val="00E355F6"/>
    <w:rsid w:val="00E379DE"/>
    <w:rsid w:val="00E472B1"/>
    <w:rsid w:val="00E50624"/>
    <w:rsid w:val="00E539E2"/>
    <w:rsid w:val="00E550B6"/>
    <w:rsid w:val="00E568DF"/>
    <w:rsid w:val="00E64269"/>
    <w:rsid w:val="00E668DD"/>
    <w:rsid w:val="00E82267"/>
    <w:rsid w:val="00E84C4F"/>
    <w:rsid w:val="00E853CE"/>
    <w:rsid w:val="00E867B6"/>
    <w:rsid w:val="00EA010F"/>
    <w:rsid w:val="00EB30F3"/>
    <w:rsid w:val="00EB3811"/>
    <w:rsid w:val="00EC2A40"/>
    <w:rsid w:val="00EC62F9"/>
    <w:rsid w:val="00ED04C5"/>
    <w:rsid w:val="00ED1B63"/>
    <w:rsid w:val="00ED3C1F"/>
    <w:rsid w:val="00ED4085"/>
    <w:rsid w:val="00ED420E"/>
    <w:rsid w:val="00ED6FBE"/>
    <w:rsid w:val="00EE2F57"/>
    <w:rsid w:val="00EE568C"/>
    <w:rsid w:val="00EF4C34"/>
    <w:rsid w:val="00EF77C6"/>
    <w:rsid w:val="00F05438"/>
    <w:rsid w:val="00F10236"/>
    <w:rsid w:val="00F10C7F"/>
    <w:rsid w:val="00F1361C"/>
    <w:rsid w:val="00F156F0"/>
    <w:rsid w:val="00F160C7"/>
    <w:rsid w:val="00F2408F"/>
    <w:rsid w:val="00F240E9"/>
    <w:rsid w:val="00F36D8F"/>
    <w:rsid w:val="00F4112D"/>
    <w:rsid w:val="00F417B1"/>
    <w:rsid w:val="00F41962"/>
    <w:rsid w:val="00F45853"/>
    <w:rsid w:val="00F602DF"/>
    <w:rsid w:val="00F700ED"/>
    <w:rsid w:val="00F75413"/>
    <w:rsid w:val="00F754A1"/>
    <w:rsid w:val="00F81FD9"/>
    <w:rsid w:val="00F841AA"/>
    <w:rsid w:val="00F84A94"/>
    <w:rsid w:val="00F87E96"/>
    <w:rsid w:val="00F9209D"/>
    <w:rsid w:val="00FA23E8"/>
    <w:rsid w:val="00FC4619"/>
    <w:rsid w:val="00FD3CC1"/>
    <w:rsid w:val="00FE26FE"/>
    <w:rsid w:val="00FF1E02"/>
    <w:rsid w:val="00FF30B4"/>
    <w:rsid w:val="00FF6032"/>
    <w:rsid w:val="00FF7F6E"/>
    <w:rsid w:val="03D47ED8"/>
    <w:rsid w:val="053A62B5"/>
    <w:rsid w:val="0A2032A3"/>
    <w:rsid w:val="0B8A37D8"/>
    <w:rsid w:val="10C055FF"/>
    <w:rsid w:val="118107EC"/>
    <w:rsid w:val="11DD6519"/>
    <w:rsid w:val="16BB723D"/>
    <w:rsid w:val="18015F3F"/>
    <w:rsid w:val="1B762884"/>
    <w:rsid w:val="1BE8440E"/>
    <w:rsid w:val="1D155CEE"/>
    <w:rsid w:val="20F57F95"/>
    <w:rsid w:val="240371BF"/>
    <w:rsid w:val="25711CC6"/>
    <w:rsid w:val="25C741E6"/>
    <w:rsid w:val="26F9143B"/>
    <w:rsid w:val="270A165B"/>
    <w:rsid w:val="27842671"/>
    <w:rsid w:val="29FD04D3"/>
    <w:rsid w:val="2ABE7A3E"/>
    <w:rsid w:val="2CA234A8"/>
    <w:rsid w:val="2CE66FE9"/>
    <w:rsid w:val="2EFA178C"/>
    <w:rsid w:val="30B46D73"/>
    <w:rsid w:val="319F7F4E"/>
    <w:rsid w:val="383D272C"/>
    <w:rsid w:val="39AE70AB"/>
    <w:rsid w:val="3BFE7252"/>
    <w:rsid w:val="3C0C0783"/>
    <w:rsid w:val="3CEB4D9C"/>
    <w:rsid w:val="3E2B5077"/>
    <w:rsid w:val="3EDB631A"/>
    <w:rsid w:val="3F9F3A96"/>
    <w:rsid w:val="41085755"/>
    <w:rsid w:val="48BF60AB"/>
    <w:rsid w:val="493C27E9"/>
    <w:rsid w:val="496F39ED"/>
    <w:rsid w:val="49FF41D3"/>
    <w:rsid w:val="4BE068DB"/>
    <w:rsid w:val="4BF6002B"/>
    <w:rsid w:val="4ECE2238"/>
    <w:rsid w:val="51772AAA"/>
    <w:rsid w:val="51DB4B86"/>
    <w:rsid w:val="52BC34B9"/>
    <w:rsid w:val="548F68F8"/>
    <w:rsid w:val="55333C3E"/>
    <w:rsid w:val="64CA39A1"/>
    <w:rsid w:val="69630ADE"/>
    <w:rsid w:val="6C4A05C8"/>
    <w:rsid w:val="6D3B1A89"/>
    <w:rsid w:val="6E55F248"/>
    <w:rsid w:val="71BF4EC2"/>
    <w:rsid w:val="72734D90"/>
    <w:rsid w:val="7412278C"/>
    <w:rsid w:val="744E53C9"/>
    <w:rsid w:val="7904082E"/>
    <w:rsid w:val="795D81CE"/>
    <w:rsid w:val="79E7B28D"/>
    <w:rsid w:val="7F9F20EE"/>
    <w:rsid w:val="9E3A10E2"/>
    <w:rsid w:val="9F3F6A64"/>
    <w:rsid w:val="BDD94BBF"/>
    <w:rsid w:val="BFAE97E5"/>
    <w:rsid w:val="EDFF8BB0"/>
    <w:rsid w:val="F2E1F9D4"/>
    <w:rsid w:val="F7880819"/>
    <w:rsid w:val="FBF7F902"/>
    <w:rsid w:val="FDFE7EDE"/>
    <w:rsid w:val="FF77D45F"/>
    <w:rsid w:val="FFA7A69B"/>
    <w:rsid w:val="FFB94E9A"/>
    <w:rsid w:val="FFD76031"/>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99" w:semiHidden="0"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19"/>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0"/>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21"/>
    <w:unhideWhenUsed/>
    <w:qFormat/>
    <w:uiPriority w:val="9"/>
    <w:pPr>
      <w:keepNext/>
      <w:keepLines/>
      <w:spacing w:before="260" w:after="260" w:line="416" w:lineRule="auto"/>
      <w:outlineLvl w:val="2"/>
    </w:pPr>
    <w:rPr>
      <w:b/>
      <w:bCs/>
      <w:sz w:val="32"/>
      <w:szCs w:val="32"/>
    </w:rPr>
  </w:style>
  <w:style w:type="character" w:default="1" w:styleId="16">
    <w:name w:val="Default Paragraph Font"/>
    <w:semiHidden/>
    <w:unhideWhenUsed/>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27"/>
    <w:qFormat/>
    <w:uiPriority w:val="99"/>
    <w:pPr>
      <w:spacing w:beforeLines="30"/>
    </w:pPr>
    <w:rPr>
      <w:rFonts w:ascii="仿宋_GB2312" w:eastAsia="仿宋_GB2312"/>
      <w:kern w:val="0"/>
      <w:sz w:val="30"/>
    </w:rPr>
  </w:style>
  <w:style w:type="paragraph" w:styleId="6">
    <w:name w:val="Body Text Indent"/>
    <w:basedOn w:val="1"/>
    <w:link w:val="33"/>
    <w:semiHidden/>
    <w:unhideWhenUsed/>
    <w:qFormat/>
    <w:uiPriority w:val="99"/>
    <w:pPr>
      <w:spacing w:after="120"/>
      <w:ind w:left="420" w:leftChars="200"/>
    </w:pPr>
  </w:style>
  <w:style w:type="paragraph" w:styleId="7">
    <w:name w:val="toc 3"/>
    <w:basedOn w:val="1"/>
    <w:next w:val="1"/>
    <w:unhideWhenUsed/>
    <w:qFormat/>
    <w:uiPriority w:val="39"/>
    <w:pPr>
      <w:tabs>
        <w:tab w:val="right" w:leader="dot" w:pos="8296"/>
      </w:tabs>
      <w:ind w:left="840" w:leftChars="400"/>
    </w:pPr>
  </w:style>
  <w:style w:type="paragraph" w:styleId="8">
    <w:name w:val="Balloon Text"/>
    <w:basedOn w:val="1"/>
    <w:link w:val="31"/>
    <w:semiHidden/>
    <w:unhideWhenUsed/>
    <w:qFormat/>
    <w:uiPriority w:val="99"/>
    <w:rPr>
      <w:sz w:val="18"/>
      <w:szCs w:val="18"/>
    </w:rPr>
  </w:style>
  <w:style w:type="paragraph" w:styleId="9">
    <w:name w:val="footer"/>
    <w:basedOn w:val="1"/>
    <w:link w:val="25"/>
    <w:qFormat/>
    <w:uiPriority w:val="99"/>
    <w:pPr>
      <w:tabs>
        <w:tab w:val="center" w:pos="4153"/>
        <w:tab w:val="right" w:pos="8306"/>
      </w:tabs>
      <w:snapToGrid w:val="0"/>
      <w:jc w:val="left"/>
    </w:pPr>
    <w:rPr>
      <w:rFonts w:ascii="Calibri" w:hAnsi="Calibri"/>
      <w:kern w:val="0"/>
      <w:sz w:val="18"/>
      <w:szCs w:val="18"/>
    </w:rPr>
  </w:style>
  <w:style w:type="paragraph" w:styleId="10">
    <w:name w:val="header"/>
    <w:basedOn w:val="1"/>
    <w:link w:val="23"/>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1">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2">
    <w:name w:val="toc 2"/>
    <w:basedOn w:val="1"/>
    <w:next w:val="1"/>
    <w:unhideWhenUsed/>
    <w:qFormat/>
    <w:uiPriority w:val="39"/>
    <w:pPr>
      <w:tabs>
        <w:tab w:val="right" w:leader="dot" w:pos="8296"/>
      </w:tabs>
      <w:ind w:left="420" w:leftChars="200"/>
    </w:p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rPr>
  </w:style>
  <w:style w:type="paragraph" w:styleId="14">
    <w:name w:val="Body Text First Indent 2"/>
    <w:basedOn w:val="6"/>
    <w:link w:val="34"/>
    <w:qFormat/>
    <w:uiPriority w:val="0"/>
    <w:pPr>
      <w:ind w:firstLine="420" w:firstLineChars="200"/>
    </w:pPr>
    <w:rPr>
      <w:rFonts w:eastAsia="方正仿宋简体"/>
      <w:sz w:val="32"/>
      <w:szCs w:val="32"/>
    </w:rPr>
  </w:style>
  <w:style w:type="character" w:styleId="17">
    <w:name w:val="Strong"/>
    <w:basedOn w:val="16"/>
    <w:qFormat/>
    <w:uiPriority w:val="99"/>
    <w:rPr>
      <w:b/>
    </w:rPr>
  </w:style>
  <w:style w:type="character" w:styleId="18">
    <w:name w:val="Hyperlink"/>
    <w:basedOn w:val="16"/>
    <w:unhideWhenUsed/>
    <w:qFormat/>
    <w:uiPriority w:val="99"/>
    <w:rPr>
      <w:color w:val="0000FF" w:themeColor="hyperlink"/>
      <w:u w:val="single"/>
    </w:rPr>
  </w:style>
  <w:style w:type="character" w:customStyle="1" w:styleId="19">
    <w:name w:val="标题 1 Char"/>
    <w:basedOn w:val="16"/>
    <w:link w:val="3"/>
    <w:qFormat/>
    <w:uiPriority w:val="9"/>
    <w:rPr>
      <w:rFonts w:ascii="Times New Roman" w:hAnsi="Times New Roman"/>
      <w:b/>
      <w:bCs/>
      <w:kern w:val="44"/>
      <w:sz w:val="44"/>
      <w:szCs w:val="44"/>
    </w:rPr>
  </w:style>
  <w:style w:type="character" w:customStyle="1" w:styleId="20">
    <w:name w:val="标题 2 Char"/>
    <w:basedOn w:val="16"/>
    <w:link w:val="4"/>
    <w:qFormat/>
    <w:uiPriority w:val="9"/>
    <w:rPr>
      <w:rFonts w:asciiTheme="majorHAnsi" w:hAnsiTheme="majorHAnsi" w:eastAsiaTheme="majorEastAsia" w:cstheme="majorBidi"/>
      <w:b/>
      <w:bCs/>
      <w:kern w:val="2"/>
      <w:sz w:val="32"/>
      <w:szCs w:val="32"/>
    </w:rPr>
  </w:style>
  <w:style w:type="character" w:customStyle="1" w:styleId="21">
    <w:name w:val="标题 3 Char"/>
    <w:basedOn w:val="16"/>
    <w:link w:val="5"/>
    <w:qFormat/>
    <w:uiPriority w:val="9"/>
    <w:rPr>
      <w:rFonts w:ascii="Times New Roman" w:hAnsi="Times New Roman"/>
      <w:b/>
      <w:bCs/>
      <w:kern w:val="2"/>
      <w:sz w:val="32"/>
      <w:szCs w:val="32"/>
    </w:rPr>
  </w:style>
  <w:style w:type="character" w:customStyle="1" w:styleId="22">
    <w:name w:val="Header Char"/>
    <w:basedOn w:val="16"/>
    <w:semiHidden/>
    <w:qFormat/>
    <w:uiPriority w:val="99"/>
    <w:rPr>
      <w:rFonts w:ascii="Times New Roman" w:hAnsi="Times New Roman"/>
      <w:sz w:val="18"/>
      <w:szCs w:val="18"/>
    </w:rPr>
  </w:style>
  <w:style w:type="character" w:customStyle="1" w:styleId="23">
    <w:name w:val="页眉 Char"/>
    <w:link w:val="10"/>
    <w:semiHidden/>
    <w:qFormat/>
    <w:locked/>
    <w:uiPriority w:val="99"/>
    <w:rPr>
      <w:sz w:val="18"/>
    </w:rPr>
  </w:style>
  <w:style w:type="character" w:customStyle="1" w:styleId="24">
    <w:name w:val="Footer Char"/>
    <w:basedOn w:val="16"/>
    <w:semiHidden/>
    <w:qFormat/>
    <w:uiPriority w:val="99"/>
    <w:rPr>
      <w:rFonts w:ascii="Times New Roman" w:hAnsi="Times New Roman"/>
      <w:sz w:val="18"/>
      <w:szCs w:val="18"/>
    </w:rPr>
  </w:style>
  <w:style w:type="character" w:customStyle="1" w:styleId="25">
    <w:name w:val="页脚 Char"/>
    <w:link w:val="9"/>
    <w:qFormat/>
    <w:locked/>
    <w:uiPriority w:val="99"/>
    <w:rPr>
      <w:sz w:val="18"/>
    </w:rPr>
  </w:style>
  <w:style w:type="character" w:customStyle="1" w:styleId="26">
    <w:name w:val="Body Text Char"/>
    <w:basedOn w:val="16"/>
    <w:semiHidden/>
    <w:qFormat/>
    <w:uiPriority w:val="99"/>
    <w:rPr>
      <w:rFonts w:ascii="Times New Roman" w:hAnsi="Times New Roman"/>
      <w:szCs w:val="24"/>
    </w:rPr>
  </w:style>
  <w:style w:type="character" w:customStyle="1" w:styleId="27">
    <w:name w:val="正文文本 Char"/>
    <w:link w:val="2"/>
    <w:qFormat/>
    <w:locked/>
    <w:uiPriority w:val="99"/>
    <w:rPr>
      <w:rFonts w:ascii="仿宋_GB2312" w:hAnsi="Times New Roman" w:eastAsia="仿宋_GB2312"/>
      <w:sz w:val="24"/>
    </w:rPr>
  </w:style>
  <w:style w:type="paragraph" w:customStyle="1" w:styleId="28">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9">
    <w:name w:val="List Paragraph"/>
    <w:basedOn w:val="1"/>
    <w:qFormat/>
    <w:uiPriority w:val="34"/>
    <w:pPr>
      <w:ind w:firstLine="420" w:firstLineChars="200"/>
    </w:pPr>
  </w:style>
  <w:style w:type="paragraph" w:customStyle="1" w:styleId="30">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character" w:customStyle="1" w:styleId="31">
    <w:name w:val="批注框文本 Char"/>
    <w:basedOn w:val="16"/>
    <w:link w:val="8"/>
    <w:semiHidden/>
    <w:qFormat/>
    <w:uiPriority w:val="99"/>
    <w:rPr>
      <w:rFonts w:ascii="Times New Roman" w:hAnsi="Times New Roman"/>
      <w:kern w:val="2"/>
      <w:sz w:val="18"/>
      <w:szCs w:val="18"/>
    </w:rPr>
  </w:style>
  <w:style w:type="paragraph" w:customStyle="1" w:styleId="32">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character" w:customStyle="1" w:styleId="33">
    <w:name w:val="正文文本缩进 Char"/>
    <w:basedOn w:val="16"/>
    <w:link w:val="6"/>
    <w:semiHidden/>
    <w:qFormat/>
    <w:uiPriority w:val="99"/>
    <w:rPr>
      <w:rFonts w:ascii="Times New Roman" w:hAnsi="Times New Roman" w:eastAsia="宋体" w:cs="Times New Roman"/>
      <w:kern w:val="2"/>
      <w:sz w:val="21"/>
      <w:szCs w:val="24"/>
    </w:rPr>
  </w:style>
  <w:style w:type="character" w:customStyle="1" w:styleId="34">
    <w:name w:val="正文首行缩进 2 Char"/>
    <w:basedOn w:val="33"/>
    <w:link w:val="14"/>
    <w:qFormat/>
    <w:uiPriority w:val="0"/>
    <w:rPr>
      <w:rFonts w:eastAsia="方正仿宋简体"/>
      <w:sz w:val="32"/>
      <w:szCs w:val="32"/>
    </w:rPr>
  </w:style>
  <w:style w:type="paragraph" w:customStyle="1" w:styleId="35">
    <w:name w:val="TOC 标题3"/>
    <w:basedOn w:val="3"/>
    <w:next w:val="1"/>
    <w:semiHidden/>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2" Type="http://schemas.openxmlformats.org/officeDocument/2006/relationships/fontTable" Target="fontTable.xml"/><Relationship Id="rId21" Type="http://schemas.openxmlformats.org/officeDocument/2006/relationships/numbering" Target="numbering.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chart" Target="charts/chart7.xml"/><Relationship Id="rId18" Type="http://schemas.openxmlformats.org/officeDocument/2006/relationships/chart" Target="charts/chart6.xml"/><Relationship Id="rId17" Type="http://schemas.openxmlformats.org/officeDocument/2006/relationships/chart" Target="charts/chart5.xml"/><Relationship Id="rId16" Type="http://schemas.openxmlformats.org/officeDocument/2006/relationships/chart" Target="charts/chart4.xml"/><Relationship Id="rId15" Type="http://schemas.openxmlformats.org/officeDocument/2006/relationships/chart" Target="charts/chart3.xml"/><Relationship Id="rId14" Type="http://schemas.openxmlformats.org/officeDocument/2006/relationships/chart" Target="charts/chart2.xml"/><Relationship Id="rId13" Type="http://schemas.openxmlformats.org/officeDocument/2006/relationships/chart" Target="charts/chart1.xml"/><Relationship Id="rId12" Type="http://schemas.openxmlformats.org/officeDocument/2006/relationships/theme" Target="theme/theme1.xml"/><Relationship Id="rId11" Type="http://schemas.openxmlformats.org/officeDocument/2006/relationships/footer" Target="footer8.xml"/><Relationship Id="rId10" Type="http://schemas.openxmlformats.org/officeDocument/2006/relationships/footer" Target="footer7.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package" Target="../embeddings/Workbook2.xlsx"/></Relationships>
</file>

<file path=word/charts/_rels/chart2.xml.rels><?xml version="1.0" encoding="UTF-8" standalone="yes"?>
<Relationships xmlns="http://schemas.openxmlformats.org/package/2006/relationships"><Relationship Id="rId1" Type="http://schemas.openxmlformats.org/officeDocument/2006/relationships/package" Target="../embeddings/Workbook5.xlsx"/></Relationships>
</file>

<file path=word/charts/_rels/chart3.xml.rels><?xml version="1.0" encoding="UTF-8" standalone="yes"?>
<Relationships xmlns="http://schemas.openxmlformats.org/package/2006/relationships"><Relationship Id="rId1" Type="http://schemas.openxmlformats.org/officeDocument/2006/relationships/package" Target="../embeddings/Workbook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Workbook7.xlsx"/></Relationships>
</file>

<file path=word/charts/_rels/chart5.xml.rels><?xml version="1.0" encoding="UTF-8" standalone="yes"?>
<Relationships xmlns="http://schemas.openxmlformats.org/package/2006/relationships"><Relationship Id="rId1" Type="http://schemas.openxmlformats.org/officeDocument/2006/relationships/package" Target="../embeddings/Workbook6.xlsx"/></Relationships>
</file>

<file path=word/charts/_rels/chart6.xml.rels><?xml version="1.0" encoding="UTF-8" standalone="yes"?>
<Relationships xmlns="http://schemas.openxmlformats.org/package/2006/relationships"><Relationship Id="rId1" Type="http://schemas.openxmlformats.org/officeDocument/2006/relationships/package" Target="../embeddings/Workbook1.xlsx"/></Relationships>
</file>

<file path=word/charts/_rels/chart7.xml.rels><?xml version="1.0" encoding="UTF-8" standalone="yes"?>
<Relationships xmlns="http://schemas.openxmlformats.org/package/2006/relationships"><Relationship Id="rId1" Type="http://schemas.openxmlformats.org/officeDocument/2006/relationships/package" Target="../embeddings/Workbook4.xlsx"/></Relationships>
</file>

<file path=word/charts/chart1.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true"/>
          <a:lstStyle/>
          <a:p>
            <a:pPr>
              <a:defRPr lang="zh-CN" sz="1565" b="0" i="0" u="none" strike="noStrike" kern="1200" baseline="0">
                <a:solidFill>
                  <a:srgbClr val="000000"/>
                </a:solidFill>
                <a:latin typeface="宋体" panose="02010600030101010101" charset="-122"/>
                <a:ea typeface="宋体" panose="02010600030101010101" charset="-122"/>
                <a:cs typeface="宋体" panose="02010600030101010101" charset="-122"/>
              </a:defRPr>
            </a:pPr>
            <a:r>
              <a:rPr lang="zh-CN" altLang="en-US" sz="1400"/>
              <a:t>收、支决算总计变动情况（万元）</a:t>
            </a:r>
            <a:endParaRPr lang="zh-CN" altLang="en-US" sz="1400"/>
          </a:p>
        </c:rich>
      </c:tx>
      <c:layout>
        <c:manualLayout>
          <c:xMode val="edge"/>
          <c:yMode val="edge"/>
          <c:x val="0.162637362637364"/>
          <c:y val="0.0194805194805197"/>
        </c:manualLayout>
      </c:layout>
      <c:overlay val="false"/>
      <c:spPr>
        <a:noFill/>
        <a:ln w="26915">
          <a:noFill/>
        </a:ln>
      </c:spPr>
    </c:title>
    <c:autoTitleDeleted val="false"/>
    <c:plotArea>
      <c:layout>
        <c:manualLayout>
          <c:layoutTarget val="inner"/>
          <c:xMode val="edge"/>
          <c:yMode val="edge"/>
          <c:x val="0.0989010989011004"/>
          <c:y val="0.17857142857143"/>
          <c:w val="0.87912087912089"/>
          <c:h val="0.668831168831169"/>
        </c:manualLayout>
      </c:layout>
      <c:barChart>
        <c:barDir val="col"/>
        <c:grouping val="clustered"/>
        <c:varyColors val="false"/>
        <c:ser>
          <c:idx val="0"/>
          <c:order val="0"/>
          <c:tx>
            <c:strRef>
              <c:f>Sheet1!$A$2</c:f>
              <c:strCache>
                <c:ptCount val="1"/>
                <c:pt idx="0">
                  <c:v/>
                </c:pt>
              </c:strCache>
            </c:strRef>
          </c:tx>
          <c:spPr>
            <a:solidFill>
              <a:srgbClr val="9999FF"/>
            </a:solidFill>
            <a:ln w="13458">
              <a:solidFill>
                <a:srgbClr val="000000"/>
              </a:solidFill>
              <a:prstDash val="solid"/>
            </a:ln>
          </c:spPr>
          <c:invertIfNegative val="false"/>
          <c:dLbls>
            <c:spPr>
              <a:noFill/>
              <a:ln w="26915">
                <a:noFill/>
              </a:ln>
              <a:effectLst/>
            </c:spPr>
            <c:txPr>
              <a:bodyPr rot="0" spcFirstLastPara="0" vertOverflow="ellipsis" vert="horz" wrap="square" lIns="38100" tIns="19050" rIns="38100" bIns="19050" anchor="ctr" anchorCtr="true"/>
              <a:lstStyle/>
              <a:p>
                <a:pPr>
                  <a:defRPr lang="zh-CN" sz="1565"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outEnd"/>
            <c:showLegendKey val="false"/>
            <c:showVal val="true"/>
            <c:showCatName val="false"/>
            <c:showSerName val="false"/>
            <c:showPercent val="false"/>
            <c:showBubbleSize val="false"/>
            <c:showLeaderLines val="false"/>
            <c:extLst>
              <c:ext xmlns:c15="http://schemas.microsoft.com/office/drawing/2012/chart" uri="{CE6537A1-D6FC-4f65-9D91-7224C49458BB}">
                <c15:layout/>
                <c15:showLeaderLines val="false"/>
                <c15:leaderLines/>
              </c:ext>
            </c:extLst>
          </c:dLbls>
          <c:cat>
            <c:strRef>
              <c:f>Sheet1!$B$1:$C$1</c:f>
              <c:strCache>
                <c:ptCount val="2"/>
                <c:pt idx="0">
                  <c:v>2021年</c:v>
                </c:pt>
                <c:pt idx="1">
                  <c:v>2022年</c:v>
                </c:pt>
              </c:strCache>
            </c:strRef>
          </c:cat>
          <c:val>
            <c:numRef>
              <c:f>Sheet1!$B$2:$C$2</c:f>
              <c:numCache>
                <c:formatCode>General</c:formatCode>
                <c:ptCount val="2"/>
                <c:pt idx="0">
                  <c:v>390.94</c:v>
                </c:pt>
                <c:pt idx="1">
                  <c:v>389.429999999999</c:v>
                </c:pt>
              </c:numCache>
            </c:numRef>
          </c:val>
        </c:ser>
        <c:dLbls>
          <c:showLegendKey val="false"/>
          <c:showVal val="true"/>
          <c:showCatName val="false"/>
          <c:showSerName val="false"/>
          <c:showPercent val="false"/>
          <c:showBubbleSize val="false"/>
        </c:dLbls>
        <c:gapWidth val="150"/>
        <c:axId val="167901824"/>
        <c:axId val="178116480"/>
      </c:barChart>
      <c:catAx>
        <c:axId val="167901824"/>
        <c:scaling>
          <c:orientation val="minMax"/>
        </c:scaling>
        <c:delete val="false"/>
        <c:axPos val="b"/>
        <c:numFmt formatCode="General" sourceLinked="true"/>
        <c:majorTickMark val="in"/>
        <c:minorTickMark val="none"/>
        <c:tickLblPos val="low"/>
        <c:spPr>
          <a:ln w="3364" cap="flat" cmpd="sng" algn="ctr">
            <a:solidFill>
              <a:srgbClr val="000000"/>
            </a:solidFill>
            <a:prstDash val="solid"/>
            <a:round/>
          </a:ln>
        </c:spPr>
        <c:txPr>
          <a:bodyPr rot="0" spcFirstLastPara="0" vertOverflow="ellipsis" vert="horz" wrap="square" anchor="ctr" anchorCtr="true"/>
          <a:lstStyle/>
          <a:p>
            <a:pPr>
              <a:defRPr lang="zh-CN" sz="1565"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178116480"/>
        <c:crosses val="autoZero"/>
        <c:auto val="true"/>
        <c:lblAlgn val="ctr"/>
        <c:lblOffset val="100"/>
        <c:tickLblSkip val="1"/>
        <c:noMultiLvlLbl val="false"/>
      </c:catAx>
      <c:valAx>
        <c:axId val="178116480"/>
        <c:scaling>
          <c:orientation val="minMax"/>
          <c:max val="392"/>
          <c:min val="388"/>
        </c:scaling>
        <c:delete val="false"/>
        <c:axPos val="l"/>
        <c:majorGridlines>
          <c:spPr>
            <a:ln w="3364" cap="flat" cmpd="sng" algn="ctr">
              <a:solidFill>
                <a:srgbClr val="000000"/>
              </a:solidFill>
              <a:prstDash val="solid"/>
              <a:round/>
            </a:ln>
          </c:spPr>
        </c:majorGridlines>
        <c:numFmt formatCode="General" sourceLinked="true"/>
        <c:majorTickMark val="in"/>
        <c:minorTickMark val="none"/>
        <c:tickLblPos val="nextTo"/>
        <c:spPr>
          <a:ln w="3364" cap="flat" cmpd="sng" algn="ctr">
            <a:solidFill>
              <a:srgbClr val="000000"/>
            </a:solidFill>
            <a:prstDash val="solid"/>
            <a:round/>
          </a:ln>
        </c:spPr>
        <c:txPr>
          <a:bodyPr rot="0" spcFirstLastPara="0" vertOverflow="ellipsis" vert="horz" wrap="square" anchor="ctr" anchorCtr="true"/>
          <a:lstStyle/>
          <a:p>
            <a:pPr>
              <a:defRPr lang="zh-CN" sz="1565"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167901824"/>
        <c:crosses val="autoZero"/>
        <c:crossBetween val="between"/>
        <c:majorUnit val="1"/>
        <c:minorUnit val="0.1"/>
      </c:valAx>
      <c:spPr>
        <a:noFill/>
        <a:ln w="12700">
          <a:solidFill>
            <a:srgbClr val="808080"/>
          </a:solidFill>
          <a:prstDash val="solid"/>
        </a:ln>
        <a:effectLst/>
      </c:spPr>
    </c:plotArea>
    <c:plotVisOnly val="true"/>
    <c:dispBlanksAs val="gap"/>
    <c:showDLblsOverMax val="false"/>
  </c:chart>
  <c:spPr>
    <a:noFill/>
    <a:ln w="13458" cap="flat" cmpd="sng" algn="ctr">
      <a:solidFill>
        <a:srgbClr val="000000"/>
      </a:solidFill>
      <a:prstDash val="solid"/>
      <a:round/>
    </a:ln>
  </c:spPr>
  <c:txPr>
    <a:bodyPr/>
    <a:lstStyle/>
    <a:p>
      <a:pPr>
        <a:defRPr lang="zh-CN" sz="1565"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false"/>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true"/>
          <a:lstStyle/>
          <a:p>
            <a:pPr>
              <a:defRPr lang="zh-CN" sz="1600" b="0" i="0" u="none" strike="noStrike" kern="1200" baseline="0">
                <a:solidFill>
                  <a:srgbClr val="000000"/>
                </a:solidFill>
                <a:latin typeface="仿宋_GB2312" panose="02010609030101010101" pitchFamily="3" charset="-122"/>
                <a:ea typeface="仿宋_GB2312" panose="02010609030101010101" pitchFamily="3" charset="-122"/>
                <a:cs typeface="宋体" panose="02010600030101010101" charset="-122"/>
              </a:defRPr>
            </a:pPr>
            <a:r>
              <a:rPr lang="zh-CN" altLang="en-US" sz="1400" b="0" i="0" u="none" strike="noStrike" baseline="0">
                <a:latin typeface="+mn-ea"/>
                <a:ea typeface="+mn-ea"/>
              </a:rPr>
              <a:t>收入决算结构图</a:t>
            </a:r>
            <a:endParaRPr lang="zh-CN" altLang="en-US" sz="1400">
              <a:latin typeface="+mn-ea"/>
              <a:ea typeface="+mn-ea"/>
            </a:endParaRPr>
          </a:p>
        </c:rich>
      </c:tx>
      <c:layout>
        <c:manualLayout>
          <c:xMode val="edge"/>
          <c:yMode val="edge"/>
          <c:x val="0.323018316500587"/>
          <c:y val="0.0480632000207895"/>
        </c:manualLayout>
      </c:layout>
      <c:overlay val="false"/>
      <c:spPr>
        <a:noFill/>
        <a:ln w="26732">
          <a:noFill/>
        </a:ln>
      </c:spPr>
    </c:title>
    <c:autoTitleDeleted val="false"/>
    <c:plotArea>
      <c:layout>
        <c:manualLayout>
          <c:layoutTarget val="inner"/>
          <c:xMode val="edge"/>
          <c:yMode val="edge"/>
          <c:x val="0.121794871794872"/>
          <c:y val="0.205776173285199"/>
          <c:w val="0.420940170940173"/>
          <c:h val="0.711191335740076"/>
        </c:manualLayout>
      </c:layout>
      <c:pieChart>
        <c:varyColors val="true"/>
        <c:ser>
          <c:idx val="0"/>
          <c:order val="0"/>
          <c:tx>
            <c:strRef>
              <c:f>Sheet1!$A$2</c:f>
              <c:strCache>
                <c:ptCount val="1"/>
                <c:pt idx="0">
                  <c:v/>
                </c:pt>
              </c:strCache>
            </c:strRef>
          </c:tx>
          <c:spPr>
            <a:solidFill>
              <a:srgbClr val="9999FF"/>
            </a:solidFill>
            <a:ln w="13366">
              <a:solidFill>
                <a:srgbClr val="000000"/>
              </a:solidFill>
              <a:prstDash val="solid"/>
            </a:ln>
          </c:spPr>
          <c:explosion val="0"/>
          <c:dPt>
            <c:idx val="0"/>
            <c:bubble3D val="false"/>
            <c:spPr>
              <a:solidFill>
                <a:srgbClr val="9999FF"/>
              </a:solidFill>
              <a:ln w="13366">
                <a:solidFill>
                  <a:srgbClr val="000000"/>
                </a:solidFill>
                <a:prstDash val="solid"/>
              </a:ln>
            </c:spPr>
          </c:dPt>
          <c:dLbls>
            <c:dLbl>
              <c:idx val="0"/>
              <c:layout>
                <c:manualLayout>
                  <c:x val="0.0168522944193843"/>
                  <c:y val="-0.311542404655046"/>
                </c:manualLayout>
              </c:layout>
              <c:dLblPos val="bestFit"/>
              <c:showLegendKey val="false"/>
              <c:showVal val="false"/>
              <c:showCatName val="false"/>
              <c:showSerName val="false"/>
              <c:showPercent val="true"/>
              <c:showBubbleSize val="false"/>
              <c:extLst>
                <c:ext xmlns:c15="http://schemas.microsoft.com/office/drawing/2012/chart" uri="{CE6537A1-D6FC-4f65-9D91-7224C49458BB}">
                  <c15:layout/>
                </c:ext>
              </c:extLst>
            </c:dLbl>
            <c:numFmt formatCode="0%" sourceLinked="false"/>
            <c:spPr>
              <a:noFill/>
              <a:ln w="26732">
                <a:noFill/>
              </a:ln>
              <a:effectLst/>
            </c:spPr>
            <c:txPr>
              <a:bodyPr rot="0" spcFirstLastPara="0" vertOverflow="ellipsis" vert="horz" wrap="square" lIns="38100" tIns="19050" rIns="38100" bIns="19050" anchor="ctr" anchorCtr="true"/>
              <a:lstStyle/>
              <a:p>
                <a:pPr>
                  <a:defRPr lang="zh-CN" sz="1600" b="1"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false"/>
            <c:showVal val="false"/>
            <c:showCatName val="false"/>
            <c:showSerName val="false"/>
            <c:showPercent val="true"/>
            <c:showBubbleSize val="false"/>
            <c:showLeaderLines val="true"/>
            <c:extLst>
              <c:ext xmlns:c15="http://schemas.microsoft.com/office/drawing/2012/chart" uri="{CE6537A1-D6FC-4f65-9D91-7224C49458BB}">
                <c15:layout/>
                <c15:showLeaderLines val="true"/>
                <c15:leaderLines/>
              </c:ext>
            </c:extLst>
          </c:dLbls>
          <c:cat>
            <c:strRef>
              <c:f>Sheet1!$B$1:$B$1</c:f>
              <c:strCache>
                <c:ptCount val="1"/>
                <c:pt idx="0">
                  <c:v>一般公共预算财政拨款收入</c:v>
                </c:pt>
              </c:strCache>
            </c:strRef>
          </c:cat>
          <c:val>
            <c:numRef>
              <c:f>Sheet1!$B$2:$B$2</c:f>
              <c:numCache>
                <c:formatCode>General</c:formatCode>
                <c:ptCount val="1"/>
                <c:pt idx="0">
                  <c:v>100</c:v>
                </c:pt>
              </c:numCache>
            </c:numRef>
          </c:val>
        </c:ser>
        <c:ser>
          <c:idx val="1"/>
          <c:order val="1"/>
          <c:tx>
            <c:strRef>
              <c:f>Sheet1!$A$3</c:f>
              <c:strCache>
                <c:ptCount val="1"/>
                <c:pt idx="0">
                  <c:v/>
                </c:pt>
              </c:strCache>
            </c:strRef>
          </c:tx>
          <c:spPr>
            <a:solidFill>
              <a:srgbClr val="993366"/>
            </a:solidFill>
            <a:ln w="13366">
              <a:solidFill>
                <a:srgbClr val="000000"/>
              </a:solidFill>
              <a:prstDash val="solid"/>
            </a:ln>
          </c:spPr>
          <c:explosion val="0"/>
          <c:dPt>
            <c:idx val="0"/>
            <c:bubble3D val="false"/>
            <c:spPr>
              <a:solidFill>
                <a:srgbClr val="9999FF"/>
              </a:solidFill>
              <a:ln w="13366">
                <a:solidFill>
                  <a:srgbClr val="000000"/>
                </a:solidFill>
                <a:prstDash val="solid"/>
              </a:ln>
            </c:spPr>
          </c:dPt>
          <c:dLbls>
            <c:numFmt formatCode="0%" sourceLinked="false"/>
            <c:spPr>
              <a:noFill/>
              <a:ln w="26732">
                <a:noFill/>
              </a:ln>
              <a:effectLst/>
            </c:spPr>
            <c:txPr>
              <a:bodyPr rot="0" spcFirstLastPara="0" vertOverflow="ellipsis" vert="horz" wrap="square" lIns="38100" tIns="19050" rIns="38100" bIns="19050" anchor="ctr" anchorCtr="true"/>
              <a:lstStyle/>
              <a:p>
                <a:pPr>
                  <a:defRPr lang="zh-CN" sz="1265"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false"/>
            <c:showVal val="false"/>
            <c:showCatName val="false"/>
            <c:showSerName val="false"/>
            <c:showPercent val="true"/>
            <c:showBubbleSize val="false"/>
            <c:showLeaderLines val="true"/>
            <c:extLst>
              <c:ext xmlns:c15="http://schemas.microsoft.com/office/drawing/2012/chart" uri="{CE6537A1-D6FC-4f65-9D91-7224C49458BB}">
                <c15:layout/>
                <c15:showLeaderLines val="true"/>
                <c15:leaderLines/>
              </c:ext>
            </c:extLst>
          </c:dLbls>
          <c:cat>
            <c:strRef>
              <c:f>Sheet1!$B$1:$B$1</c:f>
              <c:strCache>
                <c:ptCount val="1"/>
                <c:pt idx="0">
                  <c:v>一般公共预算财政拨款收入</c:v>
                </c:pt>
              </c:strCache>
            </c:strRef>
          </c:cat>
          <c:val>
            <c:numRef>
              <c:f>Sheet1!$B$3:$B$3</c:f>
              <c:numCache>
                <c:formatCode>General</c:formatCode>
                <c:ptCount val="1"/>
                <c:pt idx="0">
                  <c:v>0</c:v>
                </c:pt>
              </c:numCache>
            </c:numRef>
          </c:val>
        </c:ser>
        <c:ser>
          <c:idx val="2"/>
          <c:order val="2"/>
          <c:tx>
            <c:strRef>
              <c:f>Sheet1!$A$4</c:f>
              <c:strCache>
                <c:ptCount val="1"/>
                <c:pt idx="0">
                  <c:v/>
                </c:pt>
              </c:strCache>
            </c:strRef>
          </c:tx>
          <c:spPr>
            <a:solidFill>
              <a:srgbClr val="FFFFCC"/>
            </a:solidFill>
            <a:ln w="13366">
              <a:solidFill>
                <a:srgbClr val="000000"/>
              </a:solidFill>
              <a:prstDash val="solid"/>
            </a:ln>
          </c:spPr>
          <c:explosion val="0"/>
          <c:dPt>
            <c:idx val="0"/>
            <c:bubble3D val="false"/>
            <c:spPr>
              <a:solidFill>
                <a:srgbClr val="9999FF"/>
              </a:solidFill>
              <a:ln w="13366">
                <a:solidFill>
                  <a:srgbClr val="000000"/>
                </a:solidFill>
                <a:prstDash val="solid"/>
              </a:ln>
            </c:spPr>
          </c:dPt>
          <c:dLbls>
            <c:numFmt formatCode="0%" sourceLinked="false"/>
            <c:spPr>
              <a:noFill/>
              <a:ln w="26732">
                <a:noFill/>
              </a:ln>
              <a:effectLst/>
            </c:spPr>
            <c:txPr>
              <a:bodyPr rot="0" spcFirstLastPara="0" vertOverflow="ellipsis" vert="horz" wrap="square" lIns="38100" tIns="19050" rIns="38100" bIns="19050" anchor="ctr" anchorCtr="true"/>
              <a:lstStyle/>
              <a:p>
                <a:pPr>
                  <a:defRPr lang="zh-CN" sz="1265"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false"/>
            <c:showVal val="false"/>
            <c:showCatName val="false"/>
            <c:showSerName val="false"/>
            <c:showPercent val="true"/>
            <c:showBubbleSize val="false"/>
            <c:showLeaderLines val="true"/>
            <c:extLst>
              <c:ext xmlns:c15="http://schemas.microsoft.com/office/drawing/2012/chart" uri="{CE6537A1-D6FC-4f65-9D91-7224C49458BB}">
                <c15:layout/>
                <c15:showLeaderLines val="true"/>
                <c15:leaderLines/>
              </c:ext>
            </c:extLst>
          </c:dLbls>
          <c:cat>
            <c:strRef>
              <c:f>Sheet1!$B$1:$B$1</c:f>
              <c:strCache>
                <c:ptCount val="1"/>
                <c:pt idx="0">
                  <c:v>一般公共预算财政拨款收入</c:v>
                </c:pt>
              </c:strCache>
            </c:strRef>
          </c:cat>
          <c:val>
            <c:numRef>
              <c:f>Sheet1!$B$4:$B$4</c:f>
              <c:numCache>
                <c:formatCode>General</c:formatCode>
                <c:ptCount val="1"/>
                <c:pt idx="0">
                  <c:v>0</c:v>
                </c:pt>
              </c:numCache>
            </c:numRef>
          </c:val>
        </c:ser>
        <c:dLbls>
          <c:showLegendKey val="false"/>
          <c:showVal val="false"/>
          <c:showCatName val="false"/>
          <c:showSerName val="false"/>
          <c:showPercent val="true"/>
          <c:showBubbleSize val="false"/>
          <c:showLeaderLines val="true"/>
        </c:dLbls>
        <c:firstSliceAng val="0"/>
      </c:pieChart>
      <c:spPr>
        <a:solidFill>
          <a:srgbClr val="C0C0C0"/>
        </a:solidFill>
        <a:ln w="26732">
          <a:noFill/>
        </a:ln>
      </c:spPr>
    </c:plotArea>
    <c:legend>
      <c:legendPos val="r"/>
      <c:layout>
        <c:manualLayout>
          <c:xMode val="edge"/>
          <c:yMode val="edge"/>
          <c:x val="0.608974358974359"/>
          <c:y val="0.490974729241885"/>
          <c:w val="0.324786324786325"/>
          <c:h val="0.144404332129967"/>
        </c:manualLayout>
      </c:layout>
      <c:overlay val="false"/>
      <c:spPr>
        <a:noFill/>
        <a:ln w="3341">
          <a:solidFill>
            <a:srgbClr val="000000"/>
          </a:solidFill>
          <a:prstDash val="solid"/>
        </a:ln>
      </c:spPr>
      <c:txPr>
        <a:bodyPr rot="0" spcFirstLastPara="0" vertOverflow="ellipsis" vert="horz" wrap="square" anchor="ctr" anchorCtr="true"/>
        <a:lstStyle/>
        <a:p>
          <a:pPr>
            <a:defRPr lang="zh-CN" sz="116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true"/>
    <c:dispBlanksAs val="zero"/>
    <c:showDLblsOverMax val="false"/>
  </c:chart>
  <c:spPr>
    <a:noFill/>
    <a:ln w="13366" cap="flat" cmpd="sng" algn="ctr">
      <a:solidFill>
        <a:srgbClr val="000000"/>
      </a:solidFill>
      <a:prstDash val="solid"/>
      <a:round/>
    </a:ln>
  </c:spPr>
  <c:txPr>
    <a:bodyPr/>
    <a:lstStyle/>
    <a:p>
      <a:pPr>
        <a:defRPr lang="zh-CN" sz="1265"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false"/>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true"/>
          <a:lstStyle/>
          <a:p>
            <a:pPr>
              <a:defRPr lang="zh-CN" sz="1580" b="0" i="0" u="none" strike="noStrike" kern="1200" baseline="0">
                <a:solidFill>
                  <a:srgbClr val="000000"/>
                </a:solidFill>
                <a:latin typeface="宋体" panose="02010600030101010101" charset="-122"/>
                <a:ea typeface="宋体" panose="02010600030101010101" charset="-122"/>
                <a:cs typeface="宋体" panose="02010600030101010101" charset="-122"/>
              </a:defRPr>
            </a:pPr>
            <a:r>
              <a:rPr lang="zh-CN" altLang="en-US" sz="1400"/>
              <a:t>支出决算结构图</a:t>
            </a:r>
            <a:endParaRPr lang="zh-CN" altLang="en-US" sz="1400"/>
          </a:p>
        </c:rich>
      </c:tx>
      <c:layout>
        <c:manualLayout>
          <c:xMode val="edge"/>
          <c:yMode val="edge"/>
          <c:x val="0.341991436770503"/>
          <c:y val="0.0355599694182372"/>
        </c:manualLayout>
      </c:layout>
      <c:overlay val="false"/>
      <c:spPr>
        <a:noFill/>
        <a:ln w="26772">
          <a:noFill/>
        </a:ln>
      </c:spPr>
    </c:title>
    <c:autoTitleDeleted val="false"/>
    <c:plotArea>
      <c:layout>
        <c:manualLayout>
          <c:layoutTarget val="inner"/>
          <c:xMode val="edge"/>
          <c:yMode val="edge"/>
          <c:x val="0.145021645021645"/>
          <c:y val="0.231270358306189"/>
          <c:w val="0.456709956709957"/>
          <c:h val="0.687296416938119"/>
        </c:manualLayout>
      </c:layout>
      <c:pieChart>
        <c:varyColors val="true"/>
        <c:ser>
          <c:idx val="0"/>
          <c:order val="0"/>
          <c:tx>
            <c:strRef>
              <c:f>Sheet1!$A$2</c:f>
              <c:strCache>
                <c:ptCount val="1"/>
                <c:pt idx="0">
                  <c:v> </c:v>
                </c:pt>
              </c:strCache>
            </c:strRef>
          </c:tx>
          <c:spPr>
            <a:solidFill>
              <a:srgbClr val="9999FF"/>
            </a:solidFill>
            <a:ln w="13386">
              <a:solidFill>
                <a:srgbClr val="000000"/>
              </a:solidFill>
              <a:prstDash val="solid"/>
            </a:ln>
          </c:spPr>
          <c:explosion val="0"/>
          <c:dPt>
            <c:idx val="0"/>
            <c:bubble3D val="false"/>
            <c:spPr>
              <a:solidFill>
                <a:srgbClr val="9999FF"/>
              </a:solidFill>
              <a:ln w="13386">
                <a:solidFill>
                  <a:srgbClr val="000000"/>
                </a:solidFill>
                <a:prstDash val="solid"/>
              </a:ln>
            </c:spPr>
          </c:dPt>
          <c:dPt>
            <c:idx val="1"/>
            <c:bubble3D val="false"/>
            <c:spPr>
              <a:solidFill>
                <a:srgbClr val="993366"/>
              </a:solidFill>
              <a:ln w="13386">
                <a:solidFill>
                  <a:srgbClr val="000000"/>
                </a:solidFill>
                <a:prstDash val="solid"/>
              </a:ln>
            </c:spPr>
          </c:dPt>
          <c:dLbls>
            <c:dLbl>
              <c:idx val="0"/>
              <c:layout>
                <c:manualLayout>
                  <c:x val="-0.173800528869503"/>
                  <c:y val="-0.223940380733664"/>
                </c:manualLayout>
              </c:layout>
              <c:tx>
                <c:rich>
                  <a:bodyPr rot="0" spcFirstLastPara="0" vertOverflow="ellipsis" vert="horz" wrap="square" lIns="38100" tIns="19050" rIns="38100" bIns="19050" anchor="ctr" anchorCtr="true"/>
                  <a:lstStyle/>
                  <a:p>
                    <a:pPr>
                      <a:defRPr lang="zh-CN" sz="1580" b="1" i="0" u="none" strike="noStrike" kern="1200" baseline="0">
                        <a:solidFill>
                          <a:srgbClr val="000000"/>
                        </a:solidFill>
                        <a:latin typeface="宋体" panose="02010600030101010101" charset="-122"/>
                        <a:ea typeface="宋体" panose="02010600030101010101" charset="-122"/>
                        <a:cs typeface="宋体" panose="02010600030101010101" charset="-122"/>
                      </a:defRPr>
                    </a:pPr>
                    <a:r>
                      <a:rPr lang="en-US" altLang="zh-CN" b="1"/>
                      <a:t>82.91%</a:t>
                    </a:r>
                    <a:endParaRPr lang="en-US" altLang="zh-CN" b="1"/>
                  </a:p>
                </c:rich>
              </c:tx>
              <c:numFmt formatCode="0%" sourceLinked="false"/>
              <c:spPr>
                <a:noFill/>
                <a:ln w="26772">
                  <a:noFill/>
                </a:ln>
                <a:effectLst/>
              </c:spPr>
              <c:txPr>
                <a:bodyPr rot="0" spcFirstLastPara="0" vertOverflow="ellipsis" vert="horz" wrap="square" lIns="38100" tIns="19050" rIns="38100" bIns="19050" anchor="ctr" anchorCtr="true"/>
                <a:lstStyle/>
                <a:p>
                  <a:pPr>
                    <a:defRPr lang="zh-CN" sz="1580" b="1"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false"/>
              <c:showVal val="false"/>
              <c:showCatName val="false"/>
              <c:showSerName val="false"/>
              <c:showPercent val="true"/>
              <c:showBubbleSize val="false"/>
              <c:extLst>
                <c:ext xmlns:c15="http://schemas.microsoft.com/office/drawing/2012/chart" uri="{CE6537A1-D6FC-4f65-9D91-7224C49458BB}">
                  <c15:layout/>
                </c:ext>
              </c:extLst>
            </c:dLbl>
            <c:dLbl>
              <c:idx val="1"/>
              <c:layout>
                <c:manualLayout>
                  <c:x val="0.122393861641178"/>
                  <c:y val="0.182306056679624"/>
                </c:manualLayout>
              </c:layout>
              <c:tx>
                <c:rich>
                  <a:bodyPr rot="0" spcFirstLastPara="0" vertOverflow="ellipsis" vert="horz" wrap="square" lIns="38100" tIns="19050" rIns="38100" bIns="19050" anchor="ctr" anchorCtr="true"/>
                  <a:lstStyle/>
                  <a:p>
                    <a:pPr>
                      <a:defRPr lang="zh-CN" sz="1580" b="1" i="0" u="none" strike="noStrike" kern="1200" baseline="0">
                        <a:solidFill>
                          <a:srgbClr val="000000"/>
                        </a:solidFill>
                        <a:latin typeface="宋体" panose="02010600030101010101" charset="-122"/>
                        <a:ea typeface="宋体" panose="02010600030101010101" charset="-122"/>
                        <a:cs typeface="宋体" panose="02010600030101010101" charset="-122"/>
                      </a:defRPr>
                    </a:pPr>
                    <a:r>
                      <a:rPr lang="en-US" altLang="zh-CN" b="1"/>
                      <a:t>17.09%</a:t>
                    </a:r>
                    <a:endParaRPr lang="en-US" altLang="zh-CN" b="1"/>
                  </a:p>
                </c:rich>
              </c:tx>
              <c:numFmt formatCode="0%" sourceLinked="false"/>
              <c:spPr>
                <a:noFill/>
                <a:ln w="26772">
                  <a:noFill/>
                </a:ln>
                <a:effectLst/>
              </c:spPr>
              <c:txPr>
                <a:bodyPr rot="0" spcFirstLastPara="0" vertOverflow="ellipsis" vert="horz" wrap="square" lIns="38100" tIns="19050" rIns="38100" bIns="19050" anchor="ctr" anchorCtr="true"/>
                <a:lstStyle/>
                <a:p>
                  <a:pPr>
                    <a:defRPr lang="zh-CN" sz="1580" b="1"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false"/>
              <c:showVal val="false"/>
              <c:showCatName val="false"/>
              <c:showSerName val="false"/>
              <c:showPercent val="true"/>
              <c:showBubbleSize val="false"/>
              <c:extLst>
                <c:ext xmlns:c15="http://schemas.microsoft.com/office/drawing/2012/chart" uri="{CE6537A1-D6FC-4f65-9D91-7224C49458BB}">
                  <c15:layout/>
                </c:ext>
              </c:extLst>
            </c:dLbl>
            <c:numFmt formatCode="0%" sourceLinked="false"/>
            <c:spPr>
              <a:noFill/>
              <a:ln w="26772">
                <a:noFill/>
              </a:ln>
              <a:effectLst/>
            </c:spPr>
            <c:txPr>
              <a:bodyPr rot="0" spcFirstLastPara="0" vertOverflow="ellipsis" vert="horz" wrap="square" lIns="38100" tIns="19050" rIns="38100" bIns="19050" anchor="ctr" anchorCtr="true"/>
              <a:lstStyle/>
              <a:p>
                <a:pPr>
                  <a:defRPr lang="zh-CN" sz="158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false"/>
            <c:showVal val="false"/>
            <c:showCatName val="false"/>
            <c:showSerName val="false"/>
            <c:showPercent val="true"/>
            <c:showBubbleSize val="false"/>
            <c:showLeaderLines val="true"/>
            <c:extLst>
              <c:ext xmlns:c15="http://schemas.microsoft.com/office/drawing/2012/chart" uri="{CE6537A1-D6FC-4f65-9D91-7224C49458BB}">
                <c15:layout/>
                <c15:showLeaderLines val="true"/>
                <c15:leaderLines/>
              </c:ext>
            </c:extLst>
          </c:dLbls>
          <c:cat>
            <c:strRef>
              <c:f>Sheet1!$B$1:$C$1</c:f>
              <c:strCache>
                <c:ptCount val="2"/>
                <c:pt idx="0">
                  <c:v>基本支出</c:v>
                </c:pt>
                <c:pt idx="1">
                  <c:v>项目支出</c:v>
                </c:pt>
              </c:strCache>
            </c:strRef>
          </c:cat>
          <c:val>
            <c:numRef>
              <c:f>Sheet1!$B$2:$C$2</c:f>
              <c:numCache>
                <c:formatCode>General</c:formatCode>
                <c:ptCount val="2"/>
                <c:pt idx="0">
                  <c:v>322.88</c:v>
                </c:pt>
                <c:pt idx="1">
                  <c:v>66.55</c:v>
                </c:pt>
              </c:numCache>
            </c:numRef>
          </c:val>
        </c:ser>
        <c:ser>
          <c:idx val="1"/>
          <c:order val="1"/>
          <c:tx>
            <c:strRef>
              <c:f>Sheet1!$A$3</c:f>
              <c:strCache>
                <c:ptCount val="1"/>
                <c:pt idx="0">
                  <c:v> </c:v>
                </c:pt>
              </c:strCache>
            </c:strRef>
          </c:tx>
          <c:spPr>
            <a:solidFill>
              <a:srgbClr val="993366"/>
            </a:solidFill>
            <a:ln w="13386">
              <a:solidFill>
                <a:srgbClr val="000000"/>
              </a:solidFill>
              <a:prstDash val="solid"/>
            </a:ln>
          </c:spPr>
          <c:explosion val="0"/>
          <c:dPt>
            <c:idx val="0"/>
            <c:bubble3D val="false"/>
            <c:spPr>
              <a:solidFill>
                <a:srgbClr val="9999FF"/>
              </a:solidFill>
              <a:ln w="13386">
                <a:solidFill>
                  <a:srgbClr val="000000"/>
                </a:solidFill>
                <a:prstDash val="solid"/>
              </a:ln>
            </c:spPr>
          </c:dPt>
          <c:dPt>
            <c:idx val="1"/>
            <c:bubble3D val="false"/>
            <c:spPr>
              <a:solidFill>
                <a:srgbClr val="993366"/>
              </a:solidFill>
              <a:ln w="13386">
                <a:solidFill>
                  <a:srgbClr val="000000"/>
                </a:solidFill>
                <a:prstDash val="solid"/>
              </a:ln>
            </c:spPr>
          </c:dPt>
          <c:dLbls>
            <c:numFmt formatCode="0%" sourceLinked="false"/>
            <c:spPr>
              <a:noFill/>
              <a:ln w="26772">
                <a:noFill/>
              </a:ln>
              <a:effectLst/>
            </c:spPr>
            <c:txPr>
              <a:bodyPr rot="0" spcFirstLastPara="0" vertOverflow="ellipsis" vert="horz" wrap="square" lIns="38100" tIns="19050" rIns="38100" bIns="19050" anchor="ctr" anchorCtr="true"/>
              <a:lstStyle/>
              <a:p>
                <a:pPr>
                  <a:defRPr lang="zh-CN" sz="158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false"/>
            <c:showVal val="false"/>
            <c:showCatName val="false"/>
            <c:showSerName val="false"/>
            <c:showPercent val="true"/>
            <c:showBubbleSize val="false"/>
            <c:showLeaderLines val="true"/>
            <c:extLst>
              <c:ext xmlns:c15="http://schemas.microsoft.com/office/drawing/2012/chart" uri="{CE6537A1-D6FC-4f65-9D91-7224C49458BB}">
                <c15:layout/>
                <c15:showLeaderLines val="true"/>
                <c15:leaderLines/>
              </c:ext>
            </c:extLst>
          </c:dLbls>
          <c:cat>
            <c:strRef>
              <c:f>Sheet1!$B$1:$C$1</c:f>
              <c:strCache>
                <c:ptCount val="2"/>
                <c:pt idx="0">
                  <c:v>基本支出</c:v>
                </c:pt>
                <c:pt idx="1">
                  <c:v>项目支出</c:v>
                </c:pt>
              </c:strCache>
            </c:strRef>
          </c:cat>
          <c:val>
            <c:numRef>
              <c:f>Sheet1!$B$3:$C$3</c:f>
              <c:numCache>
                <c:formatCode>General</c:formatCode>
                <c:ptCount val="2"/>
              </c:numCache>
            </c:numRef>
          </c:val>
        </c:ser>
        <c:ser>
          <c:idx val="2"/>
          <c:order val="2"/>
          <c:tx>
            <c:strRef>
              <c:f>Sheet1!$A$4</c:f>
              <c:strCache>
                <c:ptCount val="1"/>
                <c:pt idx="0">
                  <c:v> </c:v>
                </c:pt>
              </c:strCache>
            </c:strRef>
          </c:tx>
          <c:spPr>
            <a:solidFill>
              <a:srgbClr val="FFFFCC"/>
            </a:solidFill>
            <a:ln w="13386">
              <a:solidFill>
                <a:srgbClr val="000000"/>
              </a:solidFill>
              <a:prstDash val="solid"/>
            </a:ln>
          </c:spPr>
          <c:explosion val="0"/>
          <c:dPt>
            <c:idx val="0"/>
            <c:bubble3D val="false"/>
            <c:spPr>
              <a:solidFill>
                <a:srgbClr val="9999FF"/>
              </a:solidFill>
              <a:ln w="13386">
                <a:solidFill>
                  <a:srgbClr val="000000"/>
                </a:solidFill>
                <a:prstDash val="solid"/>
              </a:ln>
            </c:spPr>
          </c:dPt>
          <c:dPt>
            <c:idx val="1"/>
            <c:bubble3D val="false"/>
            <c:spPr>
              <a:solidFill>
                <a:srgbClr val="993366"/>
              </a:solidFill>
              <a:ln w="13386">
                <a:solidFill>
                  <a:srgbClr val="000000"/>
                </a:solidFill>
                <a:prstDash val="solid"/>
              </a:ln>
            </c:spPr>
          </c:dPt>
          <c:dLbls>
            <c:numFmt formatCode="0%" sourceLinked="false"/>
            <c:spPr>
              <a:noFill/>
              <a:ln w="26772">
                <a:noFill/>
              </a:ln>
              <a:effectLst/>
            </c:spPr>
            <c:txPr>
              <a:bodyPr rot="0" spcFirstLastPara="0" vertOverflow="ellipsis" vert="horz" wrap="square" lIns="38100" tIns="19050" rIns="38100" bIns="19050" anchor="ctr" anchorCtr="true"/>
              <a:lstStyle/>
              <a:p>
                <a:pPr>
                  <a:defRPr lang="zh-CN" sz="158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false"/>
            <c:showVal val="false"/>
            <c:showCatName val="false"/>
            <c:showSerName val="false"/>
            <c:showPercent val="true"/>
            <c:showBubbleSize val="false"/>
            <c:showLeaderLines val="true"/>
            <c:extLst>
              <c:ext xmlns:c15="http://schemas.microsoft.com/office/drawing/2012/chart" uri="{CE6537A1-D6FC-4f65-9D91-7224C49458BB}">
                <c15:layout/>
                <c15:showLeaderLines val="true"/>
                <c15:leaderLines/>
              </c:ext>
            </c:extLst>
          </c:dLbls>
          <c:cat>
            <c:strRef>
              <c:f>Sheet1!$B$1:$C$1</c:f>
              <c:strCache>
                <c:ptCount val="2"/>
                <c:pt idx="0">
                  <c:v>基本支出</c:v>
                </c:pt>
                <c:pt idx="1">
                  <c:v>项目支出</c:v>
                </c:pt>
              </c:strCache>
            </c:strRef>
          </c:cat>
          <c:val>
            <c:numRef>
              <c:f>Sheet1!$B$4:$C$4</c:f>
              <c:numCache>
                <c:formatCode>General</c:formatCode>
                <c:ptCount val="2"/>
              </c:numCache>
            </c:numRef>
          </c:val>
        </c:ser>
        <c:dLbls>
          <c:showLegendKey val="false"/>
          <c:showVal val="false"/>
          <c:showCatName val="false"/>
          <c:showSerName val="false"/>
          <c:showPercent val="true"/>
          <c:showBubbleSize val="false"/>
          <c:showLeaderLines val="true"/>
        </c:dLbls>
        <c:firstSliceAng val="0"/>
      </c:pieChart>
      <c:spPr>
        <a:solidFill>
          <a:srgbClr val="C0C0C0"/>
        </a:solidFill>
        <a:ln w="13386">
          <a:solidFill>
            <a:srgbClr val="808080"/>
          </a:solidFill>
          <a:prstDash val="solid"/>
        </a:ln>
      </c:spPr>
    </c:plotArea>
    <c:legend>
      <c:legendPos val="r"/>
      <c:layout>
        <c:manualLayout>
          <c:xMode val="edge"/>
          <c:yMode val="edge"/>
          <c:x val="0.700683963660451"/>
          <c:y val="0.474823484902226"/>
          <c:w val="0.242424242424244"/>
          <c:h val="0.192182410423453"/>
        </c:manualLayout>
      </c:layout>
      <c:overlay val="false"/>
      <c:spPr>
        <a:noFill/>
        <a:ln w="3346">
          <a:solidFill>
            <a:srgbClr val="000000"/>
          </a:solidFill>
          <a:prstDash val="solid"/>
        </a:ln>
      </c:spPr>
      <c:txPr>
        <a:bodyPr rot="0" spcFirstLastPara="0" vertOverflow="ellipsis" vert="horz" wrap="square" anchor="ctr" anchorCtr="true"/>
        <a:lstStyle/>
        <a:p>
          <a:pPr>
            <a:defRPr lang="zh-CN" sz="1455"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true"/>
    <c:dispBlanksAs val="zero"/>
    <c:showDLblsOverMax val="false"/>
  </c:chart>
  <c:spPr>
    <a:noFill/>
    <a:ln w="13386" cap="flat" cmpd="sng" algn="ctr">
      <a:solidFill>
        <a:srgbClr val="000000"/>
      </a:solidFill>
      <a:prstDash val="solid"/>
      <a:round/>
    </a:ln>
  </c:spPr>
  <c:txPr>
    <a:bodyPr/>
    <a:lstStyle/>
    <a:p>
      <a:pPr>
        <a:defRPr lang="zh-CN" sz="158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false"/>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true"/>
          <a:lstStyle/>
          <a:p>
            <a:pPr>
              <a:defRPr lang="zh-CN" sz="1565" b="0" i="0" u="none" strike="noStrike" kern="1200" baseline="0">
                <a:solidFill>
                  <a:srgbClr val="000000"/>
                </a:solidFill>
                <a:latin typeface="宋体" panose="02010600030101010101" charset="-122"/>
                <a:ea typeface="宋体" panose="02010600030101010101" charset="-122"/>
                <a:cs typeface="宋体" panose="02010600030101010101" charset="-122"/>
              </a:defRPr>
            </a:pPr>
            <a:r>
              <a:rPr lang="zh-CN" altLang="en-US" sz="1400" b="0" i="0" u="none" strike="noStrike" baseline="0"/>
              <a:t>财政拨款收、支决算总计变动情况</a:t>
            </a:r>
            <a:r>
              <a:rPr lang="zh-CN" altLang="en-US" sz="1400"/>
              <a:t>（万元）</a:t>
            </a:r>
            <a:endParaRPr lang="zh-CN" altLang="en-US" sz="1400"/>
          </a:p>
        </c:rich>
      </c:tx>
      <c:layout>
        <c:manualLayout>
          <c:xMode val="edge"/>
          <c:yMode val="edge"/>
          <c:x val="0.165501122926644"/>
          <c:y val="0.0371991873108885"/>
        </c:manualLayout>
      </c:layout>
      <c:overlay val="false"/>
      <c:spPr>
        <a:noFill/>
        <a:ln w="26915">
          <a:noFill/>
        </a:ln>
      </c:spPr>
    </c:title>
    <c:autoTitleDeleted val="false"/>
    <c:plotArea>
      <c:layout>
        <c:manualLayout>
          <c:layoutTarget val="inner"/>
          <c:xMode val="edge"/>
          <c:yMode val="edge"/>
          <c:x val="0.11965437310027"/>
          <c:y val="0.178571452153386"/>
          <c:w val="0.879120879120891"/>
          <c:h val="0.668831168831169"/>
        </c:manualLayout>
      </c:layout>
      <c:barChart>
        <c:barDir val="col"/>
        <c:grouping val="clustered"/>
        <c:varyColors val="false"/>
        <c:ser>
          <c:idx val="0"/>
          <c:order val="0"/>
          <c:tx>
            <c:strRef>
              <c:f>Sheet1!$A$2</c:f>
              <c:strCache>
                <c:ptCount val="1"/>
                <c:pt idx="0">
                  <c:v/>
                </c:pt>
              </c:strCache>
            </c:strRef>
          </c:tx>
          <c:spPr>
            <a:solidFill>
              <a:srgbClr val="9999FF"/>
            </a:solidFill>
            <a:ln w="13458">
              <a:solidFill>
                <a:srgbClr val="000000"/>
              </a:solidFill>
              <a:prstDash val="solid"/>
            </a:ln>
          </c:spPr>
          <c:invertIfNegative val="false"/>
          <c:dLbls>
            <c:spPr>
              <a:noFill/>
              <a:ln w="26915">
                <a:noFill/>
              </a:ln>
              <a:effectLst/>
            </c:spPr>
            <c:txPr>
              <a:bodyPr rot="0" spcFirstLastPara="0" vertOverflow="ellipsis" vert="horz" wrap="square" lIns="38100" tIns="19050" rIns="38100" bIns="19050" anchor="ctr" anchorCtr="true"/>
              <a:lstStyle/>
              <a:p>
                <a:pPr>
                  <a:defRPr lang="zh-CN" sz="1565"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outEnd"/>
            <c:showLegendKey val="false"/>
            <c:showVal val="true"/>
            <c:showCatName val="false"/>
            <c:showSerName val="false"/>
            <c:showPercent val="false"/>
            <c:showBubbleSize val="false"/>
            <c:showLeaderLines val="false"/>
            <c:extLst>
              <c:ext xmlns:c15="http://schemas.microsoft.com/office/drawing/2012/chart" uri="{CE6537A1-D6FC-4f65-9D91-7224C49458BB}">
                <c15:layout/>
                <c15:showLeaderLines val="false"/>
                <c15:leaderLines/>
              </c:ext>
            </c:extLst>
          </c:dLbls>
          <c:cat>
            <c:strRef>
              <c:f>Sheet1!$B$1:$C$1</c:f>
              <c:strCache>
                <c:ptCount val="2"/>
                <c:pt idx="0">
                  <c:v>2021年</c:v>
                </c:pt>
                <c:pt idx="1">
                  <c:v>2022年</c:v>
                </c:pt>
              </c:strCache>
            </c:strRef>
          </c:cat>
          <c:val>
            <c:numRef>
              <c:f>Sheet1!$B$2:$C$2</c:f>
              <c:numCache>
                <c:formatCode>General</c:formatCode>
                <c:ptCount val="2"/>
                <c:pt idx="0">
                  <c:v>390.94</c:v>
                </c:pt>
                <c:pt idx="1">
                  <c:v>389.429999999999</c:v>
                </c:pt>
              </c:numCache>
            </c:numRef>
          </c:val>
        </c:ser>
        <c:dLbls>
          <c:showLegendKey val="false"/>
          <c:showVal val="true"/>
          <c:showCatName val="false"/>
          <c:showSerName val="false"/>
          <c:showPercent val="false"/>
          <c:showBubbleSize val="false"/>
        </c:dLbls>
        <c:gapWidth val="150"/>
        <c:axId val="412449408"/>
        <c:axId val="264630656"/>
      </c:barChart>
      <c:catAx>
        <c:axId val="412449408"/>
        <c:scaling>
          <c:orientation val="minMax"/>
        </c:scaling>
        <c:delete val="false"/>
        <c:axPos val="b"/>
        <c:numFmt formatCode="General" sourceLinked="true"/>
        <c:majorTickMark val="in"/>
        <c:minorTickMark val="none"/>
        <c:tickLblPos val="low"/>
        <c:spPr>
          <a:ln w="3364" cap="flat" cmpd="sng" algn="ctr">
            <a:solidFill>
              <a:srgbClr val="000000"/>
            </a:solidFill>
            <a:prstDash val="solid"/>
            <a:round/>
          </a:ln>
        </c:spPr>
        <c:txPr>
          <a:bodyPr rot="0" spcFirstLastPara="0" vertOverflow="ellipsis" vert="horz" wrap="square" anchor="ctr" anchorCtr="true"/>
          <a:lstStyle/>
          <a:p>
            <a:pPr>
              <a:defRPr lang="zh-CN" sz="1565"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264630656"/>
        <c:crosses val="autoZero"/>
        <c:auto val="true"/>
        <c:lblAlgn val="ctr"/>
        <c:lblOffset val="100"/>
        <c:tickLblSkip val="1"/>
        <c:noMultiLvlLbl val="false"/>
      </c:catAx>
      <c:valAx>
        <c:axId val="264630656"/>
        <c:scaling>
          <c:orientation val="minMax"/>
          <c:max val="392"/>
          <c:min val="388"/>
        </c:scaling>
        <c:delete val="false"/>
        <c:axPos val="l"/>
        <c:majorGridlines>
          <c:spPr>
            <a:ln w="3364" cap="flat" cmpd="sng" algn="ctr">
              <a:solidFill>
                <a:srgbClr val="000000"/>
              </a:solidFill>
              <a:prstDash val="solid"/>
              <a:round/>
            </a:ln>
          </c:spPr>
        </c:majorGridlines>
        <c:numFmt formatCode="General" sourceLinked="true"/>
        <c:majorTickMark val="in"/>
        <c:minorTickMark val="none"/>
        <c:tickLblPos val="nextTo"/>
        <c:spPr>
          <a:ln w="3364" cap="flat" cmpd="sng" algn="ctr">
            <a:solidFill>
              <a:srgbClr val="000000"/>
            </a:solidFill>
            <a:prstDash val="solid"/>
            <a:round/>
          </a:ln>
        </c:spPr>
        <c:txPr>
          <a:bodyPr rot="0" spcFirstLastPara="0" vertOverflow="ellipsis" vert="horz" wrap="square" anchor="ctr" anchorCtr="true"/>
          <a:lstStyle/>
          <a:p>
            <a:pPr>
              <a:defRPr lang="zh-CN" sz="1565"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412449408"/>
        <c:crosses val="autoZero"/>
        <c:crossBetween val="between"/>
        <c:majorUnit val="1"/>
        <c:minorUnit val="0.1"/>
      </c:valAx>
      <c:spPr>
        <a:noFill/>
        <a:ln w="12700">
          <a:solidFill>
            <a:srgbClr val="808080"/>
          </a:solidFill>
          <a:prstDash val="solid"/>
        </a:ln>
        <a:effectLst/>
      </c:spPr>
    </c:plotArea>
    <c:plotVisOnly val="true"/>
    <c:dispBlanksAs val="gap"/>
    <c:showDLblsOverMax val="false"/>
  </c:chart>
  <c:spPr>
    <a:noFill/>
    <a:ln w="13458" cap="flat" cmpd="sng" algn="ctr">
      <a:solidFill>
        <a:srgbClr val="000000"/>
      </a:solidFill>
      <a:prstDash val="solid"/>
      <a:round/>
    </a:ln>
  </c:spPr>
  <c:txPr>
    <a:bodyPr/>
    <a:lstStyle/>
    <a:p>
      <a:pPr>
        <a:defRPr lang="zh-CN" sz="1565"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false"/>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true"/>
          <a:lstStyle/>
          <a:p>
            <a:pPr>
              <a:defRPr lang="zh-CN" sz="1500" b="0" i="0" u="none" strike="noStrike" kern="1200" baseline="0">
                <a:solidFill>
                  <a:srgbClr val="000000"/>
                </a:solidFill>
                <a:latin typeface="宋体" panose="02010600030101010101" charset="-122"/>
                <a:ea typeface="宋体" panose="02010600030101010101" charset="-122"/>
                <a:cs typeface="宋体" panose="02010600030101010101" charset="-122"/>
              </a:defRPr>
            </a:pPr>
            <a:r>
              <a:rPr lang="zh-CN" altLang="en-US" sz="1400"/>
              <a:t>一般公共预算财政拨款支出决算变动情况 （万元）</a:t>
            </a:r>
            <a:endParaRPr lang="zh-CN" altLang="en-US" sz="1400"/>
          </a:p>
        </c:rich>
      </c:tx>
      <c:layout>
        <c:manualLayout>
          <c:xMode val="edge"/>
          <c:yMode val="edge"/>
          <c:x val="0.178303650188056"/>
          <c:y val="0.0383195324583809"/>
        </c:manualLayout>
      </c:layout>
      <c:overlay val="false"/>
      <c:spPr>
        <a:noFill/>
        <a:ln w="25400">
          <a:noFill/>
        </a:ln>
      </c:spPr>
    </c:title>
    <c:autoTitleDeleted val="false"/>
    <c:plotArea>
      <c:layout>
        <c:manualLayout>
          <c:layoutTarget val="inner"/>
          <c:xMode val="edge"/>
          <c:yMode val="edge"/>
          <c:x val="0.0976138828633406"/>
          <c:y val="0.244047619047619"/>
          <c:w val="0.849554697382575"/>
          <c:h val="0.616071428571436"/>
        </c:manualLayout>
      </c:layout>
      <c:barChart>
        <c:barDir val="col"/>
        <c:grouping val="clustered"/>
        <c:varyColors val="false"/>
        <c:ser>
          <c:idx val="0"/>
          <c:order val="0"/>
          <c:tx>
            <c:strRef>
              <c:f>Sheet1!$A$2</c:f>
              <c:strCache>
                <c:ptCount val="1"/>
                <c:pt idx="0">
                  <c:v/>
                </c:pt>
              </c:strCache>
            </c:strRef>
          </c:tx>
          <c:spPr>
            <a:solidFill>
              <a:srgbClr val="9999FF"/>
            </a:solidFill>
            <a:ln w="12700">
              <a:solidFill>
                <a:srgbClr val="000000"/>
              </a:solidFill>
              <a:prstDash val="solid"/>
            </a:ln>
          </c:spPr>
          <c:invertIfNegative val="false"/>
          <c:dLbls>
            <c:dLbl>
              <c:idx val="0"/>
              <c:layout>
                <c:manualLayout>
                  <c:x val="0"/>
                  <c:y val="-0.0218579234972677"/>
                </c:manualLayout>
              </c:layout>
              <c:dLblPos val="outEnd"/>
              <c:showLegendKey val="false"/>
              <c:showVal val="true"/>
              <c:showCatName val="false"/>
              <c:showSerName val="false"/>
              <c:showPercent val="false"/>
              <c:showBubbleSize val="false"/>
              <c:extLst>
                <c:ext xmlns:c15="http://schemas.microsoft.com/office/drawing/2012/chart" uri="{CE6537A1-D6FC-4f65-9D91-7224C49458BB}">
                  <c15:layout/>
                </c:ext>
              </c:extLst>
            </c:dLbl>
            <c:dLbl>
              <c:idx val="1"/>
              <c:layout>
                <c:manualLayout>
                  <c:x val="-0.0056617126680821"/>
                  <c:y val="0.0218579234972678"/>
                </c:manualLayout>
              </c:layout>
              <c:dLblPos val="outEnd"/>
              <c:showLegendKey val="false"/>
              <c:showVal val="true"/>
              <c:showCatName val="false"/>
              <c:showSerName val="false"/>
              <c:showPercent val="false"/>
              <c:showBubbleSize val="false"/>
              <c:extLst>
                <c:ext xmlns:c15="http://schemas.microsoft.com/office/drawing/2012/chart" uri="{CE6537A1-D6FC-4f65-9D91-7224C49458BB}">
                  <c15:layout/>
                </c:ext>
              </c:extLst>
            </c:dLbl>
            <c:spPr>
              <a:noFill/>
              <a:ln w="25400">
                <a:noFill/>
              </a:ln>
              <a:effectLst/>
            </c:spPr>
            <c:txPr>
              <a:bodyPr rot="0" spcFirstLastPara="0" vertOverflow="ellipsis" vert="horz" wrap="square" lIns="38100" tIns="19050" rIns="38100" bIns="19050" anchor="ctr" anchorCtr="true"/>
              <a:lstStyle/>
              <a:p>
                <a:pPr>
                  <a:defRPr lang="zh-CN" sz="15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outEnd"/>
            <c:showLegendKey val="false"/>
            <c:showVal val="true"/>
            <c:showCatName val="false"/>
            <c:showSerName val="false"/>
            <c:showPercent val="false"/>
            <c:showBubbleSize val="false"/>
            <c:showLeaderLines val="false"/>
            <c:extLst>
              <c:ext xmlns:c15="http://schemas.microsoft.com/office/drawing/2012/chart" uri="{CE6537A1-D6FC-4f65-9D91-7224C49458BB}">
                <c15:layout/>
                <c15:showLeaderLines val="false"/>
                <c15:leaderLines/>
              </c:ext>
            </c:extLst>
          </c:dLbls>
          <c:cat>
            <c:strRef>
              <c:f>Sheet1!$B$1:$C$1</c:f>
              <c:strCache>
                <c:ptCount val="2"/>
                <c:pt idx="0">
                  <c:v>2021年</c:v>
                </c:pt>
                <c:pt idx="1">
                  <c:v>2022年</c:v>
                </c:pt>
              </c:strCache>
            </c:strRef>
          </c:cat>
          <c:val>
            <c:numRef>
              <c:f>Sheet1!$B$2:$C$2</c:f>
              <c:numCache>
                <c:formatCode>General</c:formatCode>
                <c:ptCount val="2"/>
                <c:pt idx="0">
                  <c:v>353.22</c:v>
                </c:pt>
                <c:pt idx="1">
                  <c:v>389.429999999999</c:v>
                </c:pt>
              </c:numCache>
            </c:numRef>
          </c:val>
        </c:ser>
        <c:dLbls>
          <c:showLegendKey val="false"/>
          <c:showVal val="true"/>
          <c:showCatName val="false"/>
          <c:showSerName val="false"/>
          <c:showPercent val="false"/>
          <c:showBubbleSize val="false"/>
        </c:dLbls>
        <c:gapWidth val="150"/>
        <c:axId val="267812864"/>
        <c:axId val="267814400"/>
      </c:barChart>
      <c:catAx>
        <c:axId val="267812864"/>
        <c:scaling>
          <c:orientation val="minMax"/>
        </c:scaling>
        <c:delete val="false"/>
        <c:axPos val="b"/>
        <c:numFmt formatCode="General" sourceLinked="true"/>
        <c:majorTickMark val="in"/>
        <c:minorTickMark val="none"/>
        <c:tickLblPos val="low"/>
        <c:spPr>
          <a:ln w="3175" cap="flat" cmpd="sng" algn="ctr">
            <a:solidFill>
              <a:srgbClr val="000000"/>
            </a:solidFill>
            <a:prstDash val="solid"/>
            <a:round/>
          </a:ln>
        </c:spPr>
        <c:txPr>
          <a:bodyPr rot="0" spcFirstLastPara="0" vertOverflow="ellipsis" vert="horz" wrap="square" anchor="ctr" anchorCtr="true"/>
          <a:lstStyle/>
          <a:p>
            <a:pPr>
              <a:defRPr lang="zh-CN" sz="15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267814400"/>
        <c:crosses val="autoZero"/>
        <c:auto val="true"/>
        <c:lblAlgn val="ctr"/>
        <c:lblOffset val="100"/>
        <c:tickLblSkip val="1"/>
        <c:noMultiLvlLbl val="false"/>
      </c:catAx>
      <c:valAx>
        <c:axId val="267814400"/>
        <c:scaling>
          <c:orientation val="minMax"/>
          <c:max val="410"/>
          <c:min val="340"/>
        </c:scaling>
        <c:delete val="false"/>
        <c:axPos val="l"/>
        <c:majorGridlines>
          <c:spPr>
            <a:ln w="3175" cap="flat" cmpd="sng" algn="ctr">
              <a:solidFill>
                <a:srgbClr val="000000"/>
              </a:solidFill>
              <a:prstDash val="solid"/>
              <a:round/>
            </a:ln>
          </c:spPr>
        </c:majorGridlines>
        <c:numFmt formatCode="General" sourceLinked="true"/>
        <c:majorTickMark val="in"/>
        <c:minorTickMark val="none"/>
        <c:tickLblPos val="nextTo"/>
        <c:spPr>
          <a:ln w="3175" cap="flat" cmpd="sng" algn="ctr">
            <a:solidFill>
              <a:srgbClr val="000000"/>
            </a:solidFill>
            <a:prstDash val="solid"/>
            <a:round/>
          </a:ln>
        </c:spPr>
        <c:txPr>
          <a:bodyPr rot="0" spcFirstLastPara="0" vertOverflow="ellipsis" vert="horz" wrap="square" anchor="ctr" anchorCtr="true"/>
          <a:lstStyle/>
          <a:p>
            <a:pPr>
              <a:defRPr lang="zh-CN" sz="15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267812864"/>
        <c:crosses val="autoZero"/>
        <c:crossBetween val="between"/>
        <c:majorUnit val="10"/>
      </c:valAx>
      <c:spPr>
        <a:noFill/>
        <a:ln w="12700">
          <a:solidFill>
            <a:srgbClr val="000000"/>
          </a:solidFill>
          <a:prstDash val="solid"/>
        </a:ln>
        <a:effectLst/>
      </c:spPr>
    </c:plotArea>
    <c:plotVisOnly val="true"/>
    <c:dispBlanksAs val="gap"/>
    <c:showDLblsOverMax val="false"/>
  </c:chart>
  <c:spPr>
    <a:noFill/>
    <a:ln w="12700" cap="flat" cmpd="sng" algn="ctr">
      <a:solidFill>
        <a:srgbClr val="000000"/>
      </a:solidFill>
      <a:prstDash val="solid"/>
      <a:round/>
    </a:ln>
  </c:spPr>
  <c:txPr>
    <a:bodyPr/>
    <a:lstStyle/>
    <a:p>
      <a:pPr>
        <a:defRPr lang="zh-CN" sz="15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false"/>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true"/>
          <a:lstStyle/>
          <a:p>
            <a:pPr>
              <a:defRPr lang="zh-CN" sz="1545" b="0" i="0" u="none" strike="noStrike" kern="1200" baseline="0">
                <a:solidFill>
                  <a:srgbClr val="000000"/>
                </a:solidFill>
                <a:latin typeface="宋体" panose="02010600030101010101" charset="-122"/>
                <a:ea typeface="宋体" panose="02010600030101010101" charset="-122"/>
                <a:cs typeface="宋体" panose="02010600030101010101" charset="-122"/>
              </a:defRPr>
            </a:pPr>
            <a:r>
              <a:rPr lang="zh-CN" altLang="en-US" sz="1400"/>
              <a:t>一般公共预算财政拨款支出决算结构图</a:t>
            </a:r>
            <a:endParaRPr lang="zh-CN" altLang="en-US" sz="1400"/>
          </a:p>
        </c:rich>
      </c:tx>
      <c:layout>
        <c:manualLayout>
          <c:xMode val="edge"/>
          <c:yMode val="edge"/>
          <c:x val="0.121338906710735"/>
          <c:y val="0.0687049722499859"/>
        </c:manualLayout>
      </c:layout>
      <c:overlay val="false"/>
      <c:spPr>
        <a:noFill/>
        <a:ln w="25296">
          <a:noFill/>
        </a:ln>
      </c:spPr>
    </c:title>
    <c:autoTitleDeleted val="false"/>
    <c:plotArea>
      <c:layout>
        <c:manualLayout>
          <c:layoutTarget val="inner"/>
          <c:xMode val="edge"/>
          <c:yMode val="edge"/>
          <c:x val="0.121338912133891"/>
          <c:y val="0.271565495207672"/>
          <c:w val="0.387029288702932"/>
          <c:h val="0.591054313099042"/>
        </c:manualLayout>
      </c:layout>
      <c:pieChart>
        <c:varyColors val="true"/>
        <c:ser>
          <c:idx val="0"/>
          <c:order val="0"/>
          <c:tx>
            <c:strRef>
              <c:f>Sheet1!$A$2</c:f>
              <c:strCache>
                <c:ptCount val="1"/>
                <c:pt idx="0">
                  <c:v> </c:v>
                </c:pt>
              </c:strCache>
            </c:strRef>
          </c:tx>
          <c:spPr>
            <a:solidFill>
              <a:srgbClr val="9999FF"/>
            </a:solidFill>
            <a:ln w="12648">
              <a:solidFill>
                <a:srgbClr val="000000"/>
              </a:solidFill>
              <a:prstDash val="solid"/>
            </a:ln>
          </c:spPr>
          <c:explosion val="0"/>
          <c:dPt>
            <c:idx val="0"/>
            <c:bubble3D val="false"/>
            <c:spPr>
              <a:solidFill>
                <a:srgbClr val="9999FF"/>
              </a:solidFill>
              <a:ln w="12648">
                <a:solidFill>
                  <a:srgbClr val="000000"/>
                </a:solidFill>
                <a:prstDash val="solid"/>
              </a:ln>
            </c:spPr>
          </c:dPt>
          <c:dPt>
            <c:idx val="1"/>
            <c:bubble3D val="false"/>
            <c:spPr>
              <a:solidFill>
                <a:srgbClr val="993366"/>
              </a:solidFill>
              <a:ln w="12648">
                <a:solidFill>
                  <a:srgbClr val="000000"/>
                </a:solidFill>
                <a:prstDash val="solid"/>
              </a:ln>
            </c:spPr>
          </c:dPt>
          <c:dPt>
            <c:idx val="2"/>
            <c:bubble3D val="false"/>
            <c:spPr>
              <a:solidFill>
                <a:srgbClr val="FFFFCC"/>
              </a:solidFill>
              <a:ln w="12648">
                <a:solidFill>
                  <a:srgbClr val="000000"/>
                </a:solidFill>
                <a:prstDash val="solid"/>
              </a:ln>
            </c:spPr>
          </c:dPt>
          <c:dPt>
            <c:idx val="3"/>
            <c:bubble3D val="false"/>
            <c:spPr>
              <a:solidFill>
                <a:srgbClr val="CCFFFF"/>
              </a:solidFill>
              <a:ln w="12648">
                <a:solidFill>
                  <a:srgbClr val="000000"/>
                </a:solidFill>
                <a:prstDash val="solid"/>
              </a:ln>
            </c:spPr>
          </c:dPt>
          <c:dLbls>
            <c:dLbl>
              <c:idx val="0"/>
              <c:layout>
                <c:manualLayout>
                  <c:x val="-0.152624432845219"/>
                  <c:y val="-0.18596166536525"/>
                </c:manualLayout>
              </c:layout>
              <c:tx>
                <c:rich>
                  <a:bodyPr rot="0" spcFirstLastPara="0" vertOverflow="ellipsis" vert="horz" wrap="square" lIns="38100" tIns="19050" rIns="38100" bIns="19050" anchor="ctr" anchorCtr="true"/>
                  <a:lstStyle/>
                  <a:p>
                    <a:pPr>
                      <a:defRPr lang="zh-CN" sz="1545" b="0" i="0" u="none" strike="noStrike" kern="1200" baseline="0">
                        <a:solidFill>
                          <a:srgbClr val="000000"/>
                        </a:solidFill>
                        <a:latin typeface="宋体" panose="02010600030101010101" charset="-122"/>
                        <a:ea typeface="宋体" panose="02010600030101010101" charset="-122"/>
                        <a:cs typeface="宋体" panose="02010600030101010101" charset="-122"/>
                      </a:defRPr>
                    </a:pPr>
                    <a:r>
                      <a:rPr lang="en-US" altLang="zh-CN" sz="1100"/>
                      <a:t>87.23%</a:t>
                    </a:r>
                    <a:endParaRPr lang="en-US" altLang="zh-CN" sz="1100"/>
                  </a:p>
                </c:rich>
              </c:tx>
              <c:numFmt formatCode="0%" sourceLinked="false"/>
              <c:spPr>
                <a:noFill/>
                <a:ln w="25296">
                  <a:noFill/>
                </a:ln>
                <a:effectLst/>
              </c:spPr>
              <c:txPr>
                <a:bodyPr rot="0" spcFirstLastPara="0" vertOverflow="ellipsis" vert="horz" wrap="square" lIns="38100" tIns="19050" rIns="38100" bIns="19050" anchor="ctr" anchorCtr="true"/>
                <a:lstStyle/>
                <a:p>
                  <a:pPr>
                    <a:defRPr lang="zh-CN" sz="1545"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false"/>
              <c:showVal val="false"/>
              <c:showCatName val="false"/>
              <c:showSerName val="false"/>
              <c:showPercent val="true"/>
              <c:showBubbleSize val="false"/>
              <c:extLst>
                <c:ext xmlns:c15="http://schemas.microsoft.com/office/drawing/2012/chart" uri="{CE6537A1-D6FC-4f65-9D91-7224C49458BB}">
                  <c15:layout/>
                </c:ext>
              </c:extLst>
            </c:dLbl>
            <c:dLbl>
              <c:idx val="1"/>
              <c:layout>
                <c:manualLayout>
                  <c:x val="0.0721348411695452"/>
                  <c:y val="0.188275547523773"/>
                </c:manualLayout>
              </c:layout>
              <c:tx>
                <c:rich>
                  <a:bodyPr rot="0" spcFirstLastPara="0" vertOverflow="ellipsis" vert="horz" wrap="square" lIns="38100" tIns="19050" rIns="38100" bIns="19050" anchor="ctr" anchorCtr="true"/>
                  <a:lstStyle/>
                  <a:p>
                    <a:pPr>
                      <a:defRPr lang="zh-CN" sz="1545" b="0" i="0" u="none" strike="noStrike" kern="1200" baseline="0">
                        <a:solidFill>
                          <a:srgbClr val="000000"/>
                        </a:solidFill>
                        <a:latin typeface="宋体" panose="02010600030101010101" charset="-122"/>
                        <a:ea typeface="宋体" panose="02010600030101010101" charset="-122"/>
                        <a:cs typeface="宋体" panose="02010600030101010101" charset="-122"/>
                      </a:defRPr>
                    </a:pPr>
                    <a:r>
                      <a:rPr lang="en-US" altLang="zh-CN" sz="1100"/>
                      <a:t>5.18%</a:t>
                    </a:r>
                    <a:endParaRPr lang="en-US" altLang="zh-CN" sz="1100"/>
                  </a:p>
                </c:rich>
              </c:tx>
              <c:numFmt formatCode="0%" sourceLinked="false"/>
              <c:spPr>
                <a:noFill/>
                <a:ln w="25296">
                  <a:noFill/>
                </a:ln>
                <a:effectLst/>
              </c:spPr>
              <c:txPr>
                <a:bodyPr rot="0" spcFirstLastPara="0" vertOverflow="ellipsis" vert="horz" wrap="square" lIns="38100" tIns="19050" rIns="38100" bIns="19050" anchor="ctr" anchorCtr="true"/>
                <a:lstStyle/>
                <a:p>
                  <a:pPr>
                    <a:defRPr lang="zh-CN" sz="1545"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false"/>
              <c:showVal val="false"/>
              <c:showCatName val="false"/>
              <c:showSerName val="false"/>
              <c:showPercent val="true"/>
              <c:showBubbleSize val="false"/>
              <c:extLst>
                <c:ext xmlns:c15="http://schemas.microsoft.com/office/drawing/2012/chart" uri="{CE6537A1-D6FC-4f65-9D91-7224C49458BB}">
                  <c15:layout/>
                </c:ext>
              </c:extLst>
            </c:dLbl>
            <c:dLbl>
              <c:idx val="2"/>
              <c:layout>
                <c:manualLayout>
                  <c:x val="0.0240491234891936"/>
                  <c:y val="-0.00553298050858397"/>
                </c:manualLayout>
              </c:layout>
              <c:tx>
                <c:rich>
                  <a:bodyPr rot="0" spcFirstLastPara="0" vertOverflow="ellipsis" vert="horz" wrap="square" lIns="38100" tIns="19050" rIns="38100" bIns="19050" anchor="ctr" anchorCtr="true"/>
                  <a:lstStyle/>
                  <a:p>
                    <a:pPr>
                      <a:defRPr lang="zh-CN" sz="1545" b="0" i="0" u="none" strike="noStrike" kern="1200" baseline="0">
                        <a:solidFill>
                          <a:srgbClr val="000000"/>
                        </a:solidFill>
                        <a:latin typeface="宋体" panose="02010600030101010101" charset="-122"/>
                        <a:ea typeface="宋体" panose="02010600030101010101" charset="-122"/>
                        <a:cs typeface="宋体" panose="02010600030101010101" charset="-122"/>
                      </a:defRPr>
                    </a:pPr>
                    <a:r>
                      <a:rPr lang="en-US" altLang="zh-CN" sz="1100"/>
                      <a:t>2.58%</a:t>
                    </a:r>
                    <a:endParaRPr lang="en-US" altLang="zh-CN" sz="1100"/>
                  </a:p>
                </c:rich>
              </c:tx>
              <c:numFmt formatCode="0%" sourceLinked="false"/>
              <c:spPr>
                <a:noFill/>
                <a:ln w="25296">
                  <a:noFill/>
                </a:ln>
                <a:effectLst/>
              </c:spPr>
              <c:txPr>
                <a:bodyPr rot="0" spcFirstLastPara="0" vertOverflow="ellipsis" vert="horz" wrap="square" lIns="38100" tIns="19050" rIns="38100" bIns="19050" anchor="ctr" anchorCtr="true"/>
                <a:lstStyle/>
                <a:p>
                  <a:pPr>
                    <a:defRPr lang="zh-CN" sz="1545"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false"/>
              <c:showVal val="false"/>
              <c:showCatName val="false"/>
              <c:showSerName val="false"/>
              <c:showPercent val="true"/>
              <c:showBubbleSize val="false"/>
              <c:extLst>
                <c:ext xmlns:c15="http://schemas.microsoft.com/office/drawing/2012/chart" uri="{CE6537A1-D6FC-4f65-9D91-7224C49458BB}">
                  <c15:layout/>
                </c:ext>
              </c:extLst>
            </c:dLbl>
            <c:dLbl>
              <c:idx val="3"/>
              <c:layout>
                <c:manualLayout>
                  <c:x val="0.0480690839570981"/>
                  <c:y val="0.113706294909858"/>
                </c:manualLayout>
              </c:layout>
              <c:tx>
                <c:rich>
                  <a:bodyPr rot="0" spcFirstLastPara="0" vertOverflow="ellipsis" vert="horz" wrap="square" lIns="38100" tIns="19050" rIns="38100" bIns="19050" anchor="ctr" anchorCtr="true"/>
                  <a:lstStyle/>
                  <a:p>
                    <a:pPr>
                      <a:defRPr lang="zh-CN" sz="1545" b="0" i="0" u="none" strike="noStrike" kern="1200" baseline="0">
                        <a:solidFill>
                          <a:srgbClr val="000000"/>
                        </a:solidFill>
                        <a:latin typeface="宋体" panose="02010600030101010101" charset="-122"/>
                        <a:ea typeface="宋体" panose="02010600030101010101" charset="-122"/>
                        <a:cs typeface="宋体" panose="02010600030101010101" charset="-122"/>
                      </a:defRPr>
                    </a:pPr>
                    <a:r>
                      <a:rPr lang="en-US" altLang="zh-CN" sz="1100"/>
                      <a:t>5.01%</a:t>
                    </a:r>
                    <a:endParaRPr lang="en-US" altLang="zh-CN" sz="1100"/>
                  </a:p>
                </c:rich>
              </c:tx>
              <c:numFmt formatCode="0%" sourceLinked="false"/>
              <c:spPr>
                <a:noFill/>
                <a:ln w="25296">
                  <a:noFill/>
                </a:ln>
                <a:effectLst/>
              </c:spPr>
              <c:txPr>
                <a:bodyPr rot="0" spcFirstLastPara="0" vertOverflow="ellipsis" vert="horz" wrap="square" lIns="38100" tIns="19050" rIns="38100" bIns="19050" anchor="ctr" anchorCtr="true"/>
                <a:lstStyle/>
                <a:p>
                  <a:pPr>
                    <a:defRPr lang="zh-CN" sz="1545"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false"/>
              <c:showVal val="false"/>
              <c:showCatName val="false"/>
              <c:showSerName val="false"/>
              <c:showPercent val="true"/>
              <c:showBubbleSize val="false"/>
              <c:extLst>
                <c:ext xmlns:c15="http://schemas.microsoft.com/office/drawing/2012/chart" uri="{CE6537A1-D6FC-4f65-9D91-7224C49458BB}">
                  <c15:layout/>
                </c:ext>
              </c:extLst>
            </c:dLbl>
            <c:numFmt formatCode="0%" sourceLinked="false"/>
            <c:spPr>
              <a:noFill/>
              <a:ln w="25296">
                <a:noFill/>
              </a:ln>
              <a:effectLst/>
            </c:spPr>
            <c:txPr>
              <a:bodyPr rot="0" spcFirstLastPara="0" vertOverflow="ellipsis" vert="horz" wrap="square" lIns="38100" tIns="19050" rIns="38100" bIns="19050" anchor="ctr" anchorCtr="true"/>
              <a:lstStyle/>
              <a:p>
                <a:pPr>
                  <a:defRPr lang="zh-CN" sz="11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false"/>
            <c:showVal val="false"/>
            <c:showCatName val="false"/>
            <c:showSerName val="false"/>
            <c:showPercent val="true"/>
            <c:showBubbleSize val="false"/>
            <c:showLeaderLines val="true"/>
            <c:extLst>
              <c:ext xmlns:c15="http://schemas.microsoft.com/office/drawing/2012/chart" uri="{CE6537A1-D6FC-4f65-9D91-7224C49458BB}">
                <c15:layout/>
                <c15:showLeaderLines val="true"/>
                <c15:leaderLines/>
              </c:ext>
            </c:extLst>
          </c:dLbls>
          <c:cat>
            <c:strRef>
              <c:f>Sheet1!$B$1:$E$1</c:f>
              <c:strCache>
                <c:ptCount val="4"/>
                <c:pt idx="0">
                  <c:v>一般公共服务（类）</c:v>
                </c:pt>
                <c:pt idx="1">
                  <c:v>社会保障和就业（类）</c:v>
                </c:pt>
                <c:pt idx="2">
                  <c:v>卫生健康支出</c:v>
                </c:pt>
                <c:pt idx="3">
                  <c:v>住房保障支出</c:v>
                </c:pt>
              </c:strCache>
            </c:strRef>
          </c:cat>
          <c:val>
            <c:numRef>
              <c:f>Sheet1!$B$2:$E$2</c:f>
              <c:numCache>
                <c:formatCode>General</c:formatCode>
                <c:ptCount val="4"/>
                <c:pt idx="0">
                  <c:v>339.7</c:v>
                </c:pt>
                <c:pt idx="1">
                  <c:v>20.17</c:v>
                </c:pt>
                <c:pt idx="2">
                  <c:v>10.04</c:v>
                </c:pt>
                <c:pt idx="3">
                  <c:v>19.52</c:v>
                </c:pt>
              </c:numCache>
            </c:numRef>
          </c:val>
        </c:ser>
        <c:ser>
          <c:idx val="1"/>
          <c:order val="1"/>
          <c:tx>
            <c:strRef>
              <c:f>Sheet1!$A$3</c:f>
              <c:strCache>
                <c:ptCount val="1"/>
                <c:pt idx="0">
                  <c:v> </c:v>
                </c:pt>
              </c:strCache>
            </c:strRef>
          </c:tx>
          <c:spPr>
            <a:solidFill>
              <a:srgbClr val="993366"/>
            </a:solidFill>
            <a:ln w="12648">
              <a:solidFill>
                <a:srgbClr val="000000"/>
              </a:solidFill>
              <a:prstDash val="solid"/>
            </a:ln>
          </c:spPr>
          <c:explosion val="0"/>
          <c:dPt>
            <c:idx val="0"/>
            <c:bubble3D val="false"/>
            <c:spPr>
              <a:solidFill>
                <a:srgbClr val="9999FF"/>
              </a:solidFill>
              <a:ln w="12648">
                <a:solidFill>
                  <a:srgbClr val="000000"/>
                </a:solidFill>
                <a:prstDash val="solid"/>
              </a:ln>
            </c:spPr>
          </c:dPt>
          <c:dPt>
            <c:idx val="1"/>
            <c:bubble3D val="false"/>
            <c:spPr>
              <a:solidFill>
                <a:srgbClr val="993366"/>
              </a:solidFill>
              <a:ln w="12648">
                <a:solidFill>
                  <a:srgbClr val="000000"/>
                </a:solidFill>
                <a:prstDash val="solid"/>
              </a:ln>
            </c:spPr>
          </c:dPt>
          <c:dPt>
            <c:idx val="2"/>
            <c:bubble3D val="false"/>
            <c:spPr>
              <a:solidFill>
                <a:srgbClr val="FFFFCC"/>
              </a:solidFill>
              <a:ln w="12648">
                <a:solidFill>
                  <a:srgbClr val="000000"/>
                </a:solidFill>
                <a:prstDash val="solid"/>
              </a:ln>
            </c:spPr>
          </c:dPt>
          <c:dPt>
            <c:idx val="3"/>
            <c:bubble3D val="false"/>
            <c:spPr>
              <a:solidFill>
                <a:srgbClr val="CCFFFF"/>
              </a:solidFill>
              <a:ln w="12648">
                <a:solidFill>
                  <a:srgbClr val="000000"/>
                </a:solidFill>
                <a:prstDash val="solid"/>
              </a:ln>
            </c:spPr>
          </c:dPt>
          <c:dLbls>
            <c:numFmt formatCode="0%" sourceLinked="false"/>
            <c:spPr>
              <a:noFill/>
              <a:ln w="25296">
                <a:noFill/>
              </a:ln>
              <a:effectLst/>
            </c:spPr>
            <c:txPr>
              <a:bodyPr rot="0" spcFirstLastPara="0" vertOverflow="ellipsis" vert="horz" wrap="square" lIns="38100" tIns="19050" rIns="38100" bIns="19050" anchor="ctr" anchorCtr="true"/>
              <a:lstStyle/>
              <a:p>
                <a:pPr>
                  <a:defRPr lang="zh-CN" sz="162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false"/>
            <c:showVal val="false"/>
            <c:showCatName val="false"/>
            <c:showSerName val="false"/>
            <c:showPercent val="true"/>
            <c:showBubbleSize val="false"/>
            <c:showLeaderLines val="true"/>
            <c:extLst>
              <c:ext xmlns:c15="http://schemas.microsoft.com/office/drawing/2012/chart" uri="{CE6537A1-D6FC-4f65-9D91-7224C49458BB}">
                <c15:layout/>
                <c15:showLeaderLines val="true"/>
                <c15:leaderLines/>
              </c:ext>
            </c:extLst>
          </c:dLbls>
          <c:cat>
            <c:strRef>
              <c:f>Sheet1!$B$1:$E$1</c:f>
              <c:strCache>
                <c:ptCount val="4"/>
                <c:pt idx="0">
                  <c:v>一般公共服务（类）</c:v>
                </c:pt>
                <c:pt idx="1">
                  <c:v>社会保障和就业（类）</c:v>
                </c:pt>
                <c:pt idx="2">
                  <c:v>卫生健康支出</c:v>
                </c:pt>
                <c:pt idx="3">
                  <c:v>住房保障支出</c:v>
                </c:pt>
              </c:strCache>
            </c:strRef>
          </c:cat>
          <c:val>
            <c:numRef>
              <c:f>Sheet1!$B$3:$E$3</c:f>
              <c:numCache>
                <c:formatCode>General</c:formatCode>
                <c:ptCount val="4"/>
              </c:numCache>
            </c:numRef>
          </c:val>
        </c:ser>
        <c:ser>
          <c:idx val="2"/>
          <c:order val="2"/>
          <c:tx>
            <c:strRef>
              <c:f>Sheet1!$A$4</c:f>
              <c:strCache>
                <c:ptCount val="1"/>
                <c:pt idx="0">
                  <c:v> </c:v>
                </c:pt>
              </c:strCache>
            </c:strRef>
          </c:tx>
          <c:spPr>
            <a:solidFill>
              <a:srgbClr val="FFFFCC"/>
            </a:solidFill>
            <a:ln w="12648">
              <a:solidFill>
                <a:srgbClr val="000000"/>
              </a:solidFill>
              <a:prstDash val="solid"/>
            </a:ln>
          </c:spPr>
          <c:explosion val="0"/>
          <c:dPt>
            <c:idx val="0"/>
            <c:bubble3D val="false"/>
            <c:spPr>
              <a:solidFill>
                <a:srgbClr val="9999FF"/>
              </a:solidFill>
              <a:ln w="12648">
                <a:solidFill>
                  <a:srgbClr val="000000"/>
                </a:solidFill>
                <a:prstDash val="solid"/>
              </a:ln>
            </c:spPr>
          </c:dPt>
          <c:dPt>
            <c:idx val="1"/>
            <c:bubble3D val="false"/>
            <c:spPr>
              <a:solidFill>
                <a:srgbClr val="993366"/>
              </a:solidFill>
              <a:ln w="12648">
                <a:solidFill>
                  <a:srgbClr val="000000"/>
                </a:solidFill>
                <a:prstDash val="solid"/>
              </a:ln>
            </c:spPr>
          </c:dPt>
          <c:dPt>
            <c:idx val="2"/>
            <c:bubble3D val="false"/>
            <c:spPr>
              <a:solidFill>
                <a:srgbClr val="FFFFCC"/>
              </a:solidFill>
              <a:ln w="12648">
                <a:solidFill>
                  <a:srgbClr val="000000"/>
                </a:solidFill>
                <a:prstDash val="solid"/>
              </a:ln>
            </c:spPr>
          </c:dPt>
          <c:dPt>
            <c:idx val="3"/>
            <c:bubble3D val="false"/>
            <c:spPr>
              <a:solidFill>
                <a:srgbClr val="CCFFFF"/>
              </a:solidFill>
              <a:ln w="12648">
                <a:solidFill>
                  <a:srgbClr val="000000"/>
                </a:solidFill>
                <a:prstDash val="solid"/>
              </a:ln>
            </c:spPr>
          </c:dPt>
          <c:dLbls>
            <c:numFmt formatCode="0%" sourceLinked="false"/>
            <c:spPr>
              <a:noFill/>
              <a:ln w="25296">
                <a:noFill/>
              </a:ln>
              <a:effectLst/>
            </c:spPr>
            <c:txPr>
              <a:bodyPr rot="0" spcFirstLastPara="0" vertOverflow="ellipsis" vert="horz" wrap="square" lIns="38100" tIns="19050" rIns="38100" bIns="19050" anchor="ctr" anchorCtr="true"/>
              <a:lstStyle/>
              <a:p>
                <a:pPr>
                  <a:defRPr lang="zh-CN" sz="162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false"/>
            <c:showVal val="false"/>
            <c:showCatName val="false"/>
            <c:showSerName val="false"/>
            <c:showPercent val="true"/>
            <c:showBubbleSize val="false"/>
            <c:showLeaderLines val="true"/>
            <c:extLst>
              <c:ext xmlns:c15="http://schemas.microsoft.com/office/drawing/2012/chart" uri="{CE6537A1-D6FC-4f65-9D91-7224C49458BB}">
                <c15:layout/>
                <c15:showLeaderLines val="true"/>
                <c15:leaderLines/>
              </c:ext>
            </c:extLst>
          </c:dLbls>
          <c:cat>
            <c:strRef>
              <c:f>Sheet1!$B$1:$E$1</c:f>
              <c:strCache>
                <c:ptCount val="4"/>
                <c:pt idx="0">
                  <c:v>一般公共服务（类）</c:v>
                </c:pt>
                <c:pt idx="1">
                  <c:v>社会保障和就业（类）</c:v>
                </c:pt>
                <c:pt idx="2">
                  <c:v>卫生健康支出</c:v>
                </c:pt>
                <c:pt idx="3">
                  <c:v>住房保障支出</c:v>
                </c:pt>
              </c:strCache>
            </c:strRef>
          </c:cat>
          <c:val>
            <c:numRef>
              <c:f>Sheet1!$B$4:$E$4</c:f>
              <c:numCache>
                <c:formatCode>General</c:formatCode>
                <c:ptCount val="4"/>
              </c:numCache>
            </c:numRef>
          </c:val>
        </c:ser>
        <c:dLbls>
          <c:showLegendKey val="false"/>
          <c:showVal val="false"/>
          <c:showCatName val="false"/>
          <c:showSerName val="false"/>
          <c:showPercent val="true"/>
          <c:showBubbleSize val="false"/>
          <c:showLeaderLines val="true"/>
        </c:dLbls>
        <c:firstSliceAng val="0"/>
      </c:pieChart>
      <c:spPr>
        <a:solidFill>
          <a:srgbClr val="C0C0C0"/>
        </a:solidFill>
        <a:ln w="12648">
          <a:solidFill>
            <a:srgbClr val="808080"/>
          </a:solidFill>
          <a:prstDash val="solid"/>
        </a:ln>
      </c:spPr>
    </c:plotArea>
    <c:legend>
      <c:legendPos val="r"/>
      <c:layout>
        <c:manualLayout>
          <c:xMode val="edge"/>
          <c:yMode val="edge"/>
          <c:x val="0.615062761506276"/>
          <c:y val="0.23961661341853"/>
          <c:w val="0.332635983263603"/>
          <c:h val="0.70607028753994"/>
        </c:manualLayout>
      </c:layout>
      <c:overlay val="false"/>
      <c:spPr>
        <a:noFill/>
        <a:ln w="3162">
          <a:solidFill>
            <a:srgbClr val="000000"/>
          </a:solidFill>
          <a:prstDash val="solid"/>
        </a:ln>
      </c:spPr>
      <c:txPr>
        <a:bodyPr rot="0" spcFirstLastPara="0" vertOverflow="ellipsis" vert="horz" wrap="square" anchor="ctr" anchorCtr="true"/>
        <a:lstStyle/>
        <a:p>
          <a:pPr>
            <a:defRPr lang="zh-CN" sz="142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true"/>
    <c:dispBlanksAs val="zero"/>
    <c:showDLblsOverMax val="false"/>
  </c:chart>
  <c:spPr>
    <a:noFill/>
    <a:ln w="12648" cap="flat" cmpd="sng" algn="ctr">
      <a:solidFill>
        <a:srgbClr val="000000"/>
      </a:solidFill>
      <a:prstDash val="solid"/>
      <a:round/>
    </a:ln>
  </c:spPr>
  <c:txPr>
    <a:bodyPr/>
    <a:lstStyle/>
    <a:p>
      <a:pPr>
        <a:defRPr lang="zh-CN" sz="1545"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false"/>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true"/>
          <a:lstStyle/>
          <a:p>
            <a:pPr>
              <a:defRPr lang="zh-CN" sz="1450" b="0" i="0" u="none" strike="noStrike" kern="1200" baseline="0">
                <a:solidFill>
                  <a:srgbClr val="000000"/>
                </a:solidFill>
                <a:latin typeface="宋体" panose="02010600030101010101" charset="-122"/>
                <a:ea typeface="宋体" panose="02010600030101010101" charset="-122"/>
                <a:cs typeface="宋体" panose="02010600030101010101" charset="-122"/>
              </a:defRPr>
            </a:pPr>
            <a:r>
              <a:rPr lang="zh-CN" altLang="en-US" sz="1400" b="0"/>
              <a:t>“三公”经费财政拨款支出结构</a:t>
            </a:r>
            <a:endParaRPr lang="zh-CN" altLang="en-US" sz="1400" b="0"/>
          </a:p>
        </c:rich>
      </c:tx>
      <c:layout>
        <c:manualLayout>
          <c:xMode val="edge"/>
          <c:yMode val="edge"/>
          <c:x val="0.170292157036409"/>
          <c:y val="0.0641239189363625"/>
        </c:manualLayout>
      </c:layout>
      <c:overlay val="false"/>
      <c:spPr>
        <a:noFill/>
        <a:ln w="25400">
          <a:noFill/>
        </a:ln>
      </c:spPr>
    </c:title>
    <c:autoTitleDeleted val="false"/>
    <c:plotArea>
      <c:layout>
        <c:manualLayout>
          <c:layoutTarget val="inner"/>
          <c:xMode val="edge"/>
          <c:yMode val="edge"/>
          <c:x val="0.116182572614108"/>
          <c:y val="0.234693877551022"/>
          <c:w val="0.41701244813278"/>
          <c:h val="0.683673469387755"/>
        </c:manualLayout>
      </c:layout>
      <c:pieChart>
        <c:varyColors val="true"/>
        <c:ser>
          <c:idx val="0"/>
          <c:order val="0"/>
          <c:tx>
            <c:strRef>
              <c:f>Sheet1!$A$2</c:f>
              <c:strCache>
                <c:ptCount val="1"/>
                <c:pt idx="0">
                  <c:v> </c:v>
                </c:pt>
              </c:strCache>
            </c:strRef>
          </c:tx>
          <c:spPr>
            <a:solidFill>
              <a:srgbClr val="9999FF"/>
            </a:solidFill>
            <a:ln w="12700">
              <a:solidFill>
                <a:srgbClr val="000000"/>
              </a:solidFill>
              <a:prstDash val="solid"/>
            </a:ln>
          </c:spPr>
          <c:explosion val="0"/>
          <c:dPt>
            <c:idx val="0"/>
            <c:bubble3D val="false"/>
            <c:spPr>
              <a:solidFill>
                <a:srgbClr val="9999FF"/>
              </a:solidFill>
              <a:ln w="12700">
                <a:solidFill>
                  <a:srgbClr val="000000"/>
                </a:solidFill>
                <a:prstDash val="solid"/>
              </a:ln>
            </c:spPr>
          </c:dPt>
          <c:dPt>
            <c:idx val="1"/>
            <c:bubble3D val="false"/>
            <c:spPr>
              <a:solidFill>
                <a:srgbClr val="993366"/>
              </a:solidFill>
              <a:ln w="12700">
                <a:solidFill>
                  <a:srgbClr val="000000"/>
                </a:solidFill>
                <a:prstDash val="solid"/>
              </a:ln>
            </c:spPr>
          </c:dPt>
          <c:dLbls>
            <c:dLbl>
              <c:idx val="0"/>
              <c:layout>
                <c:manualLayout>
                  <c:x val="-0.091945261472414"/>
                  <c:y val="-0.278505098690822"/>
                </c:manualLayout>
              </c:layout>
              <c:tx>
                <c:rich>
                  <a:bodyPr rot="0" spcFirstLastPara="0" vertOverflow="ellipsis" vert="horz" wrap="square" lIns="38100" tIns="19050" rIns="38100" bIns="19050" anchor="ctr" anchorCtr="true"/>
                  <a:lstStyle/>
                  <a:p>
                    <a:pPr>
                      <a:defRPr lang="zh-CN" sz="1600" b="1" i="0" u="none" strike="noStrike" kern="1200" baseline="0">
                        <a:solidFill>
                          <a:srgbClr val="000000"/>
                        </a:solidFill>
                        <a:latin typeface="宋体" panose="02010600030101010101" charset="-122"/>
                        <a:ea typeface="宋体" panose="02010600030101010101" charset="-122"/>
                        <a:cs typeface="宋体" panose="02010600030101010101" charset="-122"/>
                      </a:defRPr>
                    </a:pPr>
                    <a:r>
                      <a:rPr lang="en-US" altLang="zh-CN" sz="1600" b="1"/>
                      <a:t>95.88%</a:t>
                    </a:r>
                    <a:endParaRPr lang="en-US" altLang="zh-CN" sz="1600" b="1"/>
                  </a:p>
                </c:rich>
              </c:tx>
              <c:numFmt formatCode="0%" sourceLinked="false"/>
              <c:spPr>
                <a:noFill/>
                <a:ln w="25400">
                  <a:noFill/>
                </a:ln>
                <a:effectLst/>
              </c:spPr>
              <c:txPr>
                <a:bodyPr rot="0" spcFirstLastPara="0" vertOverflow="ellipsis" vert="horz" wrap="square" lIns="38100" tIns="19050" rIns="38100" bIns="19050" anchor="ctr" anchorCtr="true"/>
                <a:lstStyle/>
                <a:p>
                  <a:pPr>
                    <a:defRPr lang="zh-CN" sz="1600" b="1"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false"/>
              <c:showVal val="false"/>
              <c:showCatName val="false"/>
              <c:showSerName val="false"/>
              <c:showPercent val="true"/>
              <c:showBubbleSize val="false"/>
              <c:extLst>
                <c:ext xmlns:c15="http://schemas.microsoft.com/office/drawing/2012/chart" uri="{CE6537A1-D6FC-4f65-9D91-7224C49458BB}">
                  <c15:layout/>
                </c:ext>
              </c:extLst>
            </c:dLbl>
            <c:dLbl>
              <c:idx val="1"/>
              <c:layout>
                <c:manualLayout>
                  <c:x val="0.0291817703570358"/>
                  <c:y val="0.0274690417796138"/>
                </c:manualLayout>
              </c:layout>
              <c:tx>
                <c:rich>
                  <a:bodyPr rot="0" spcFirstLastPara="0" vertOverflow="ellipsis" vert="horz" wrap="square" lIns="38100" tIns="19050" rIns="38100" bIns="19050" anchor="ctr" anchorCtr="true"/>
                  <a:lstStyle/>
                  <a:p>
                    <a:pPr>
                      <a:defRPr lang="zh-CN" sz="1600" b="1" i="0" u="none" strike="noStrike" kern="1200" baseline="0">
                        <a:solidFill>
                          <a:srgbClr val="000000"/>
                        </a:solidFill>
                        <a:latin typeface="宋体" panose="02010600030101010101" charset="-122"/>
                        <a:ea typeface="宋体" panose="02010600030101010101" charset="-122"/>
                        <a:cs typeface="宋体" panose="02010600030101010101" charset="-122"/>
                      </a:defRPr>
                    </a:pPr>
                    <a:r>
                      <a:rPr lang="en-US" altLang="zh-CN" sz="1600" b="1"/>
                      <a:t>4.12%</a:t>
                    </a:r>
                    <a:endParaRPr lang="en-US" altLang="zh-CN" sz="1600" b="1"/>
                  </a:p>
                </c:rich>
              </c:tx>
              <c:numFmt formatCode="0%" sourceLinked="false"/>
              <c:spPr>
                <a:noFill/>
                <a:ln w="25400">
                  <a:noFill/>
                </a:ln>
                <a:effectLst/>
              </c:spPr>
              <c:txPr>
                <a:bodyPr rot="0" spcFirstLastPara="0" vertOverflow="ellipsis" vert="horz" wrap="square" lIns="38100" tIns="19050" rIns="38100" bIns="19050" anchor="ctr" anchorCtr="true"/>
                <a:lstStyle/>
                <a:p>
                  <a:pPr>
                    <a:defRPr lang="zh-CN" sz="1600" b="1"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false"/>
              <c:showVal val="false"/>
              <c:showCatName val="false"/>
              <c:showSerName val="false"/>
              <c:showPercent val="true"/>
              <c:showBubbleSize val="false"/>
              <c:extLst>
                <c:ext xmlns:c15="http://schemas.microsoft.com/office/drawing/2012/chart" uri="{CE6537A1-D6FC-4f65-9D91-7224C49458BB}">
                  <c15:layout/>
                </c:ext>
              </c:extLst>
            </c:dLbl>
            <c:numFmt formatCode="0%" sourceLinked="false"/>
            <c:spPr>
              <a:noFill/>
              <a:ln w="25400">
                <a:noFill/>
              </a:ln>
              <a:effectLst/>
            </c:spPr>
            <c:txPr>
              <a:bodyPr rot="0" spcFirstLastPara="0" vertOverflow="ellipsis" vert="horz" wrap="square" lIns="38100" tIns="19050" rIns="38100" bIns="19050" anchor="ctr" anchorCtr="true"/>
              <a:lstStyle/>
              <a:p>
                <a:pPr>
                  <a:defRPr lang="zh-CN" sz="145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false"/>
            <c:showVal val="false"/>
            <c:showCatName val="false"/>
            <c:showSerName val="false"/>
            <c:showPercent val="true"/>
            <c:showBubbleSize val="false"/>
            <c:showLeaderLines val="true"/>
            <c:extLst>
              <c:ext xmlns:c15="http://schemas.microsoft.com/office/drawing/2012/chart" uri="{CE6537A1-D6FC-4f65-9D91-7224C49458BB}">
                <c15:layout/>
                <c15:showLeaderLines val="true"/>
                <c15:leaderLines/>
              </c:ext>
            </c:extLst>
          </c:dLbls>
          <c:cat>
            <c:strRef>
              <c:f>Sheet1!$B$1:$C$1</c:f>
              <c:strCache>
                <c:ptCount val="2"/>
                <c:pt idx="0">
                  <c:v>公务用车购置及运行维护费</c:v>
                </c:pt>
                <c:pt idx="1">
                  <c:v>公务接待费</c:v>
                </c:pt>
              </c:strCache>
            </c:strRef>
          </c:cat>
          <c:val>
            <c:numRef>
              <c:f>Sheet1!$B$2:$C$2</c:f>
              <c:numCache>
                <c:formatCode>General</c:formatCode>
                <c:ptCount val="2"/>
                <c:pt idx="0">
                  <c:v>7.21</c:v>
                </c:pt>
                <c:pt idx="1">
                  <c:v>0.31</c:v>
                </c:pt>
              </c:numCache>
            </c:numRef>
          </c:val>
        </c:ser>
        <c:ser>
          <c:idx val="1"/>
          <c:order val="1"/>
          <c:tx>
            <c:strRef>
              <c:f>Sheet1!$A$3</c:f>
              <c:strCache>
                <c:ptCount val="1"/>
                <c:pt idx="0">
                  <c:v> </c:v>
                </c:pt>
              </c:strCache>
            </c:strRef>
          </c:tx>
          <c:spPr>
            <a:solidFill>
              <a:srgbClr val="993366"/>
            </a:solidFill>
            <a:ln w="12700">
              <a:solidFill>
                <a:srgbClr val="000000"/>
              </a:solidFill>
              <a:prstDash val="solid"/>
            </a:ln>
          </c:spPr>
          <c:explosion val="0"/>
          <c:dPt>
            <c:idx val="0"/>
            <c:bubble3D val="false"/>
            <c:spPr>
              <a:solidFill>
                <a:srgbClr val="9999FF"/>
              </a:solidFill>
              <a:ln w="12700">
                <a:solidFill>
                  <a:srgbClr val="000000"/>
                </a:solidFill>
                <a:prstDash val="solid"/>
              </a:ln>
            </c:spPr>
          </c:dPt>
          <c:dPt>
            <c:idx val="1"/>
            <c:bubble3D val="false"/>
            <c:spPr>
              <a:solidFill>
                <a:srgbClr val="993366"/>
              </a:solidFill>
              <a:ln w="12700">
                <a:solidFill>
                  <a:srgbClr val="000000"/>
                </a:solidFill>
                <a:prstDash val="solid"/>
              </a:ln>
            </c:spPr>
          </c:dPt>
          <c:dLbls>
            <c:numFmt formatCode="0%" sourceLinked="false"/>
            <c:spPr>
              <a:noFill/>
              <a:ln w="25400">
                <a:noFill/>
              </a:ln>
              <a:effectLst/>
            </c:spPr>
            <c:txPr>
              <a:bodyPr rot="0" spcFirstLastPara="0" vertOverflow="ellipsis" vert="horz" wrap="square" lIns="38100" tIns="19050" rIns="38100" bIns="19050" anchor="ctr" anchorCtr="true"/>
              <a:lstStyle/>
              <a:p>
                <a:pPr>
                  <a:defRPr lang="zh-CN" sz="145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false"/>
            <c:showVal val="false"/>
            <c:showCatName val="false"/>
            <c:showSerName val="false"/>
            <c:showPercent val="true"/>
            <c:showBubbleSize val="false"/>
            <c:showLeaderLines val="true"/>
            <c:extLst>
              <c:ext xmlns:c15="http://schemas.microsoft.com/office/drawing/2012/chart" uri="{CE6537A1-D6FC-4f65-9D91-7224C49458BB}">
                <c15:layout/>
                <c15:showLeaderLines val="true"/>
                <c15:leaderLines/>
              </c:ext>
            </c:extLst>
          </c:dLbls>
          <c:cat>
            <c:strRef>
              <c:f>Sheet1!$B$1:$C$1</c:f>
              <c:strCache>
                <c:ptCount val="2"/>
                <c:pt idx="0">
                  <c:v>公务用车购置及运行维护费</c:v>
                </c:pt>
                <c:pt idx="1">
                  <c:v>公务接待费</c:v>
                </c:pt>
              </c:strCache>
            </c:strRef>
          </c:cat>
          <c:val>
            <c:numRef>
              <c:f>Sheet1!$B$3:$C$3</c:f>
              <c:numCache>
                <c:formatCode>General</c:formatCode>
                <c:ptCount val="2"/>
              </c:numCache>
            </c:numRef>
          </c:val>
        </c:ser>
        <c:ser>
          <c:idx val="2"/>
          <c:order val="2"/>
          <c:tx>
            <c:strRef>
              <c:f>Sheet1!$A$4</c:f>
              <c:strCache>
                <c:ptCount val="1"/>
                <c:pt idx="0">
                  <c:v> </c:v>
                </c:pt>
              </c:strCache>
            </c:strRef>
          </c:tx>
          <c:spPr>
            <a:solidFill>
              <a:srgbClr val="FFFFCC"/>
            </a:solidFill>
            <a:ln w="12700">
              <a:solidFill>
                <a:srgbClr val="000000"/>
              </a:solidFill>
              <a:prstDash val="solid"/>
            </a:ln>
          </c:spPr>
          <c:explosion val="0"/>
          <c:dPt>
            <c:idx val="0"/>
            <c:bubble3D val="false"/>
            <c:spPr>
              <a:solidFill>
                <a:srgbClr val="9999FF"/>
              </a:solidFill>
              <a:ln w="12700">
                <a:solidFill>
                  <a:srgbClr val="000000"/>
                </a:solidFill>
                <a:prstDash val="solid"/>
              </a:ln>
            </c:spPr>
          </c:dPt>
          <c:dPt>
            <c:idx val="1"/>
            <c:bubble3D val="false"/>
            <c:spPr>
              <a:solidFill>
                <a:srgbClr val="993366"/>
              </a:solidFill>
              <a:ln w="12700">
                <a:solidFill>
                  <a:srgbClr val="000000"/>
                </a:solidFill>
                <a:prstDash val="solid"/>
              </a:ln>
            </c:spPr>
          </c:dPt>
          <c:dLbls>
            <c:numFmt formatCode="0%" sourceLinked="false"/>
            <c:spPr>
              <a:noFill/>
              <a:ln w="25400">
                <a:noFill/>
              </a:ln>
              <a:effectLst/>
            </c:spPr>
            <c:txPr>
              <a:bodyPr rot="0" spcFirstLastPara="0" vertOverflow="ellipsis" vert="horz" wrap="square" lIns="38100" tIns="19050" rIns="38100" bIns="19050" anchor="ctr" anchorCtr="true"/>
              <a:lstStyle/>
              <a:p>
                <a:pPr>
                  <a:defRPr lang="zh-CN" sz="145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false"/>
            <c:showVal val="false"/>
            <c:showCatName val="false"/>
            <c:showSerName val="false"/>
            <c:showPercent val="true"/>
            <c:showBubbleSize val="false"/>
            <c:showLeaderLines val="true"/>
            <c:extLst>
              <c:ext xmlns:c15="http://schemas.microsoft.com/office/drawing/2012/chart" uri="{CE6537A1-D6FC-4f65-9D91-7224C49458BB}">
                <c15:layout/>
                <c15:showLeaderLines val="true"/>
                <c15:leaderLines/>
              </c:ext>
            </c:extLst>
          </c:dLbls>
          <c:cat>
            <c:strRef>
              <c:f>Sheet1!$B$1:$C$1</c:f>
              <c:strCache>
                <c:ptCount val="2"/>
                <c:pt idx="0">
                  <c:v>公务用车购置及运行维护费</c:v>
                </c:pt>
                <c:pt idx="1">
                  <c:v>公务接待费</c:v>
                </c:pt>
              </c:strCache>
            </c:strRef>
          </c:cat>
          <c:val>
            <c:numRef>
              <c:f>Sheet1!$B$4:$C$4</c:f>
              <c:numCache>
                <c:formatCode>General</c:formatCode>
                <c:ptCount val="2"/>
              </c:numCache>
            </c:numRef>
          </c:val>
        </c:ser>
        <c:dLbls>
          <c:showLegendKey val="false"/>
          <c:showVal val="false"/>
          <c:showCatName val="false"/>
          <c:showSerName val="false"/>
          <c:showPercent val="true"/>
          <c:showBubbleSize val="false"/>
          <c:showLeaderLines val="true"/>
        </c:dLbls>
        <c:firstSliceAng val="0"/>
      </c:pieChart>
      <c:spPr>
        <a:solidFill>
          <a:srgbClr val="C0C0C0"/>
        </a:solidFill>
        <a:ln w="12700">
          <a:solidFill>
            <a:srgbClr val="808080"/>
          </a:solidFill>
          <a:prstDash val="solid"/>
        </a:ln>
      </c:spPr>
    </c:plotArea>
    <c:legend>
      <c:legendPos val="r"/>
      <c:layout>
        <c:manualLayout>
          <c:xMode val="edge"/>
          <c:yMode val="edge"/>
          <c:x val="0.616182572614115"/>
          <c:y val="0.411564625850344"/>
          <c:w val="0.340248962655604"/>
          <c:h val="0.350340136054422"/>
        </c:manualLayout>
      </c:layout>
      <c:overlay val="false"/>
      <c:spPr>
        <a:noFill/>
        <a:ln w="3175">
          <a:solidFill>
            <a:srgbClr val="000000"/>
          </a:solidFill>
          <a:prstDash val="solid"/>
        </a:ln>
      </c:spPr>
      <c:txPr>
        <a:bodyPr rot="0" spcFirstLastPara="0" vertOverflow="ellipsis" vert="horz" wrap="square" anchor="ctr" anchorCtr="true"/>
        <a:lstStyle/>
        <a:p>
          <a:pPr>
            <a:defRPr lang="zh-CN" sz="133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true"/>
    <c:dispBlanksAs val="zero"/>
    <c:showDLblsOverMax val="false"/>
  </c:chart>
  <c:spPr>
    <a:noFill/>
    <a:ln w="12700" cap="flat" cmpd="sng" algn="ctr">
      <a:solidFill>
        <a:srgbClr val="000000"/>
      </a:solidFill>
      <a:prstDash val="solid"/>
      <a:round/>
    </a:ln>
  </c:spPr>
  <c:txPr>
    <a:bodyPr/>
    <a:lstStyle/>
    <a:p>
      <a:pPr>
        <a:defRPr lang="zh-CN" sz="145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false"/>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四川省财政厅</Company>
  <Pages>56</Pages>
  <Words>4116</Words>
  <Characters>23465</Characters>
  <Lines>195</Lines>
  <Paragraphs>55</Paragraphs>
  <TotalTime>172</TotalTime>
  <ScaleCrop>false</ScaleCrop>
  <LinksUpToDate>false</LinksUpToDate>
  <CharactersWithSpaces>27526</CharactersWithSpaces>
  <Application>WPS Office_11.8.2.9980_F1E327BC-269C-435d-A152-05C5408002CA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2024-08-14T16:41:00Z</dcterms:created>
  <dc:creator>曹颖</dc:creator>
  <cp:lastModifiedBy>user</cp:lastModifiedBy>
  <cp:lastPrinted>2023-07-31T18:35:00Z</cp:lastPrinted>
  <dcterms:modified xsi:type="dcterms:W3CDTF">2024-08-15T14:31:37Z</dcterms:modified>
  <dc:title>四川省***</dc:title>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2052-11.8.2.9980</vt:lpwstr>
  </property>
  <property fmtid="{D5CDD505-2E9C-101B-9397-08002B2CF9AE}" pid="3" name="ICV">
    <vt:lpwstr>8C4117779451473CBC25B029CDA571AF</vt:lpwstr>
  </property>
</Properties>
</file>