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80" w:lineRule="atLeast"/>
        <w:jc w:val="center"/>
        <w:rPr>
          <w:rFonts w:ascii="方正小标宋简体" w:hAnsi="方正小标宋简体" w:eastAsia="方正小标宋简体" w:cs="方正小标宋简体"/>
          <w:color w:val="000000" w:themeColor="text1"/>
          <w:sz w:val="36"/>
          <w:szCs w:val="36"/>
        </w:rPr>
      </w:pPr>
      <w:bookmarkStart w:id="79" w:name="_GoBack"/>
      <w:r>
        <w:rPr>
          <w:rFonts w:hint="eastAsia" w:ascii="方正小标宋简体" w:hAnsi="方正小标宋简体" w:eastAsia="方正小标宋简体" w:cs="方正小标宋简体"/>
          <w:color w:val="000000" w:themeColor="text1"/>
          <w:kern w:val="0"/>
          <w:sz w:val="36"/>
          <w:szCs w:val="36"/>
          <w:shd w:val="clear" w:color="auto" w:fill="FFFFFF"/>
        </w:rPr>
        <w:t>广元市市场监督管理局广元经开区分局</w:t>
      </w:r>
    </w:p>
    <w:p>
      <w:pPr>
        <w:widowControl/>
        <w:shd w:val="clear" w:color="auto" w:fill="FFFFFF"/>
        <w:spacing w:line="580" w:lineRule="atLeast"/>
        <w:jc w:val="center"/>
        <w:rPr>
          <w:rFonts w:ascii="方正小标宋简体" w:hAnsi="方正小标宋简体" w:eastAsia="方正小标宋简体" w:cs="方正小标宋简体"/>
          <w:color w:val="000000" w:themeColor="text1"/>
          <w:kern w:val="0"/>
          <w:sz w:val="52"/>
          <w:szCs w:val="52"/>
          <w:shd w:val="clear" w:color="auto" w:fill="FFFFFF"/>
        </w:rPr>
      </w:pPr>
      <w:r>
        <w:rPr>
          <w:rFonts w:hint="eastAsia" w:ascii="方正小标宋简体" w:hAnsi="方正小标宋简体" w:eastAsia="方正小标宋简体" w:cs="方正小标宋简体"/>
          <w:color w:val="000000" w:themeColor="text1"/>
          <w:kern w:val="0"/>
          <w:sz w:val="52"/>
          <w:szCs w:val="52"/>
          <w:shd w:val="clear" w:color="auto" w:fill="FFFFFF"/>
        </w:rPr>
        <w:t>2024年单位预算编制说明</w:t>
      </w:r>
    </w:p>
    <w:bookmarkEnd w:id="79"/>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p>
      <w:pPr>
        <w:jc w:val="center"/>
        <w:rPr>
          <w:rFonts w:ascii="黑体" w:hAnsi="黑体" w:eastAsia="黑体" w:cs="黑体"/>
          <w:color w:val="000000" w:themeColor="text1"/>
          <w:kern w:val="0"/>
          <w:sz w:val="32"/>
          <w:szCs w:val="32"/>
          <w:shd w:val="clear" w:color="auto" w:fill="FFFFFF"/>
        </w:rPr>
      </w:pPr>
    </w:p>
    <w:sdt>
      <w:sdtPr>
        <w:rPr>
          <w:rFonts w:ascii="宋体" w:hAnsi="宋体"/>
        </w:rPr>
        <w:id w:val="715281534"/>
        <w:docPartObj>
          <w:docPartGallery w:val="Table of Contents"/>
          <w:docPartUnique/>
        </w:docPartObj>
      </w:sdtPr>
      <w:sdtEndPr>
        <w:rPr>
          <w:rFonts w:hint="eastAsia" w:ascii="黑体" w:hAnsi="黑体" w:eastAsia="黑体" w:cs="黑体"/>
          <w:color w:val="000000" w:themeColor="text1"/>
          <w:kern w:val="0"/>
          <w:szCs w:val="32"/>
          <w:shd w:val="clear" w:color="auto" w:fill="FFFFFF"/>
        </w:rPr>
      </w:sdtEndPr>
      <w:sdtContent>
        <w:p>
          <w:pPr>
            <w:spacing w:line="360" w:lineRule="auto"/>
            <w:jc w:val="center"/>
          </w:pPr>
          <w:r>
            <w:rPr>
              <w:rFonts w:ascii="宋体" w:hAnsi="宋体"/>
            </w:rPr>
            <w:t>目录</w:t>
          </w:r>
        </w:p>
        <w:p>
          <w:pPr>
            <w:pStyle w:val="11"/>
            <w:tabs>
              <w:tab w:val="right" w:leader="dot" w:pos="8845"/>
            </w:tabs>
            <w:spacing w:line="360" w:lineRule="auto"/>
          </w:pPr>
          <w:r>
            <w:fldChar w:fldCharType="begin"/>
          </w:r>
          <w:r>
            <w:instrText xml:space="preserve">TOC \o "1-2" \t "目录" \h \u </w:instrText>
          </w:r>
          <w:r>
            <w:fldChar w:fldCharType="separate"/>
          </w:r>
          <w:r>
            <w:fldChar w:fldCharType="begin"/>
          </w:r>
          <w:r>
            <w:instrText xml:space="preserve"> HYPERLINK \l "_Toc1491539436" </w:instrText>
          </w:r>
          <w:r>
            <w:fldChar w:fldCharType="separate"/>
          </w:r>
          <w:r>
            <w:rPr>
              <w:rFonts w:hint="eastAsia" w:ascii="黑体" w:eastAsia="黑体"/>
              <w:szCs w:val="32"/>
            </w:rPr>
            <w:t>一、基本职能及主要工作</w:t>
          </w:r>
          <w:r>
            <w:tab/>
          </w:r>
          <w:r>
            <w:fldChar w:fldCharType="begin"/>
          </w:r>
          <w:r>
            <w:instrText xml:space="preserve"> PAGEREF _Toc1491539436 \h </w:instrText>
          </w:r>
          <w:r>
            <w:fldChar w:fldCharType="separate"/>
          </w:r>
          <w:r>
            <w:t>3</w:t>
          </w:r>
          <w:r>
            <w:fldChar w:fldCharType="end"/>
          </w:r>
          <w:r>
            <w:fldChar w:fldCharType="end"/>
          </w:r>
        </w:p>
        <w:p>
          <w:pPr>
            <w:pStyle w:val="13"/>
            <w:tabs>
              <w:tab w:val="right" w:leader="dot" w:pos="8845"/>
            </w:tabs>
            <w:spacing w:line="360" w:lineRule="auto"/>
          </w:pPr>
          <w:r>
            <w:fldChar w:fldCharType="begin"/>
          </w:r>
          <w:r>
            <w:instrText xml:space="preserve"> HYPERLINK \l "_Toc622200408" </w:instrText>
          </w:r>
          <w:r>
            <w:fldChar w:fldCharType="separate"/>
          </w:r>
          <w:r>
            <w:rPr>
              <w:rFonts w:hint="eastAsia"/>
            </w:rPr>
            <w:t>（一）单位职能简介</w:t>
          </w:r>
          <w:r>
            <w:tab/>
          </w:r>
          <w:r>
            <w:fldChar w:fldCharType="begin"/>
          </w:r>
          <w:r>
            <w:instrText xml:space="preserve"> PAGEREF _Toc622200408 \h </w:instrText>
          </w:r>
          <w:r>
            <w:fldChar w:fldCharType="separate"/>
          </w:r>
          <w:r>
            <w:t>3</w:t>
          </w:r>
          <w:r>
            <w:fldChar w:fldCharType="end"/>
          </w:r>
          <w:r>
            <w:fldChar w:fldCharType="end"/>
          </w:r>
        </w:p>
        <w:p>
          <w:pPr>
            <w:pStyle w:val="13"/>
            <w:tabs>
              <w:tab w:val="right" w:leader="dot" w:pos="8845"/>
            </w:tabs>
            <w:spacing w:line="360" w:lineRule="auto"/>
          </w:pPr>
          <w:r>
            <w:fldChar w:fldCharType="begin"/>
          </w:r>
          <w:r>
            <w:instrText xml:space="preserve"> HYPERLINK \l "_Toc922802584" </w:instrText>
          </w:r>
          <w:r>
            <w:fldChar w:fldCharType="separate"/>
          </w:r>
          <w:r>
            <w:rPr>
              <w:rFonts w:hint="eastAsia"/>
            </w:rPr>
            <w:t>（二）单位2024年重点工作</w:t>
          </w:r>
          <w:r>
            <w:tab/>
          </w:r>
          <w:r>
            <w:fldChar w:fldCharType="begin"/>
          </w:r>
          <w:r>
            <w:instrText xml:space="preserve"> PAGEREF _Toc922802584 \h </w:instrText>
          </w:r>
          <w:r>
            <w:fldChar w:fldCharType="separate"/>
          </w:r>
          <w:r>
            <w:t>5</w:t>
          </w:r>
          <w:r>
            <w:fldChar w:fldCharType="end"/>
          </w:r>
          <w:r>
            <w:fldChar w:fldCharType="end"/>
          </w:r>
        </w:p>
        <w:p>
          <w:pPr>
            <w:pStyle w:val="11"/>
            <w:tabs>
              <w:tab w:val="right" w:leader="dot" w:pos="8845"/>
            </w:tabs>
            <w:spacing w:line="360" w:lineRule="auto"/>
          </w:pPr>
          <w:r>
            <w:fldChar w:fldCharType="begin"/>
          </w:r>
          <w:r>
            <w:instrText xml:space="preserve"> HYPERLINK \l "_Toc732858093" </w:instrText>
          </w:r>
          <w:r>
            <w:fldChar w:fldCharType="separate"/>
          </w:r>
          <w:r>
            <w:rPr>
              <w:rFonts w:hint="eastAsia" w:ascii="黑体" w:eastAsia="黑体"/>
              <w:szCs w:val="32"/>
            </w:rPr>
            <w:t>二、部门预算单位构成</w:t>
          </w:r>
          <w:r>
            <w:tab/>
          </w:r>
          <w:r>
            <w:fldChar w:fldCharType="begin"/>
          </w:r>
          <w:r>
            <w:instrText xml:space="preserve"> PAGEREF _Toc732858093 \h </w:instrText>
          </w:r>
          <w:r>
            <w:fldChar w:fldCharType="separate"/>
          </w:r>
          <w:r>
            <w:t>7</w:t>
          </w:r>
          <w:r>
            <w:fldChar w:fldCharType="end"/>
          </w:r>
          <w:r>
            <w:fldChar w:fldCharType="end"/>
          </w:r>
        </w:p>
        <w:p>
          <w:pPr>
            <w:pStyle w:val="11"/>
            <w:tabs>
              <w:tab w:val="right" w:leader="dot" w:pos="8845"/>
            </w:tabs>
            <w:spacing w:line="360" w:lineRule="auto"/>
          </w:pPr>
          <w:r>
            <w:fldChar w:fldCharType="begin"/>
          </w:r>
          <w:r>
            <w:instrText xml:space="preserve"> HYPERLINK \l "_Toc2085180541" </w:instrText>
          </w:r>
          <w:r>
            <w:fldChar w:fldCharType="separate"/>
          </w:r>
          <w:r>
            <w:rPr>
              <w:rFonts w:hint="eastAsia" w:ascii="黑体" w:eastAsia="黑体"/>
              <w:szCs w:val="32"/>
            </w:rPr>
            <w:t>三、收支预算情况说明</w:t>
          </w:r>
          <w:r>
            <w:tab/>
          </w:r>
          <w:r>
            <w:fldChar w:fldCharType="begin"/>
          </w:r>
          <w:r>
            <w:instrText xml:space="preserve"> PAGEREF _Toc2085180541 \h </w:instrText>
          </w:r>
          <w:r>
            <w:fldChar w:fldCharType="separate"/>
          </w:r>
          <w:r>
            <w:t>7</w:t>
          </w:r>
          <w:r>
            <w:fldChar w:fldCharType="end"/>
          </w:r>
          <w:r>
            <w:fldChar w:fldCharType="end"/>
          </w:r>
        </w:p>
        <w:p>
          <w:pPr>
            <w:pStyle w:val="13"/>
            <w:tabs>
              <w:tab w:val="right" w:leader="dot" w:pos="8845"/>
            </w:tabs>
            <w:spacing w:line="360" w:lineRule="auto"/>
          </w:pPr>
          <w:r>
            <w:fldChar w:fldCharType="begin"/>
          </w:r>
          <w:r>
            <w:instrText xml:space="preserve"> HYPERLINK \l "_Toc560883190" </w:instrText>
          </w:r>
          <w:r>
            <w:fldChar w:fldCharType="separate"/>
          </w:r>
          <w:r>
            <w:rPr>
              <w:rFonts w:hint="eastAsia"/>
            </w:rPr>
            <w:t>（一）收入预算情况</w:t>
          </w:r>
          <w:r>
            <w:tab/>
          </w:r>
          <w:r>
            <w:fldChar w:fldCharType="begin"/>
          </w:r>
          <w:r>
            <w:instrText xml:space="preserve"> PAGEREF _Toc560883190 \h </w:instrText>
          </w:r>
          <w:r>
            <w:fldChar w:fldCharType="separate"/>
          </w:r>
          <w:r>
            <w:t>7</w:t>
          </w:r>
          <w:r>
            <w:fldChar w:fldCharType="end"/>
          </w:r>
          <w:r>
            <w:fldChar w:fldCharType="end"/>
          </w:r>
        </w:p>
        <w:p>
          <w:pPr>
            <w:pStyle w:val="13"/>
            <w:tabs>
              <w:tab w:val="right" w:leader="dot" w:pos="8845"/>
            </w:tabs>
            <w:spacing w:line="360" w:lineRule="auto"/>
          </w:pPr>
          <w:r>
            <w:fldChar w:fldCharType="begin"/>
          </w:r>
          <w:r>
            <w:instrText xml:space="preserve"> HYPERLINK \l "_Toc1428181775" </w:instrText>
          </w:r>
          <w:r>
            <w:fldChar w:fldCharType="separate"/>
          </w:r>
          <w:r>
            <w:rPr>
              <w:rFonts w:hint="eastAsia"/>
            </w:rPr>
            <w:t>（二）支出预算情况</w:t>
          </w:r>
          <w:r>
            <w:tab/>
          </w:r>
          <w:r>
            <w:fldChar w:fldCharType="begin"/>
          </w:r>
          <w:r>
            <w:instrText xml:space="preserve"> PAGEREF _Toc1428181775 \h </w:instrText>
          </w:r>
          <w:r>
            <w:fldChar w:fldCharType="separate"/>
          </w:r>
          <w:r>
            <w:t>7</w:t>
          </w:r>
          <w:r>
            <w:fldChar w:fldCharType="end"/>
          </w:r>
          <w:r>
            <w:fldChar w:fldCharType="end"/>
          </w:r>
        </w:p>
        <w:p>
          <w:pPr>
            <w:pStyle w:val="11"/>
            <w:tabs>
              <w:tab w:val="right" w:leader="dot" w:pos="8845"/>
            </w:tabs>
            <w:spacing w:line="360" w:lineRule="auto"/>
          </w:pPr>
          <w:r>
            <w:fldChar w:fldCharType="begin"/>
          </w:r>
          <w:r>
            <w:instrText xml:space="preserve"> HYPERLINK \l "_Toc179598481" </w:instrText>
          </w:r>
          <w:r>
            <w:fldChar w:fldCharType="separate"/>
          </w:r>
          <w:r>
            <w:rPr>
              <w:rFonts w:hint="eastAsia" w:ascii="黑体" w:eastAsia="黑体"/>
              <w:szCs w:val="32"/>
            </w:rPr>
            <w:t>四、财政拨款收支预算情况说明</w:t>
          </w:r>
          <w:r>
            <w:tab/>
          </w:r>
          <w:r>
            <w:fldChar w:fldCharType="begin"/>
          </w:r>
          <w:r>
            <w:instrText xml:space="preserve"> PAGEREF _Toc179598481 \h </w:instrText>
          </w:r>
          <w:r>
            <w:fldChar w:fldCharType="separate"/>
          </w:r>
          <w:r>
            <w:t>8</w:t>
          </w:r>
          <w:r>
            <w:fldChar w:fldCharType="end"/>
          </w:r>
          <w:r>
            <w:fldChar w:fldCharType="end"/>
          </w:r>
        </w:p>
        <w:p>
          <w:pPr>
            <w:pStyle w:val="11"/>
            <w:tabs>
              <w:tab w:val="right" w:leader="dot" w:pos="8845"/>
            </w:tabs>
            <w:spacing w:line="360" w:lineRule="auto"/>
          </w:pPr>
          <w:r>
            <w:fldChar w:fldCharType="begin"/>
          </w:r>
          <w:r>
            <w:instrText xml:space="preserve"> HYPERLINK \l "_Toc2099217840" </w:instrText>
          </w:r>
          <w:r>
            <w:fldChar w:fldCharType="separate"/>
          </w:r>
          <w:r>
            <w:rPr>
              <w:rFonts w:hint="eastAsia" w:ascii="黑体" w:eastAsia="黑体"/>
              <w:szCs w:val="32"/>
            </w:rPr>
            <w:t>五、一般公共预算当年拨款情况说明</w:t>
          </w:r>
          <w:r>
            <w:tab/>
          </w:r>
          <w:r>
            <w:fldChar w:fldCharType="begin"/>
          </w:r>
          <w:r>
            <w:instrText xml:space="preserve"> PAGEREF _Toc2099217840 \h </w:instrText>
          </w:r>
          <w:r>
            <w:fldChar w:fldCharType="separate"/>
          </w:r>
          <w:r>
            <w:t>8</w:t>
          </w:r>
          <w:r>
            <w:fldChar w:fldCharType="end"/>
          </w:r>
          <w:r>
            <w:fldChar w:fldCharType="end"/>
          </w:r>
        </w:p>
        <w:p>
          <w:pPr>
            <w:pStyle w:val="13"/>
            <w:tabs>
              <w:tab w:val="right" w:leader="dot" w:pos="8845"/>
            </w:tabs>
            <w:spacing w:line="360" w:lineRule="auto"/>
          </w:pPr>
          <w:r>
            <w:fldChar w:fldCharType="begin"/>
          </w:r>
          <w:r>
            <w:instrText xml:space="preserve"> HYPERLINK \l "_Toc257016501" </w:instrText>
          </w:r>
          <w:r>
            <w:fldChar w:fldCharType="separate"/>
          </w:r>
          <w:r>
            <w:rPr>
              <w:rFonts w:hint="eastAsia"/>
            </w:rPr>
            <w:t>（一）一般公共预算当年拨款规模变化情况</w:t>
          </w:r>
          <w:r>
            <w:tab/>
          </w:r>
          <w:r>
            <w:fldChar w:fldCharType="begin"/>
          </w:r>
          <w:r>
            <w:instrText xml:space="preserve"> PAGEREF _Toc257016501 \h </w:instrText>
          </w:r>
          <w:r>
            <w:fldChar w:fldCharType="separate"/>
          </w:r>
          <w:r>
            <w:t>8</w:t>
          </w:r>
          <w:r>
            <w:fldChar w:fldCharType="end"/>
          </w:r>
          <w:r>
            <w:fldChar w:fldCharType="end"/>
          </w:r>
        </w:p>
        <w:p>
          <w:pPr>
            <w:pStyle w:val="13"/>
            <w:tabs>
              <w:tab w:val="right" w:leader="dot" w:pos="8845"/>
            </w:tabs>
            <w:spacing w:line="360" w:lineRule="auto"/>
          </w:pPr>
          <w:r>
            <w:fldChar w:fldCharType="begin"/>
          </w:r>
          <w:r>
            <w:instrText xml:space="preserve"> HYPERLINK \l "_Toc958035941" </w:instrText>
          </w:r>
          <w:r>
            <w:fldChar w:fldCharType="separate"/>
          </w:r>
          <w:r>
            <w:rPr>
              <w:rFonts w:hint="eastAsia"/>
            </w:rPr>
            <w:t>（二）一般公共预算当年拨款结构情况</w:t>
          </w:r>
          <w:r>
            <w:tab/>
          </w:r>
          <w:r>
            <w:fldChar w:fldCharType="begin"/>
          </w:r>
          <w:r>
            <w:instrText xml:space="preserve"> PAGEREF _Toc958035941 \h </w:instrText>
          </w:r>
          <w:r>
            <w:fldChar w:fldCharType="separate"/>
          </w:r>
          <w:r>
            <w:t>8</w:t>
          </w:r>
          <w:r>
            <w:fldChar w:fldCharType="end"/>
          </w:r>
          <w:r>
            <w:fldChar w:fldCharType="end"/>
          </w:r>
        </w:p>
        <w:p>
          <w:pPr>
            <w:pStyle w:val="13"/>
            <w:tabs>
              <w:tab w:val="right" w:leader="dot" w:pos="8845"/>
            </w:tabs>
            <w:spacing w:line="360" w:lineRule="auto"/>
          </w:pPr>
          <w:r>
            <w:fldChar w:fldCharType="begin"/>
          </w:r>
          <w:r>
            <w:instrText xml:space="preserve"> HYPERLINK \l "_Toc767036773" </w:instrText>
          </w:r>
          <w:r>
            <w:fldChar w:fldCharType="separate"/>
          </w:r>
          <w:r>
            <w:rPr>
              <w:rFonts w:hint="eastAsia"/>
            </w:rPr>
            <w:t>（三）一般公共预算当年拨款具体使用情况</w:t>
          </w:r>
          <w:r>
            <w:tab/>
          </w:r>
          <w:r>
            <w:fldChar w:fldCharType="begin"/>
          </w:r>
          <w:r>
            <w:instrText xml:space="preserve"> PAGEREF _Toc767036773 \h </w:instrText>
          </w:r>
          <w:r>
            <w:fldChar w:fldCharType="separate"/>
          </w:r>
          <w:r>
            <w:t>8</w:t>
          </w:r>
          <w:r>
            <w:fldChar w:fldCharType="end"/>
          </w:r>
          <w:r>
            <w:fldChar w:fldCharType="end"/>
          </w:r>
        </w:p>
        <w:p>
          <w:pPr>
            <w:pStyle w:val="11"/>
            <w:tabs>
              <w:tab w:val="right" w:leader="dot" w:pos="8845"/>
            </w:tabs>
            <w:spacing w:line="360" w:lineRule="auto"/>
          </w:pPr>
          <w:r>
            <w:fldChar w:fldCharType="begin"/>
          </w:r>
          <w:r>
            <w:instrText xml:space="preserve"> HYPERLINK \l "_Toc351732332" </w:instrText>
          </w:r>
          <w:r>
            <w:fldChar w:fldCharType="separate"/>
          </w:r>
          <w:r>
            <w:rPr>
              <w:rFonts w:hint="eastAsia" w:ascii="黑体" w:eastAsia="黑体"/>
              <w:szCs w:val="32"/>
            </w:rPr>
            <w:t>六、一般公共预算基本支出情况说明</w:t>
          </w:r>
          <w:r>
            <w:tab/>
          </w:r>
          <w:r>
            <w:fldChar w:fldCharType="begin"/>
          </w:r>
          <w:r>
            <w:instrText xml:space="preserve"> PAGEREF _Toc351732332 \h </w:instrText>
          </w:r>
          <w:r>
            <w:fldChar w:fldCharType="separate"/>
          </w:r>
          <w:r>
            <w:t>10</w:t>
          </w:r>
          <w:r>
            <w:fldChar w:fldCharType="end"/>
          </w:r>
          <w:r>
            <w:fldChar w:fldCharType="end"/>
          </w:r>
        </w:p>
        <w:p>
          <w:pPr>
            <w:pStyle w:val="11"/>
            <w:tabs>
              <w:tab w:val="right" w:leader="dot" w:pos="8845"/>
            </w:tabs>
            <w:spacing w:line="360" w:lineRule="auto"/>
          </w:pPr>
          <w:r>
            <w:fldChar w:fldCharType="begin"/>
          </w:r>
          <w:r>
            <w:instrText xml:space="preserve"> HYPERLINK \l "_Toc973560706" </w:instrText>
          </w:r>
          <w:r>
            <w:fldChar w:fldCharType="separate"/>
          </w:r>
          <w:r>
            <w:rPr>
              <w:rFonts w:hint="eastAsia" w:ascii="黑体" w:eastAsia="黑体"/>
              <w:szCs w:val="32"/>
            </w:rPr>
            <w:t>七、“三公”经费财政拨款预算安排情况说明</w:t>
          </w:r>
          <w:r>
            <w:tab/>
          </w:r>
          <w:r>
            <w:fldChar w:fldCharType="begin"/>
          </w:r>
          <w:r>
            <w:instrText xml:space="preserve"> PAGEREF _Toc973560706 \h </w:instrText>
          </w:r>
          <w:r>
            <w:fldChar w:fldCharType="separate"/>
          </w:r>
          <w:r>
            <w:t>10</w:t>
          </w:r>
          <w:r>
            <w:fldChar w:fldCharType="end"/>
          </w:r>
          <w:r>
            <w:fldChar w:fldCharType="end"/>
          </w:r>
        </w:p>
        <w:p>
          <w:pPr>
            <w:pStyle w:val="13"/>
            <w:tabs>
              <w:tab w:val="right" w:leader="dot" w:pos="8845"/>
            </w:tabs>
            <w:spacing w:line="360" w:lineRule="auto"/>
          </w:pPr>
          <w:r>
            <w:fldChar w:fldCharType="begin"/>
          </w:r>
          <w:r>
            <w:instrText xml:space="preserve"> HYPERLINK \l "_Toc88010272" </w:instrText>
          </w:r>
          <w:r>
            <w:fldChar w:fldCharType="separate"/>
          </w:r>
          <w:r>
            <w:rPr>
              <w:rFonts w:hint="eastAsia"/>
            </w:rPr>
            <w:t>（一）公务接待费</w:t>
          </w:r>
          <w:r>
            <w:tab/>
          </w:r>
          <w:r>
            <w:fldChar w:fldCharType="begin"/>
          </w:r>
          <w:r>
            <w:instrText xml:space="preserve"> PAGEREF _Toc88010272 \h </w:instrText>
          </w:r>
          <w:r>
            <w:fldChar w:fldCharType="separate"/>
          </w:r>
          <w:r>
            <w:t>10</w:t>
          </w:r>
          <w:r>
            <w:fldChar w:fldCharType="end"/>
          </w:r>
          <w:r>
            <w:fldChar w:fldCharType="end"/>
          </w:r>
        </w:p>
        <w:p>
          <w:pPr>
            <w:pStyle w:val="13"/>
            <w:tabs>
              <w:tab w:val="right" w:leader="dot" w:pos="8845"/>
            </w:tabs>
            <w:spacing w:line="360" w:lineRule="auto"/>
          </w:pPr>
          <w:r>
            <w:fldChar w:fldCharType="begin"/>
          </w:r>
          <w:r>
            <w:instrText xml:space="preserve"> HYPERLINK \l "_Toc1382045435" </w:instrText>
          </w:r>
          <w:r>
            <w:fldChar w:fldCharType="separate"/>
          </w:r>
          <w:r>
            <w:t>（二）</w:t>
          </w:r>
          <w:r>
            <w:rPr>
              <w:rFonts w:hint="eastAsia"/>
            </w:rPr>
            <w:t>公务用车购置及运行维护费</w:t>
          </w:r>
          <w:r>
            <w:tab/>
          </w:r>
          <w:r>
            <w:fldChar w:fldCharType="begin"/>
          </w:r>
          <w:r>
            <w:instrText xml:space="preserve"> PAGEREF _Toc1382045435 \h </w:instrText>
          </w:r>
          <w:r>
            <w:fldChar w:fldCharType="separate"/>
          </w:r>
          <w:r>
            <w:t>11</w:t>
          </w:r>
          <w:r>
            <w:fldChar w:fldCharType="end"/>
          </w:r>
          <w:r>
            <w:fldChar w:fldCharType="end"/>
          </w:r>
        </w:p>
        <w:p>
          <w:pPr>
            <w:pStyle w:val="13"/>
            <w:tabs>
              <w:tab w:val="right" w:leader="dot" w:pos="8845"/>
            </w:tabs>
            <w:spacing w:line="360" w:lineRule="auto"/>
          </w:pPr>
          <w:r>
            <w:fldChar w:fldCharType="begin"/>
          </w:r>
          <w:r>
            <w:instrText xml:space="preserve"> HYPERLINK \l "_Toc1362107545" </w:instrText>
          </w:r>
          <w:r>
            <w:fldChar w:fldCharType="separate"/>
          </w:r>
          <w:r>
            <w:rPr>
              <w:rFonts w:hint="eastAsia"/>
            </w:rPr>
            <w:t>（三）因公出国（境）经费</w:t>
          </w:r>
          <w:r>
            <w:tab/>
          </w:r>
          <w:r>
            <w:fldChar w:fldCharType="begin"/>
          </w:r>
          <w:r>
            <w:instrText xml:space="preserve"> PAGEREF _Toc1362107545 \h </w:instrText>
          </w:r>
          <w:r>
            <w:fldChar w:fldCharType="separate"/>
          </w:r>
          <w:r>
            <w:t>11</w:t>
          </w:r>
          <w:r>
            <w:fldChar w:fldCharType="end"/>
          </w:r>
          <w:r>
            <w:fldChar w:fldCharType="end"/>
          </w:r>
        </w:p>
        <w:p>
          <w:pPr>
            <w:pStyle w:val="11"/>
            <w:tabs>
              <w:tab w:val="right" w:leader="dot" w:pos="8845"/>
            </w:tabs>
            <w:spacing w:line="360" w:lineRule="auto"/>
          </w:pPr>
          <w:r>
            <w:fldChar w:fldCharType="begin"/>
          </w:r>
          <w:r>
            <w:instrText xml:space="preserve"> HYPERLINK \l "_Toc1795816512" </w:instrText>
          </w:r>
          <w:r>
            <w:fldChar w:fldCharType="separate"/>
          </w:r>
          <w:r>
            <w:rPr>
              <w:rFonts w:hint="eastAsia" w:ascii="黑体" w:eastAsia="黑体"/>
              <w:szCs w:val="32"/>
            </w:rPr>
            <w:t>八、政府性基金预算支出情况说明</w:t>
          </w:r>
          <w:r>
            <w:tab/>
          </w:r>
          <w:r>
            <w:fldChar w:fldCharType="begin"/>
          </w:r>
          <w:r>
            <w:instrText xml:space="preserve"> PAGEREF _Toc1795816512 \h </w:instrText>
          </w:r>
          <w:r>
            <w:fldChar w:fldCharType="separate"/>
          </w:r>
          <w:r>
            <w:t>11</w:t>
          </w:r>
          <w:r>
            <w:fldChar w:fldCharType="end"/>
          </w:r>
          <w:r>
            <w:fldChar w:fldCharType="end"/>
          </w:r>
        </w:p>
        <w:p>
          <w:pPr>
            <w:pStyle w:val="11"/>
            <w:tabs>
              <w:tab w:val="right" w:leader="dot" w:pos="8845"/>
            </w:tabs>
            <w:spacing w:line="360" w:lineRule="auto"/>
          </w:pPr>
          <w:r>
            <w:fldChar w:fldCharType="begin"/>
          </w:r>
          <w:r>
            <w:instrText xml:space="preserve"> HYPERLINK \l "_Toc1822345913" </w:instrText>
          </w:r>
          <w:r>
            <w:fldChar w:fldCharType="separate"/>
          </w:r>
          <w:r>
            <w:rPr>
              <w:rFonts w:hint="eastAsia" w:ascii="黑体" w:eastAsia="黑体"/>
              <w:szCs w:val="32"/>
            </w:rPr>
            <w:t>九、国有资本经营预算支出情况说明</w:t>
          </w:r>
          <w:r>
            <w:tab/>
          </w:r>
          <w:r>
            <w:fldChar w:fldCharType="begin"/>
          </w:r>
          <w:r>
            <w:instrText xml:space="preserve"> PAGEREF _Toc1822345913 \h </w:instrText>
          </w:r>
          <w:r>
            <w:fldChar w:fldCharType="separate"/>
          </w:r>
          <w:r>
            <w:t>11</w:t>
          </w:r>
          <w:r>
            <w:fldChar w:fldCharType="end"/>
          </w:r>
          <w:r>
            <w:fldChar w:fldCharType="end"/>
          </w:r>
        </w:p>
        <w:p>
          <w:pPr>
            <w:pStyle w:val="11"/>
            <w:tabs>
              <w:tab w:val="right" w:leader="dot" w:pos="8845"/>
            </w:tabs>
            <w:spacing w:line="360" w:lineRule="auto"/>
          </w:pPr>
          <w:r>
            <w:fldChar w:fldCharType="begin"/>
          </w:r>
          <w:r>
            <w:instrText xml:space="preserve"> HYPERLINK \l "_Toc74573121" </w:instrText>
          </w:r>
          <w:r>
            <w:fldChar w:fldCharType="separate"/>
          </w:r>
          <w:r>
            <w:rPr>
              <w:rFonts w:hint="eastAsia" w:ascii="黑体" w:eastAsia="黑体"/>
              <w:szCs w:val="32"/>
            </w:rPr>
            <w:t>十、其他重要事项的情况说明</w:t>
          </w:r>
          <w:r>
            <w:tab/>
          </w:r>
          <w:r>
            <w:fldChar w:fldCharType="begin"/>
          </w:r>
          <w:r>
            <w:instrText xml:space="preserve"> PAGEREF _Toc74573121 \h </w:instrText>
          </w:r>
          <w:r>
            <w:fldChar w:fldCharType="separate"/>
          </w:r>
          <w:r>
            <w:t>11</w:t>
          </w:r>
          <w:r>
            <w:fldChar w:fldCharType="end"/>
          </w:r>
          <w:r>
            <w:fldChar w:fldCharType="end"/>
          </w:r>
        </w:p>
        <w:p>
          <w:pPr>
            <w:pStyle w:val="13"/>
            <w:tabs>
              <w:tab w:val="right" w:leader="dot" w:pos="8845"/>
            </w:tabs>
            <w:spacing w:line="360" w:lineRule="auto"/>
          </w:pPr>
          <w:r>
            <w:fldChar w:fldCharType="begin"/>
          </w:r>
          <w:r>
            <w:instrText xml:space="preserve"> HYPERLINK \l "_Toc1100628290" </w:instrText>
          </w:r>
          <w:r>
            <w:fldChar w:fldCharType="separate"/>
          </w:r>
          <w:r>
            <w:rPr>
              <w:rFonts w:hint="eastAsia"/>
            </w:rPr>
            <w:t>（一）机关运行经费</w:t>
          </w:r>
          <w:r>
            <w:tab/>
          </w:r>
          <w:r>
            <w:fldChar w:fldCharType="begin"/>
          </w:r>
          <w:r>
            <w:instrText xml:space="preserve"> PAGEREF _Toc1100628290 \h </w:instrText>
          </w:r>
          <w:r>
            <w:fldChar w:fldCharType="separate"/>
          </w:r>
          <w:r>
            <w:t>11</w:t>
          </w:r>
          <w:r>
            <w:fldChar w:fldCharType="end"/>
          </w:r>
          <w:r>
            <w:fldChar w:fldCharType="end"/>
          </w:r>
        </w:p>
        <w:p>
          <w:pPr>
            <w:pStyle w:val="13"/>
            <w:tabs>
              <w:tab w:val="right" w:leader="dot" w:pos="8845"/>
            </w:tabs>
            <w:spacing w:line="360" w:lineRule="auto"/>
          </w:pPr>
          <w:r>
            <w:fldChar w:fldCharType="begin"/>
          </w:r>
          <w:r>
            <w:instrText xml:space="preserve"> HYPERLINK \l "_Toc621200812" </w:instrText>
          </w:r>
          <w:r>
            <w:fldChar w:fldCharType="separate"/>
          </w:r>
          <w:r>
            <w:rPr>
              <w:rFonts w:hint="eastAsia"/>
            </w:rPr>
            <w:t>（二）政府采购情况</w:t>
          </w:r>
          <w:r>
            <w:tab/>
          </w:r>
          <w:r>
            <w:fldChar w:fldCharType="begin"/>
          </w:r>
          <w:r>
            <w:instrText xml:space="preserve"> PAGEREF _Toc621200812 \h </w:instrText>
          </w:r>
          <w:r>
            <w:fldChar w:fldCharType="separate"/>
          </w:r>
          <w:r>
            <w:t>12</w:t>
          </w:r>
          <w:r>
            <w:fldChar w:fldCharType="end"/>
          </w:r>
          <w:r>
            <w:fldChar w:fldCharType="end"/>
          </w:r>
        </w:p>
        <w:p>
          <w:pPr>
            <w:pStyle w:val="13"/>
            <w:tabs>
              <w:tab w:val="right" w:leader="dot" w:pos="8845"/>
            </w:tabs>
            <w:spacing w:line="360" w:lineRule="auto"/>
          </w:pPr>
          <w:r>
            <w:fldChar w:fldCharType="begin"/>
          </w:r>
          <w:r>
            <w:instrText xml:space="preserve"> HYPERLINK \l "_Toc647557465" </w:instrText>
          </w:r>
          <w:r>
            <w:fldChar w:fldCharType="separate"/>
          </w:r>
          <w:r>
            <w:rPr>
              <w:rFonts w:hint="eastAsia"/>
            </w:rPr>
            <w:t>（三）国有资产占有使用情况</w:t>
          </w:r>
          <w:r>
            <w:tab/>
          </w:r>
          <w:r>
            <w:fldChar w:fldCharType="begin"/>
          </w:r>
          <w:r>
            <w:instrText xml:space="preserve"> PAGEREF _Toc647557465 \h </w:instrText>
          </w:r>
          <w:r>
            <w:fldChar w:fldCharType="separate"/>
          </w:r>
          <w:r>
            <w:t>12</w:t>
          </w:r>
          <w:r>
            <w:fldChar w:fldCharType="end"/>
          </w:r>
          <w:r>
            <w:fldChar w:fldCharType="end"/>
          </w:r>
        </w:p>
        <w:p>
          <w:pPr>
            <w:pStyle w:val="13"/>
            <w:tabs>
              <w:tab w:val="right" w:leader="dot" w:pos="8845"/>
            </w:tabs>
            <w:spacing w:line="360" w:lineRule="auto"/>
          </w:pPr>
          <w:r>
            <w:fldChar w:fldCharType="begin"/>
          </w:r>
          <w:r>
            <w:instrText xml:space="preserve"> HYPERLINK \l "_Toc544883565" </w:instrText>
          </w:r>
          <w:r>
            <w:fldChar w:fldCharType="separate"/>
          </w:r>
          <w:r>
            <w:rPr>
              <w:rFonts w:hint="eastAsia"/>
            </w:rPr>
            <w:t>（四）绩效目标设置情况</w:t>
          </w:r>
          <w:r>
            <w:tab/>
          </w:r>
          <w:r>
            <w:fldChar w:fldCharType="begin"/>
          </w:r>
          <w:r>
            <w:instrText xml:space="preserve"> PAGEREF _Toc544883565 \h </w:instrText>
          </w:r>
          <w:r>
            <w:fldChar w:fldCharType="separate"/>
          </w:r>
          <w:r>
            <w:t>12</w:t>
          </w:r>
          <w:r>
            <w:fldChar w:fldCharType="end"/>
          </w:r>
          <w:r>
            <w:fldChar w:fldCharType="end"/>
          </w:r>
        </w:p>
        <w:p>
          <w:pPr>
            <w:pStyle w:val="11"/>
            <w:tabs>
              <w:tab w:val="right" w:leader="dot" w:pos="8845"/>
            </w:tabs>
            <w:spacing w:line="360" w:lineRule="auto"/>
          </w:pPr>
          <w:r>
            <w:fldChar w:fldCharType="begin"/>
          </w:r>
          <w:r>
            <w:instrText xml:space="preserve"> HYPERLINK \l "_Toc1955634492" </w:instrText>
          </w:r>
          <w:r>
            <w:fldChar w:fldCharType="separate"/>
          </w:r>
          <w:r>
            <w:rPr>
              <w:rFonts w:hint="eastAsia" w:ascii="黑体" w:eastAsia="黑体"/>
              <w:szCs w:val="32"/>
            </w:rPr>
            <w:t>十一、名词解释</w:t>
          </w:r>
          <w:r>
            <w:tab/>
          </w:r>
          <w:r>
            <w:fldChar w:fldCharType="begin"/>
          </w:r>
          <w:r>
            <w:instrText xml:space="preserve"> PAGEREF _Toc1955634492 \h </w:instrText>
          </w:r>
          <w:r>
            <w:fldChar w:fldCharType="separate"/>
          </w:r>
          <w:r>
            <w:t>12</w:t>
          </w:r>
          <w:r>
            <w:fldChar w:fldCharType="end"/>
          </w:r>
          <w:r>
            <w:fldChar w:fldCharType="end"/>
          </w:r>
        </w:p>
        <w:p>
          <w:pPr>
            <w:spacing w:line="360" w:lineRule="auto"/>
          </w:pPr>
          <w:r>
            <w:fldChar w:fldCharType="end"/>
          </w:r>
        </w:p>
        <w:p>
          <w:pPr>
            <w:spacing w:line="360" w:lineRule="auto"/>
            <w:jc w:val="center"/>
            <w:rPr>
              <w:rFonts w:ascii="黑体" w:hAnsi="黑体" w:eastAsia="黑体" w:cs="黑体"/>
              <w:color w:val="000000" w:themeColor="text1"/>
              <w:kern w:val="0"/>
              <w:szCs w:val="32"/>
              <w:shd w:val="clear" w:color="auto" w:fill="FFFFFF"/>
            </w:rPr>
          </w:pPr>
        </w:p>
      </w:sdtContent>
    </w:sdt>
    <w:p>
      <w:pPr>
        <w:pStyle w:val="4"/>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firstLineChars="200"/>
        <w:rPr>
          <w:rFonts w:ascii="黑体" w:eastAsia="黑体"/>
          <w:b w:val="0"/>
          <w:sz w:val="32"/>
          <w:szCs w:val="32"/>
        </w:rPr>
      </w:pPr>
      <w:bookmarkStart w:id="0" w:name="_Toc1096937146"/>
      <w:bookmarkStart w:id="1" w:name="_Toc1491539436"/>
      <w:bookmarkStart w:id="2" w:name="_Toc63491001"/>
      <w:bookmarkStart w:id="3" w:name="_Toc158021354"/>
      <w:r>
        <w:rPr>
          <w:rFonts w:hint="eastAsia" w:ascii="黑体" w:eastAsia="黑体"/>
          <w:b w:val="0"/>
          <w:sz w:val="32"/>
          <w:szCs w:val="32"/>
        </w:rPr>
        <w:t>一、基本职能及主要工作</w:t>
      </w:r>
      <w:bookmarkEnd w:id="0"/>
      <w:bookmarkEnd w:id="1"/>
      <w:bookmarkEnd w:id="2"/>
      <w:bookmarkEnd w:id="3"/>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4" w:name="_Toc837645002"/>
      <w:bookmarkStart w:id="5" w:name="_Toc158021355"/>
      <w:bookmarkStart w:id="6" w:name="_Toc622200408"/>
      <w:bookmarkStart w:id="7" w:name="_Toc180796848"/>
      <w:r>
        <w:rPr>
          <w:rFonts w:hint="eastAsia"/>
        </w:rPr>
        <w:t>（一）单位职能简介</w:t>
      </w:r>
      <w:bookmarkEnd w:id="4"/>
      <w:bookmarkEnd w:id="5"/>
      <w:bookmarkEnd w:id="6"/>
      <w:bookmarkEnd w:id="7"/>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1.负责经开区市场监督管理工作。组织实施质量强区、食品安全、标准化和知识产权战略，拟订并组织实施全区食品、药品安全等规划，规范和维护市场秩序，营造诚实守信、公平竞争的市场环境。</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负责全区市场主体统一登记注册。负责全区各类企业、农民专业合作社和从事经营活动的单位、个体工商户等市场主体的登记注册和监督管理工作。建立市场主体信息公示和共享机制，依法公示和共享有关信息，加强信用监管，推动市场主体信用体系建设。</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3.负责组织全区市场监管综合执法工作。规范市场交易执法行为。组织查处各类违反市场监管法律法规的案件。</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负责监督管理全区市场经济秩序。依法监督管理市场交易，网络商品交易及有关服务的行为。组织查处价格收费违法违规、不正当竞争、违法直销、传销、侵犯商标专利知识产权和制售假冒伪劣行为。指导广告业发展，监督管理广告活动。依法查处无照生产经营和相关无证生产经营行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5.负责全区宏观质量管理。拟订并实施质量发展的制度措施。会同有关部门组织实施重大工程设备质量监理制度，组织重大质量事故调查，贯彻实施缺陷产品召回制度，监督管理产品防伪工作。</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6.负责全区产品质量安全监督管理。负责产品质量监督抽检和安全风险监控工作，组织实施质量分级制度、质量安全追溯制度。负责纤维质量监督工作。</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7.负责全区特种设备安全监督管理。综合管理特种设备安全监察、监督工作，监督检查高耗能特种设备节能标准和锅炉产品环境保护标准的执行情况。</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负责全区食品安全监督管理综合协调。统筹指导全区食品安全工作。负责食品安全应急体系建设，组织指导重大食品安全事件应急处置和调查处理工作。建立健全食品安全重要信息直报制度。承担区食品安全委员会日常工作。</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负责全区食品安全监督管理。建立覆盖食品生产、流通、消费全过程的监督检查制度和隐患排查治理机制并组织实施，防范区域性、系统性食品安全风险。负责食品经营许可。推动建立食品生产经营者落实主体责任的机制，健全食品安全追溯体系。指导督促食品生产经营企业的安全生产工作，组织开展食品安全监督抽检、风险监测、核查处置和风险预警、风险交流工作。</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10.负责统一管理全区计量工作。推行法定计量单位，执行国家计量制度，管理计量器具及量值传递和比对工作。规范、监督商品量和市场计量行为。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11.协助市局统一管理全区标准化工作。依法承担本级地方性标准的立项、编号发布工作。依法对标准制定和实施情况开展监督。</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12.协助市局统一管理全区检验检测工作。规范检验检测市场，完善检验检测体系，指导协调检验检测行业发展。</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13.协助市局统一管理全区认证认可工作。监督管理认证认可和合格评定工作。</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14.协助市局开展全区市场监督管理科技和信息化建设、新闻宣传。</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15.贯彻执行国家有关药品、医疗器械和化妆品监督管理的方针政策和法律法规。</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依职责监督和指导实施药品、医疗器械经营、使用质量管理规范，监督实施标准和技术规范。负责全区药品、医疗器械和化妆品上市后风险管理。组织开展药品不良反应、医疗器械不良事件和化妆品不良反应的监测工作。依法承担药品、医疗器械和化妆品安全应急管理和投诉举报处置工作。</w:t>
      </w:r>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8" w:name="_Toc158021356"/>
      <w:bookmarkStart w:id="9" w:name="_Toc1097218571"/>
      <w:bookmarkStart w:id="10" w:name="_Toc922802584"/>
      <w:bookmarkStart w:id="11" w:name="_Toc155955263"/>
      <w:r>
        <w:rPr>
          <w:rFonts w:hint="eastAsia"/>
        </w:rPr>
        <w:t>（二）单位2024年重点工作</w:t>
      </w:r>
      <w:bookmarkEnd w:id="8"/>
      <w:bookmarkEnd w:id="9"/>
      <w:bookmarkEnd w:id="10"/>
      <w:bookmarkEnd w:id="11"/>
    </w:p>
    <w:p>
      <w:pPr>
        <w:pStyle w:val="2"/>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color w:val="auto"/>
          <w:kern w:val="2"/>
          <w:sz w:val="32"/>
          <w:szCs w:val="32"/>
          <w:lang w:val="en-US" w:eastAsia="zh-CN" w:bidi="ar-SA"/>
        </w:rPr>
      </w:pPr>
      <w:bookmarkStart w:id="12" w:name="_Toc158021357"/>
      <w:bookmarkStart w:id="13" w:name="_Toc1278151167"/>
      <w:bookmarkStart w:id="14" w:name="_Toc1408375707"/>
      <w:bookmarkStart w:id="15" w:name="_Toc732858093"/>
      <w:r>
        <w:rPr>
          <w:rFonts w:hint="eastAsia" w:ascii="楷体" w:hAnsi="楷体" w:eastAsia="楷体" w:cs="楷体"/>
          <w:b w:val="0"/>
          <w:color w:val="auto"/>
          <w:kern w:val="2"/>
          <w:sz w:val="32"/>
          <w:szCs w:val="32"/>
          <w:lang w:val="en-US" w:eastAsia="zh-CN" w:bidi="ar-SA"/>
        </w:rPr>
        <w:t>1.着力加强监管执法，筑牢安全底线。</w:t>
      </w:r>
      <w:r>
        <w:rPr>
          <w:rFonts w:hint="eastAsia" w:ascii="仿宋_GB2312" w:hAnsi="仿宋_GB2312" w:eastAsia="仿宋_GB2312" w:cs="仿宋_GB2312"/>
          <w:b w:val="0"/>
          <w:color w:val="auto"/>
          <w:kern w:val="2"/>
          <w:sz w:val="32"/>
          <w:szCs w:val="32"/>
          <w:lang w:val="en-US" w:eastAsia="zh-CN" w:bidi="ar-SA"/>
        </w:rPr>
        <w:t>坚</w:t>
      </w:r>
      <w:r>
        <w:rPr>
          <w:rFonts w:hint="default" w:ascii="仿宋_GB2312" w:hAnsi="仿宋_GB2312" w:eastAsia="仿宋_GB2312" w:cs="仿宋_GB2312"/>
          <w:b w:val="0"/>
          <w:color w:val="auto"/>
          <w:kern w:val="2"/>
          <w:sz w:val="32"/>
          <w:szCs w:val="32"/>
          <w:lang w:val="en-US" w:eastAsia="zh-CN" w:bidi="ar-SA"/>
        </w:rPr>
        <w:t>持统筹协调，抓牢食品药品安全。持续推进全国食品安全示范城市创建</w:t>
      </w:r>
      <w:r>
        <w:rPr>
          <w:rFonts w:hint="eastAsia" w:ascii="仿宋_GB2312" w:hAnsi="仿宋_GB2312" w:eastAsia="仿宋_GB2312" w:cs="仿宋_GB2312"/>
          <w:b w:val="0"/>
          <w:color w:val="auto"/>
          <w:kern w:val="2"/>
          <w:sz w:val="32"/>
          <w:szCs w:val="32"/>
          <w:lang w:val="en-US" w:eastAsia="zh-CN" w:bidi="ar-SA"/>
        </w:rPr>
        <w:t>，</w:t>
      </w:r>
      <w:r>
        <w:rPr>
          <w:rFonts w:hint="default" w:ascii="仿宋_GB2312" w:hAnsi="仿宋_GB2312" w:eastAsia="仿宋_GB2312" w:cs="仿宋_GB2312"/>
          <w:b w:val="0"/>
          <w:color w:val="auto"/>
          <w:kern w:val="2"/>
          <w:sz w:val="32"/>
          <w:szCs w:val="32"/>
          <w:lang w:val="en-US" w:eastAsia="zh-CN" w:bidi="ar-SA"/>
        </w:rPr>
        <w:t>落实食安办主体责任，将“四个最严”贯穿于食品药品安全监管全过程，坚决遏制重大食品药品安全事件。坚持隐患排查，深入开展特种设备隐患排查及围绕群众生活和</w:t>
      </w:r>
      <w:r>
        <w:rPr>
          <w:rFonts w:hint="default" w:ascii="仿宋_GB2312" w:hAnsi="仿宋_GB2312" w:eastAsia="仿宋_GB2312" w:cs="仿宋_GB2312"/>
          <w:b w:val="0"/>
          <w:color w:val="auto"/>
          <w:kern w:val="2"/>
          <w:sz w:val="32"/>
          <w:szCs w:val="32"/>
          <w:lang w:val="en-US" w:eastAsia="zh-CN" w:bidi="ar-SA"/>
        </w:rPr>
        <w:t>产业</w:t>
      </w:r>
      <w:r>
        <w:rPr>
          <w:rFonts w:hint="default" w:ascii="仿宋_GB2312" w:hAnsi="仿宋_GB2312" w:eastAsia="仿宋_GB2312" w:cs="仿宋_GB2312"/>
          <w:b w:val="0"/>
          <w:color w:val="auto"/>
          <w:kern w:val="2"/>
          <w:sz w:val="32"/>
          <w:szCs w:val="32"/>
          <w:lang w:val="en-US" w:eastAsia="zh-CN" w:bidi="ar-SA"/>
        </w:rPr>
        <w:t>发展需要开展各类流通领域、生产领域产（商）品专项监管，守护特种设备和质量安全。</w:t>
      </w:r>
    </w:p>
    <w:p>
      <w:pPr>
        <w:pStyle w:val="2"/>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color w:val="auto"/>
          <w:kern w:val="2"/>
          <w:sz w:val="32"/>
          <w:szCs w:val="32"/>
          <w:lang w:val="en-US" w:eastAsia="zh-CN" w:bidi="ar-SA"/>
        </w:rPr>
      </w:pPr>
      <w:r>
        <w:rPr>
          <w:rFonts w:hint="eastAsia" w:ascii="楷体" w:hAnsi="楷体" w:eastAsia="楷体" w:cs="楷体"/>
          <w:b w:val="0"/>
          <w:color w:val="auto"/>
          <w:kern w:val="2"/>
          <w:sz w:val="32"/>
          <w:szCs w:val="32"/>
          <w:lang w:val="en-US" w:eastAsia="zh-CN" w:bidi="ar-SA"/>
        </w:rPr>
        <w:t>2.着力优化服务方式，激发市场活力。</w:t>
      </w:r>
      <w:r>
        <w:rPr>
          <w:rFonts w:hint="eastAsia" w:ascii="仿宋_GB2312" w:hAnsi="仿宋_GB2312" w:eastAsia="仿宋_GB2312" w:cs="仿宋_GB2312"/>
          <w:b w:val="0"/>
          <w:color w:val="auto"/>
          <w:kern w:val="2"/>
          <w:sz w:val="32"/>
          <w:szCs w:val="32"/>
          <w:lang w:val="en-US" w:eastAsia="zh-CN" w:bidi="ar-SA"/>
        </w:rPr>
        <w:t>坚持包容审慎监管，进一步完善守信激励、失信惩戒和信用修复机制。坚持公平高效，规范市场竞争环境。聚焦重点行业和社会关切的突出问题，重点查处在互联网、教育、涉农等领域不正当竞争行为的查处力度，加强对园区企业登记注册的事前指导和全程服务，加强知识产权培育、保护和成果转化。</w:t>
      </w:r>
    </w:p>
    <w:p>
      <w:pPr>
        <w:pStyle w:val="4"/>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楷体" w:hAnsi="楷体" w:eastAsia="楷体" w:cs="楷体"/>
          <w:b w:val="0"/>
          <w:color w:val="auto"/>
          <w:kern w:val="2"/>
          <w:sz w:val="32"/>
          <w:szCs w:val="32"/>
          <w:lang w:val="en-US" w:eastAsia="zh-CN" w:bidi="ar-SA"/>
        </w:rPr>
        <w:t>3.着力强化作风建设，打造过硬队伍。</w:t>
      </w:r>
      <w:r>
        <w:rPr>
          <w:rFonts w:hint="eastAsia" w:ascii="仿宋_GB2312" w:hAnsi="仿宋_GB2312" w:eastAsia="仿宋_GB2312" w:cs="仿宋_GB2312"/>
          <w:b w:val="0"/>
          <w:bCs w:val="0"/>
          <w:color w:val="auto"/>
          <w:kern w:val="2"/>
          <w:sz w:val="32"/>
          <w:szCs w:val="32"/>
          <w:lang w:val="en-US" w:eastAsia="zh-CN" w:bidi="ar-SA"/>
        </w:rPr>
        <w:t>始终把政治建设摆在首位，严明政治纪律和政治规矩。坚持用习近平新时代中国特色社会主义思想武装头脑、凝心聚魂，结合主题教育，持续抓好作风建设，打造能干事作风优的市场监管队伍。</w:t>
      </w:r>
    </w:p>
    <w:p>
      <w:pPr>
        <w:pStyle w:val="4"/>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firstLineChars="200"/>
        <w:rPr>
          <w:rFonts w:ascii="黑体" w:eastAsia="黑体"/>
          <w:b w:val="0"/>
          <w:sz w:val="32"/>
          <w:szCs w:val="32"/>
        </w:rPr>
      </w:pPr>
      <w:r>
        <w:rPr>
          <w:rFonts w:hint="eastAsia" w:ascii="黑体" w:eastAsia="黑体"/>
          <w:b w:val="0"/>
          <w:sz w:val="32"/>
          <w:szCs w:val="32"/>
        </w:rPr>
        <w:t>二、部门预算单位构成</w:t>
      </w:r>
      <w:bookmarkEnd w:id="12"/>
      <w:bookmarkEnd w:id="13"/>
      <w:bookmarkEnd w:id="14"/>
      <w:bookmarkEnd w:id="15"/>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我单位为广元市市场监督管理局的下属二级预算单位，内设办公室、财务股、食药股、质监股、主体股、综合股，下设下西、盘龙、石龙市场监督管理所。</w:t>
      </w:r>
    </w:p>
    <w:p>
      <w:pPr>
        <w:pStyle w:val="4"/>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firstLineChars="200"/>
        <w:rPr>
          <w:rFonts w:ascii="黑体" w:eastAsia="黑体"/>
          <w:b w:val="0"/>
          <w:sz w:val="32"/>
          <w:szCs w:val="32"/>
        </w:rPr>
      </w:pPr>
      <w:bookmarkStart w:id="16" w:name="_Toc1337174641"/>
      <w:bookmarkStart w:id="17" w:name="_Toc636701617"/>
      <w:bookmarkStart w:id="18" w:name="_Toc158021358"/>
      <w:bookmarkStart w:id="19" w:name="_Toc2085180541"/>
      <w:r>
        <w:rPr>
          <w:rFonts w:hint="eastAsia" w:ascii="黑体" w:eastAsia="黑体"/>
          <w:b w:val="0"/>
          <w:sz w:val="32"/>
          <w:szCs w:val="32"/>
        </w:rPr>
        <w:t>三、收支预算情况说明</w:t>
      </w:r>
      <w:bookmarkEnd w:id="16"/>
      <w:bookmarkEnd w:id="17"/>
      <w:bookmarkEnd w:id="18"/>
      <w:bookmarkEnd w:id="19"/>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综合预算的原则，广元市市场监督管理局广元经开区分局所有收入和支出均纳入部门预算管理。收入包括：一般公共预算拨款收入；支出包括：一般公共服务支出、社会保障和就业支出、卫生健康支出、住房保障支出。广元市市场监督管理局广元经开区分局2024年收支预算总数301.29万元，比2023年收支预算总数减少28万元，主要原因是有2名人员调出，人员经费预算减少。</w:t>
      </w:r>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20" w:name="_Toc975926520"/>
      <w:bookmarkStart w:id="21" w:name="_Toc560883190"/>
      <w:bookmarkStart w:id="22" w:name="_Toc158021359"/>
      <w:bookmarkStart w:id="23" w:name="_Toc960611081"/>
      <w:r>
        <w:rPr>
          <w:rFonts w:hint="eastAsia"/>
        </w:rPr>
        <w:t>（一）收入预算情况</w:t>
      </w:r>
      <w:bookmarkEnd w:id="20"/>
      <w:bookmarkEnd w:id="21"/>
      <w:bookmarkEnd w:id="22"/>
      <w:bookmarkEnd w:id="23"/>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广元市市场监督管理局广元经开区分局2024年收入预算301.29万元，其中：一般公共预算拨款收入301.29万元，占100%。</w:t>
      </w:r>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24" w:name="_Toc1872054528"/>
      <w:bookmarkStart w:id="25" w:name="_Toc158021360"/>
      <w:bookmarkStart w:id="26" w:name="_Toc1428181775"/>
      <w:bookmarkStart w:id="27" w:name="_Toc381639186"/>
      <w:r>
        <w:rPr>
          <w:rFonts w:hint="eastAsia"/>
        </w:rPr>
        <w:t>（二）支出预算情况</w:t>
      </w:r>
      <w:bookmarkEnd w:id="24"/>
      <w:bookmarkEnd w:id="25"/>
      <w:bookmarkEnd w:id="26"/>
      <w:bookmarkEnd w:id="27"/>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广元市市场监督管理局广元经开区分局2024年支出预算301.29万元，其中：基本支出271.77万元，占90.20%；项目支出29.52万元，占9.80%。</w:t>
      </w:r>
    </w:p>
    <w:p>
      <w:pPr>
        <w:pStyle w:val="4"/>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firstLineChars="200"/>
        <w:rPr>
          <w:rFonts w:ascii="黑体" w:eastAsia="黑体"/>
          <w:b w:val="0"/>
          <w:sz w:val="32"/>
          <w:szCs w:val="32"/>
        </w:rPr>
      </w:pPr>
      <w:bookmarkStart w:id="28" w:name="_Toc1533951662"/>
      <w:bookmarkStart w:id="29" w:name="_Toc158021361"/>
      <w:bookmarkStart w:id="30" w:name="_Toc1341061516"/>
      <w:bookmarkStart w:id="31" w:name="_Toc179598481"/>
      <w:r>
        <w:rPr>
          <w:rFonts w:hint="eastAsia" w:ascii="黑体" w:eastAsia="黑体"/>
          <w:b w:val="0"/>
          <w:sz w:val="32"/>
          <w:szCs w:val="32"/>
        </w:rPr>
        <w:t>四、财政拨款收支预算情况说明</w:t>
      </w:r>
      <w:bookmarkEnd w:id="28"/>
      <w:bookmarkEnd w:id="29"/>
      <w:bookmarkEnd w:id="30"/>
      <w:bookmarkEnd w:id="31"/>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广元市市场监督管理局广元经开区分局2024年财政拨款收支预算总数301.29万元，比2023年财政拨款收支预算总数减少28万元，主要原因是有2名人员调出，人员经费预算减少。</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收入包括：本年一般公共预算拨款收入301.29万元；支出包括：一般公共服务支出247.10万元、社会保障和就业支出24.92万元、卫生健康支出8.23万元、住房保障支出21.04万元。</w:t>
      </w:r>
    </w:p>
    <w:p>
      <w:pPr>
        <w:pStyle w:val="4"/>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firstLineChars="200"/>
        <w:rPr>
          <w:rFonts w:ascii="黑体" w:eastAsia="黑体"/>
          <w:b w:val="0"/>
          <w:sz w:val="32"/>
          <w:szCs w:val="32"/>
        </w:rPr>
      </w:pPr>
      <w:bookmarkStart w:id="32" w:name="_Toc420009799"/>
      <w:bookmarkStart w:id="33" w:name="_Toc1081558316"/>
      <w:bookmarkStart w:id="34" w:name="_Toc2099217840"/>
      <w:bookmarkStart w:id="35" w:name="_Toc158021362"/>
      <w:r>
        <w:rPr>
          <w:rFonts w:hint="eastAsia" w:ascii="黑体" w:eastAsia="黑体"/>
          <w:b w:val="0"/>
          <w:sz w:val="32"/>
          <w:szCs w:val="32"/>
        </w:rPr>
        <w:t>五、一般公共预算当年拨款情况说明</w:t>
      </w:r>
      <w:bookmarkEnd w:id="32"/>
      <w:bookmarkEnd w:id="33"/>
      <w:bookmarkEnd w:id="34"/>
      <w:bookmarkEnd w:id="35"/>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36" w:name="_Toc158021363"/>
      <w:bookmarkStart w:id="37" w:name="_Toc2052499018"/>
      <w:bookmarkStart w:id="38" w:name="_Toc661433523"/>
      <w:bookmarkStart w:id="39" w:name="_Toc257016501"/>
      <w:r>
        <w:rPr>
          <w:rFonts w:hint="eastAsia"/>
        </w:rPr>
        <w:t>（一）一般公共预算当年拨款规模变化情况</w:t>
      </w:r>
      <w:bookmarkEnd w:id="36"/>
      <w:bookmarkEnd w:id="37"/>
      <w:bookmarkEnd w:id="38"/>
      <w:bookmarkEnd w:id="39"/>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广元市市场监督管理局广元经开区分局2024年一般公共预算当年拨款301.29万元，比2023年预算数减少28万元，主要原因是有2名人员调出，人员经费预算减少。</w:t>
      </w:r>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40" w:name="_Toc958035941"/>
      <w:bookmarkStart w:id="41" w:name="_Toc1390926757"/>
      <w:bookmarkStart w:id="42" w:name="_Toc158021364"/>
      <w:bookmarkStart w:id="43" w:name="_Toc1835224627"/>
      <w:r>
        <w:rPr>
          <w:rFonts w:hint="eastAsia"/>
        </w:rPr>
        <w:t>（二）一般公共预算当年拨款结构情况</w:t>
      </w:r>
      <w:bookmarkEnd w:id="40"/>
      <w:bookmarkEnd w:id="41"/>
      <w:bookmarkEnd w:id="42"/>
      <w:bookmarkEnd w:id="43"/>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一般公共服务支出247.10万元，占82.02%；社会保障和就业支出24.92万元，占8.27%；卫生健康支出8.23万元，占2.73%；住房保障支出21.04万元，占6.98%。</w:t>
      </w:r>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44" w:name="_Toc1096845301"/>
      <w:bookmarkStart w:id="45" w:name="_Toc767036773"/>
      <w:bookmarkStart w:id="46" w:name="_Toc696784610"/>
      <w:bookmarkStart w:id="47" w:name="_Toc158021365"/>
      <w:r>
        <w:rPr>
          <w:rFonts w:hint="eastAsia"/>
        </w:rPr>
        <w:t>（三）一般公共预算当年拨款具体使用情况</w:t>
      </w:r>
      <w:bookmarkEnd w:id="44"/>
      <w:bookmarkEnd w:id="45"/>
      <w:bookmarkEnd w:id="46"/>
      <w:bookmarkEnd w:id="47"/>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一般公共服务（类）市场监督管理事务（款）行政运行（项）2024年预算数为</w:t>
      </w:r>
      <w:r>
        <w:rPr>
          <w:rFonts w:ascii="仿宋_GB2312" w:hAnsi="仿宋_GB2312" w:eastAsia="仿宋_GB2312" w:cs="仿宋_GB2312"/>
          <w:sz w:val="32"/>
          <w:szCs w:val="32"/>
        </w:rPr>
        <w:t>217.58</w:t>
      </w:r>
      <w:r>
        <w:rPr>
          <w:rFonts w:hint="eastAsia" w:ascii="仿宋_GB2312" w:hAnsi="仿宋_GB2312" w:eastAsia="仿宋_GB2312" w:cs="仿宋_GB2312"/>
          <w:sz w:val="32"/>
          <w:szCs w:val="32"/>
        </w:rPr>
        <w:t>万元，主要用于：行政单位工资奖金津补贴、其他工资福利支出、办公经费、会议费、培训费、委托业务费、公务接待费、公务用车运行维护费、维修（护）费、其他商品和服务支出、其他对个人和家庭补助。</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一般公共服务（类）市场监督管理事务（款）市场主体管理2024年预算数为15.00万元，主要用于：行政单位市场主体管理办公经费、培训费、委托业务费、印刷费、其他商品和服务支出。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一般公共服务（类）市场监督管理事务（款）市场秩序执法（项）2024年预算数为6.00万元，主要用于：行政执法单位办公经费、会议费、培训费、委托业务费、其他商品和服务支出。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一般公共服务（类）市场监督管理事务（款）信息化建设（项）2024年预算数为3.52万元，主要用于：信息化运行及维护等方面的费用。</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一般公共服务（类）市场监督管理事务（款）其他市场监督管理事务（项）2024年预算数为5万元，主要用于：知识产权保护工作，专利、商标培育工作，文明城市创建工作，乡村振兴工作所需办公经费、委托业务费、其他商品和服务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6.社会保障和就业（类）行政事业单位养老支出（款）机关事业单位基本养老保险缴费支出（项）2024年预算数为24.92万元，主要用于：实施养老保险制度由单位缴纳的基本养老保险支出。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7.卫生健康（类）行政事业单位医疗（款）行政单位医疗（项）2024年预算数为8.23万元，主要用于：机关及参公管理事业单位按规定由单位缴纳的基本医疗保险支出。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8.住房保障（类）住房改革支出（款）住房公积金（项）2024年预算数为21.04万元，主要用于：部门按规定为职工缴纳的住房公积金支出。</w:t>
      </w:r>
    </w:p>
    <w:p>
      <w:pPr>
        <w:pStyle w:val="4"/>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firstLineChars="200"/>
        <w:rPr>
          <w:rFonts w:ascii="黑体" w:eastAsia="黑体"/>
          <w:b w:val="0"/>
          <w:sz w:val="32"/>
          <w:szCs w:val="32"/>
        </w:rPr>
      </w:pPr>
      <w:bookmarkStart w:id="48" w:name="_Toc158021366"/>
      <w:bookmarkStart w:id="49" w:name="_Toc351732332"/>
      <w:bookmarkStart w:id="50" w:name="_Toc1489590809"/>
      <w:bookmarkStart w:id="51" w:name="_Toc1084913768"/>
      <w:r>
        <w:rPr>
          <w:rFonts w:hint="eastAsia" w:ascii="黑体" w:eastAsia="黑体"/>
          <w:b w:val="0"/>
          <w:sz w:val="32"/>
          <w:szCs w:val="32"/>
        </w:rPr>
        <w:t>六、一般公共预算基本支出情况说明</w:t>
      </w:r>
      <w:bookmarkEnd w:id="48"/>
      <w:bookmarkEnd w:id="49"/>
      <w:bookmarkEnd w:id="50"/>
      <w:bookmarkEnd w:id="51"/>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广元市市场监督管理局广元经开区分局2024年一般公共预算基本支出271.77万元，其中：</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人员经费233.73万元，主要包括：基本工资、津贴补贴、奖金、社会保险缴费、住房公积金、</w:t>
      </w:r>
      <w:r>
        <w:rPr>
          <w:rFonts w:ascii="仿宋_GB2312" w:hAnsi="仿宋_GB2312" w:eastAsia="仿宋_GB2312" w:cs="仿宋_GB2312"/>
          <w:sz w:val="32"/>
          <w:szCs w:val="32"/>
        </w:rPr>
        <w:t>生活补助</w:t>
      </w:r>
      <w:r>
        <w:rPr>
          <w:rFonts w:hint="eastAsia" w:ascii="仿宋_GB2312" w:hAnsi="仿宋_GB2312" w:eastAsia="仿宋_GB2312" w:cs="仿宋_GB2312"/>
          <w:sz w:val="32"/>
          <w:szCs w:val="32"/>
        </w:rPr>
        <w:t>等支出。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公用经费38.04万元，主要包括：办公费、印刷费、水费、电费、邮电费、物业管理费、差旅费、维修（护）费、租赁费、会议费、培训费、公务接待费、劳务费、委托业务费、工会经费、福利费、公务用车运行维护费、其他交通费用</w:t>
      </w:r>
      <w:r>
        <w:rPr>
          <w:rFonts w:ascii="仿宋_GB2312" w:hAnsi="仿宋_GB2312" w:eastAsia="仿宋_GB2312" w:cs="仿宋_GB2312"/>
          <w:sz w:val="32"/>
          <w:szCs w:val="32"/>
        </w:rPr>
        <w:t>、其他商品和服务支出</w:t>
      </w:r>
      <w:r>
        <w:rPr>
          <w:rFonts w:hint="eastAsia" w:ascii="仿宋_GB2312" w:hAnsi="仿宋_GB2312" w:eastAsia="仿宋_GB2312" w:cs="仿宋_GB2312"/>
          <w:sz w:val="32"/>
          <w:szCs w:val="32"/>
        </w:rPr>
        <w:t>等支出。</w:t>
      </w:r>
    </w:p>
    <w:p>
      <w:pPr>
        <w:pStyle w:val="4"/>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firstLineChars="200"/>
        <w:rPr>
          <w:rFonts w:ascii="黑体" w:hAnsi="黑体" w:eastAsia="黑体" w:cs="黑体"/>
          <w:sz w:val="32"/>
          <w:szCs w:val="32"/>
        </w:rPr>
      </w:pPr>
      <w:bookmarkStart w:id="52" w:name="_Toc1802797277"/>
      <w:bookmarkStart w:id="53" w:name="_Toc973560706"/>
      <w:bookmarkStart w:id="54" w:name="_Toc675645222"/>
      <w:bookmarkStart w:id="55" w:name="_Toc158021367"/>
      <w:r>
        <w:rPr>
          <w:rFonts w:hint="eastAsia" w:ascii="黑体" w:eastAsia="黑体"/>
          <w:b w:val="0"/>
          <w:sz w:val="32"/>
          <w:szCs w:val="32"/>
        </w:rPr>
        <w:t>七、“三公”经费财政拨款预算安排情况说明</w:t>
      </w:r>
      <w:bookmarkEnd w:id="52"/>
      <w:bookmarkEnd w:id="53"/>
      <w:bookmarkEnd w:id="54"/>
      <w:bookmarkEnd w:id="55"/>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广元市市场监督管理局广元经开区分局2024年“三公”经费财政拨款预算数5.40万元，其中：公务接待费0.70万元，公务用车购置及运行维护费4.70万元，因公出国（境）经费0.00万元。</w:t>
      </w:r>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56" w:name="_Toc88010272"/>
      <w:r>
        <w:rPr>
          <w:rFonts w:hint="eastAsia"/>
        </w:rPr>
        <w:t>（一）公务接待费</w:t>
      </w:r>
      <w:bookmarkEnd w:id="56"/>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公务接待费与2023年预算相比下降0.16万元，主要原因是厉行节约原则，压减公务接待费。</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2024年公务接待费计划用于执行接待考察调研、检查指导等公务活动开支的交通费、住宿费、用餐费等。</w:t>
      </w:r>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57" w:name="_Toc1382045435"/>
      <w:r>
        <w:t>（二）</w:t>
      </w:r>
      <w:r>
        <w:rPr>
          <w:rFonts w:hint="eastAsia"/>
        </w:rPr>
        <w:t>公务用车购置及运行维护费</w:t>
      </w:r>
      <w:bookmarkEnd w:id="57"/>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公务用车购置及运行维护费与2023年预算相比下降0.10万元，主要原因是严格落实过“紧日子”要求，压减公务用车运行维护费。</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单位现有公务用车2辆，其中：轿车1辆，越野车1辆。</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2024年未安排公务用车购置费。</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2024年安排公务用车运行维护费4.70万元，用于2辆公务用车燃油、过路（桥）、维修、保险等方面支出，主要保障执法办案用车日常需求。</w:t>
      </w:r>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58" w:name="_Toc1362107545"/>
      <w:r>
        <w:rPr>
          <w:rFonts w:hint="eastAsia"/>
        </w:rPr>
        <w:t>（三）因公出国（境）经费</w:t>
      </w:r>
      <w:bookmarkEnd w:id="58"/>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因公出国（境）经费与2023年预算相比持平。单位预算未编列因公出国（境）经费，未安排出国（境）任务和计划。</w:t>
      </w:r>
    </w:p>
    <w:p>
      <w:pPr>
        <w:pStyle w:val="4"/>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firstLineChars="200"/>
        <w:rPr>
          <w:rFonts w:ascii="黑体" w:eastAsia="黑体"/>
          <w:b w:val="0"/>
          <w:sz w:val="32"/>
          <w:szCs w:val="32"/>
        </w:rPr>
      </w:pPr>
      <w:bookmarkStart w:id="59" w:name="_Toc1411198492"/>
      <w:bookmarkStart w:id="60" w:name="_Toc158021368"/>
      <w:bookmarkStart w:id="61" w:name="_Toc1513768263"/>
      <w:bookmarkStart w:id="62" w:name="_Toc1795816512"/>
      <w:r>
        <w:rPr>
          <w:rFonts w:hint="eastAsia" w:ascii="黑体" w:eastAsia="黑体"/>
          <w:b w:val="0"/>
          <w:sz w:val="32"/>
          <w:szCs w:val="32"/>
        </w:rPr>
        <w:t>八、政府性基金预算支出情况说明</w:t>
      </w:r>
      <w:bookmarkEnd w:id="59"/>
      <w:bookmarkEnd w:id="60"/>
      <w:bookmarkEnd w:id="61"/>
      <w:bookmarkEnd w:id="62"/>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广元市市场监督管理局广元经开区分局2024年无政府性基金预算拨款安排的支出。</w:t>
      </w:r>
    </w:p>
    <w:p>
      <w:pPr>
        <w:pStyle w:val="4"/>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firstLineChars="200"/>
        <w:rPr>
          <w:rFonts w:ascii="黑体" w:eastAsia="黑体"/>
          <w:b w:val="0"/>
          <w:sz w:val="32"/>
          <w:szCs w:val="32"/>
        </w:rPr>
      </w:pPr>
      <w:bookmarkStart w:id="63" w:name="_Toc1822345913"/>
      <w:bookmarkStart w:id="64" w:name="_Toc1106661362"/>
      <w:bookmarkStart w:id="65" w:name="_Toc1171743959"/>
      <w:bookmarkStart w:id="66" w:name="_Toc158021369"/>
      <w:r>
        <w:rPr>
          <w:rFonts w:hint="eastAsia" w:ascii="黑体" w:eastAsia="黑体"/>
          <w:b w:val="0"/>
          <w:sz w:val="32"/>
          <w:szCs w:val="32"/>
        </w:rPr>
        <w:t>九、国有资本经营预算支出情况说明</w:t>
      </w:r>
      <w:bookmarkEnd w:id="63"/>
      <w:bookmarkEnd w:id="64"/>
      <w:bookmarkEnd w:id="65"/>
      <w:bookmarkEnd w:id="66"/>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广元市市场监督管理局广元经开区分局2024年无国有资本经营预算拨款安排的支出。</w:t>
      </w:r>
    </w:p>
    <w:p>
      <w:pPr>
        <w:pStyle w:val="4"/>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firstLineChars="200"/>
        <w:rPr>
          <w:rFonts w:ascii="黑体" w:eastAsia="黑体"/>
          <w:b w:val="0"/>
          <w:sz w:val="32"/>
          <w:szCs w:val="32"/>
        </w:rPr>
      </w:pPr>
      <w:bookmarkStart w:id="67" w:name="_Toc158021370"/>
      <w:bookmarkStart w:id="68" w:name="_Toc1208766671"/>
      <w:bookmarkStart w:id="69" w:name="_Toc1836973106"/>
      <w:bookmarkStart w:id="70" w:name="_Toc74573121"/>
      <w:r>
        <w:rPr>
          <w:rFonts w:hint="eastAsia" w:ascii="黑体" w:eastAsia="黑体"/>
          <w:b w:val="0"/>
          <w:sz w:val="32"/>
          <w:szCs w:val="32"/>
        </w:rPr>
        <w:t>十、其他重要事项的情况说明</w:t>
      </w:r>
      <w:bookmarkEnd w:id="67"/>
      <w:bookmarkEnd w:id="68"/>
      <w:bookmarkEnd w:id="69"/>
      <w:bookmarkEnd w:id="70"/>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71" w:name="_Toc1100628290"/>
      <w:r>
        <w:rPr>
          <w:rFonts w:hint="eastAsia"/>
        </w:rPr>
        <w:t>（一）机关运行经费</w:t>
      </w:r>
      <w:bookmarkEnd w:id="71"/>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2024年，广元市市场监督管理局广元经开区分局的机关运行经费财政拨款预算为38.04万元，比2023年预算减少5.45万元，下降12.53%。主要原因新增2名人员调出，公用经费预算相应减少。</w:t>
      </w:r>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72" w:name="_Toc621200812"/>
      <w:r>
        <w:rPr>
          <w:rFonts w:hint="eastAsia"/>
        </w:rPr>
        <w:t>（二）政府采购情况</w:t>
      </w:r>
      <w:bookmarkEnd w:id="72"/>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2024年，广元市市场监督管理局广元经开区分局未安排政府采购预算。</w:t>
      </w:r>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73" w:name="_Toc647557465"/>
      <w:r>
        <w:rPr>
          <w:rFonts w:hint="eastAsia"/>
        </w:rPr>
        <w:t>（三）国有资产占有使用情况</w:t>
      </w:r>
      <w:bookmarkEnd w:id="73"/>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截至2023年底，广元市市场监督管理局广元经开区分局共有车辆2辆，其中，执法执勤用车2辆。单位无价值200万元以上的大型设备。</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2024年单位预算未安排购置车辆及单位价值200万元以上大型设备。</w:t>
      </w:r>
    </w:p>
    <w:p>
      <w:pPr>
        <w:pStyle w:val="22"/>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pPr>
      <w:bookmarkStart w:id="74" w:name="_Toc544883565"/>
      <w:r>
        <w:rPr>
          <w:rFonts w:hint="eastAsia"/>
        </w:rPr>
        <w:t>（四）绩效目标设置情况</w:t>
      </w:r>
      <w:bookmarkEnd w:id="74"/>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2024年广元市市场监督管理局广元经开区分局开展绩效目标管理的项目14个，涉及预算301.29万元。其中：人员类项目7个，涉及预算 233.73万元；运转类项目3个，涉及预算38.04万元；特定目标类项目4个，涉及预算2</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.52万元。</w:t>
      </w:r>
    </w:p>
    <w:p>
      <w:pPr>
        <w:pStyle w:val="4"/>
        <w:pBdr>
          <w:top w:val="none" w:color="auto" w:sz="0" w:space="1"/>
          <w:left w:val="none" w:color="auto" w:sz="0" w:space="4"/>
          <w:bottom w:val="none" w:color="auto" w:sz="0" w:space="1"/>
          <w:right w:val="none" w:color="auto" w:sz="0" w:space="4"/>
        </w:pBdr>
        <w:shd w:val="clear" w:color="auto" w:fill="FFFFFF" w:themeFill="background1"/>
        <w:spacing w:before="0" w:after="0" w:line="576" w:lineRule="exact"/>
        <w:ind w:firstLine="640" w:firstLineChars="200"/>
        <w:rPr>
          <w:rFonts w:ascii="黑体" w:eastAsia="黑体"/>
          <w:b w:val="0"/>
          <w:sz w:val="32"/>
          <w:szCs w:val="32"/>
        </w:rPr>
      </w:pPr>
      <w:bookmarkStart w:id="75" w:name="_Toc1278870504"/>
      <w:bookmarkStart w:id="76" w:name="_Toc984776176"/>
      <w:bookmarkStart w:id="77" w:name="_Toc158021371"/>
      <w:bookmarkStart w:id="78" w:name="_Toc1955634492"/>
      <w:r>
        <w:rPr>
          <w:rFonts w:hint="eastAsia" w:ascii="黑体" w:eastAsia="黑体"/>
          <w:b w:val="0"/>
          <w:sz w:val="32"/>
          <w:szCs w:val="32"/>
        </w:rPr>
        <w:t>十一、名词解释</w:t>
      </w:r>
      <w:bookmarkEnd w:id="75"/>
      <w:bookmarkEnd w:id="76"/>
      <w:bookmarkEnd w:id="77"/>
      <w:bookmarkEnd w:id="78"/>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（一）财政拨款收入</w:t>
      </w:r>
      <w:r>
        <w:rPr>
          <w:rFonts w:ascii="楷体_GB2312" w:hAnsi="楷体_GB2312" w:eastAsia="楷体_GB2312" w:cs="楷体_GB2312"/>
          <w:sz w:val="32"/>
          <w:szCs w:val="32"/>
        </w:rPr>
        <w:t>:</w:t>
      </w:r>
      <w:r>
        <w:rPr>
          <w:rFonts w:hint="eastAsia" w:ascii="仿宋_GB2312" w:hAnsi="仿宋_GB2312" w:eastAsia="仿宋_GB2312" w:cs="仿宋_GB2312"/>
          <w:sz w:val="32"/>
          <w:szCs w:val="32"/>
        </w:rPr>
        <w:t>指市财政当年安排的财政预算收入。按现行管理制度</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部门预算中反映的财政拨款包括一般公共预算拨款和政府性基金预算拨款。</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eastAsia="zh-CN"/>
        </w:rPr>
        <w:t xml:space="preserve">    </w:t>
      </w:r>
      <w:r>
        <w:rPr>
          <w:rFonts w:hint="eastAsia" w:ascii="楷体_GB2312" w:hAnsi="楷体_GB2312" w:eastAsia="楷体_GB2312" w:cs="楷体_GB2312"/>
          <w:sz w:val="32"/>
          <w:szCs w:val="32"/>
        </w:rPr>
        <w:t>（二）一般公共服务（类）市场监督管理事务（款）行政运行（项）：</w:t>
      </w:r>
      <w:r>
        <w:rPr>
          <w:rFonts w:hint="eastAsia" w:ascii="仿宋_GB2312" w:hAnsi="仿宋_GB2312" w:eastAsia="仿宋_GB2312" w:cs="仿宋_GB2312"/>
          <w:sz w:val="32"/>
          <w:szCs w:val="32"/>
        </w:rPr>
        <w:t>指机关单位用于保障机构正常运行、开展日常工作的基本支出。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（三）一般公共服务(类)市场监督管理事务(款)市场主体管理(项):</w:t>
      </w:r>
      <w:r>
        <w:rPr>
          <w:rFonts w:hint="eastAsia" w:ascii="仿宋_GB2312" w:hAnsi="仿宋_GB2312" w:eastAsia="仿宋_GB2312" w:cs="仿宋_GB2312"/>
          <w:sz w:val="32"/>
          <w:szCs w:val="32"/>
        </w:rPr>
        <w:t>指用于市场准入、许可审批、信用监管等市场主体管理专项工作的支出。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（四）一般公共服务(类)市场监督管理事务(款)市场秩序执法(项):</w:t>
      </w:r>
      <w:r>
        <w:rPr>
          <w:rFonts w:hint="eastAsia" w:ascii="仿宋_GB2312" w:hAnsi="仿宋_GB2312" w:eastAsia="仿宋_GB2312" w:cs="仿宋_GB2312"/>
          <w:sz w:val="32"/>
          <w:szCs w:val="32"/>
        </w:rPr>
        <w:t>指用于反垄断、价格监督、反不正当竞争、规范直销与打击传销、网络交易监管、广告监管、消费者权益保护、综合执法等市场秩序执法专项工作支出。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（五）一般公共服务(类)市场监督管理事务(款)信息化建设(项):</w:t>
      </w:r>
      <w:r>
        <w:rPr>
          <w:rFonts w:hint="eastAsia" w:ascii="仿宋_GB2312" w:hAnsi="仿宋_GB2312" w:eastAsia="仿宋_GB2312" w:cs="仿宋_GB2312"/>
          <w:sz w:val="32"/>
          <w:szCs w:val="32"/>
        </w:rPr>
        <w:t>指用于信息化建设及运行维护等方面的支出。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（六）一般公共服务(类)市场监督管理事务(款)其他市场监督管理事务支出(项):</w:t>
      </w:r>
      <w:r>
        <w:rPr>
          <w:rFonts w:hint="eastAsia" w:ascii="仿宋_GB2312" w:hAnsi="仿宋_GB2312" w:eastAsia="仿宋_GB2312" w:cs="仿宋_GB2312"/>
          <w:sz w:val="32"/>
          <w:szCs w:val="32"/>
        </w:rPr>
        <w:t>指用于除上述项目以外其他市场监督管理事务方面的支出。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（七）社会保障和就业（类）行政事业单位养老支出（款）机关事业单位基本养老保险缴费支出（项）：</w:t>
      </w:r>
      <w:r>
        <w:rPr>
          <w:rFonts w:hint="eastAsia" w:ascii="仿宋_GB2312" w:hAnsi="仿宋_GB2312" w:eastAsia="仿宋_GB2312" w:cs="仿宋_GB2312"/>
          <w:sz w:val="32"/>
          <w:szCs w:val="32"/>
        </w:rPr>
        <w:t>指单位实施养老保险制度由单位缴纳的养老保险的支出。</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rPr>
        <w:t>（八）卫生健康（类）行政事业单位医疗（款）行政单位医疗（项）：</w:t>
      </w:r>
      <w:r>
        <w:rPr>
          <w:rFonts w:hint="eastAsia" w:ascii="仿宋_GB2312" w:hAnsi="仿宋_GB2312" w:eastAsia="仿宋_GB2312" w:cs="仿宋_GB2312"/>
          <w:sz w:val="32"/>
          <w:szCs w:val="32"/>
        </w:rPr>
        <w:t>指机关及参公管理事业单位用于单位应缴纳基本医疗保险支出。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（九）住房保障（类）住房改革支出（款）住房公积金（项）：</w:t>
      </w:r>
      <w:r>
        <w:rPr>
          <w:rFonts w:hint="eastAsia" w:ascii="仿宋_GB2312" w:hAnsi="仿宋_GB2312" w:eastAsia="仿宋_GB2312" w:cs="仿宋_GB2312"/>
          <w:sz w:val="32"/>
          <w:szCs w:val="32"/>
        </w:rPr>
        <w:t>指按照《住房公积金管理条例》的规定，由单位及其在职职工缴存的长期住房储金。</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（十）基本支出：</w:t>
      </w:r>
      <w:r>
        <w:rPr>
          <w:rFonts w:hint="eastAsia" w:ascii="仿宋_GB2312" w:hAnsi="仿宋_GB2312" w:eastAsia="仿宋_GB2312" w:cs="仿宋_GB2312"/>
          <w:sz w:val="32"/>
          <w:szCs w:val="32"/>
        </w:rPr>
        <w:t>指为保证机构正常运转，完成日常工作任务而发生的人员支出和公用支出。</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eastAsia="zh-CN"/>
        </w:rPr>
        <w:t xml:space="preserve">    </w:t>
      </w:r>
      <w:r>
        <w:rPr>
          <w:rFonts w:hint="eastAsia" w:ascii="楷体_GB2312" w:hAnsi="楷体_GB2312" w:eastAsia="楷体_GB2312" w:cs="楷体_GB2312"/>
          <w:sz w:val="32"/>
          <w:szCs w:val="32"/>
        </w:rPr>
        <w:t>（十一）项目支出：</w:t>
      </w:r>
      <w:r>
        <w:rPr>
          <w:rFonts w:hint="eastAsia" w:ascii="仿宋_GB2312" w:hAnsi="仿宋_GB2312" w:eastAsia="仿宋_GB2312" w:cs="仿宋_GB2312"/>
          <w:sz w:val="32"/>
          <w:szCs w:val="32"/>
        </w:rPr>
        <w:t>指在基本支出之外为完成特定行政任务和事业发展目标所发生的支出。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（十二）“三公”经费：</w:t>
      </w:r>
      <w:r>
        <w:rPr>
          <w:rFonts w:hint="eastAsia" w:ascii="仿宋_GB2312" w:hAnsi="仿宋_GB2312" w:eastAsia="仿宋_GB2312" w:cs="仿宋_GB2312"/>
          <w:sz w:val="32"/>
          <w:szCs w:val="32"/>
        </w:rPr>
        <w:t>纳入市级财政预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Bdr>
          <w:top w:val="none" w:color="auto" w:sz="0" w:space="1"/>
          <w:left w:val="none" w:color="auto" w:sz="0" w:space="4"/>
          <w:bottom w:val="none" w:color="auto" w:sz="0" w:space="1"/>
          <w:right w:val="none" w:color="auto" w:sz="0" w:space="4"/>
        </w:pBdr>
        <w:shd w:val="clear" w:color="auto" w:fill="FFFFFF" w:themeFill="background1"/>
        <w:spacing w:line="576"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（十三）机关运行经费：</w:t>
      </w:r>
      <w:r>
        <w:rPr>
          <w:rFonts w:hint="eastAsia" w:ascii="仿宋_GB2312" w:hAnsi="仿宋_GB2312" w:eastAsia="仿宋_GB2312" w:cs="仿宋_GB2312"/>
          <w:sz w:val="32"/>
          <w:szCs w:val="32"/>
        </w:rPr>
        <w:t>为保障行政单位（包括参照公务员法管理的事业单位）运行用于购买货物和服务的各项资金，包括办公及印刷费、邮电费、差旅费、会议费、培训费、福利费、日常维修费、专用材料及一般设备购置费、办公用房水电费、办公用房物业管理费、公务用车运行维护费以及其他费用。</w:t>
      </w:r>
    </w:p>
    <w:p>
      <w:pPr>
        <w:spacing w:line="576" w:lineRule="exact"/>
        <w:ind w:firstLine="640" w:firstLineChars="200"/>
        <w:rPr>
          <w:rFonts w:ascii="仿宋_GB2312" w:hAnsi="仿宋_GB2312" w:eastAsia="仿宋_GB2312" w:cs="仿宋_GB2312"/>
          <w:sz w:val="32"/>
          <w:szCs w:val="32"/>
        </w:rPr>
      </w:pPr>
    </w:p>
    <w:p>
      <w:pPr>
        <w:spacing w:line="576" w:lineRule="exact"/>
        <w:ind w:left="1438" w:leftChars="304" w:hanging="800" w:hangingChars="250"/>
        <w:rPr>
          <w:rFonts w:ascii="仿宋_GB2312" w:hAnsi="仿宋_GB2312" w:eastAsia="仿宋_GB2312" w:cs="仿宋_GB2312"/>
          <w:sz w:val="32"/>
          <w:szCs w:val="32"/>
        </w:rPr>
      </w:pPr>
      <w:r>
        <w:rPr>
          <w:rFonts w:hint="eastAsia" w:ascii="仿宋_GB2312" w:hAnsi="仿宋_GB2312" w:eastAsia="仿宋_GB2312" w:cs="仿宋_GB2312"/>
          <w:sz w:val="32"/>
          <w:szCs w:val="32"/>
        </w:rPr>
        <w:t>附件：广元市市场监督管理局广元经开区分局2024年</w:t>
      </w:r>
      <w:r>
        <w:rPr>
          <w:rFonts w:ascii="仿宋_GB2312" w:hAnsi="仿宋_GB2312" w:eastAsia="仿宋_GB2312" w:cs="仿宋_GB2312"/>
          <w:sz w:val="32"/>
          <w:szCs w:val="32"/>
        </w:rPr>
        <w:t>单位</w:t>
      </w:r>
      <w:r>
        <w:rPr>
          <w:rFonts w:hint="eastAsia" w:ascii="仿宋_GB2312" w:hAnsi="仿宋_GB2312" w:eastAsia="仿宋_GB2312" w:cs="仿宋_GB2312"/>
          <w:sz w:val="32"/>
          <w:szCs w:val="32"/>
        </w:rPr>
        <w:t>预算公开报表</w:t>
      </w:r>
    </w:p>
    <w:p>
      <w:pPr>
        <w:spacing w:line="576" w:lineRule="exact"/>
        <w:rPr>
          <w:rFonts w:ascii="仿宋_GB2312" w:hAnsi="仿宋_GB2312" w:eastAsia="仿宋_GB2312" w:cs="仿宋_GB2312"/>
          <w:b/>
          <w:bCs/>
          <w:sz w:val="32"/>
          <w:szCs w:val="32"/>
        </w:rPr>
      </w:pPr>
    </w:p>
    <w:sectPr>
      <w:footerReference r:id="rId3" w:type="default"/>
      <w:pgSz w:w="11906" w:h="16838"/>
      <w:pgMar w:top="2098" w:right="1474" w:bottom="1984" w:left="1587" w:header="720" w:footer="1559"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FB" w:usb2="0000002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2000019F" w:csb1="00000000"/>
  </w:font>
  <w:font w:name="Liberation Sans">
    <w:altName w:val="Mangal"/>
    <w:panose1 w:val="00000000000000000000"/>
    <w:charset w:val="00"/>
    <w:family w:val="swiss"/>
    <w:pitch w:val="default"/>
    <w:sig w:usb0="00000000" w:usb1="00000000" w:usb2="00000000" w:usb3="00000000" w:csb0="6000009F" w:csb1="DFD70000"/>
  </w:font>
  <w:font w:name="Noto Sans CJK SC Regular">
    <w:panose1 w:val="020B0500000000000000"/>
    <w:charset w:val="86"/>
    <w:family w:val="auto"/>
    <w:pitch w:val="default"/>
    <w:sig w:usb0="30000003" w:usb1="2BDF3C10" w:usb2="00000016" w:usb3="00000000" w:csb0="602E0107" w:csb1="00000000"/>
  </w:font>
  <w:font w:name="楷体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Lucida Sans">
    <w:panose1 w:val="020B0602030504020204"/>
    <w:charset w:val="00"/>
    <w:family w:val="auto"/>
    <w:pitch w:val="default"/>
    <w:sig w:usb0="00000000" w:usb1="00000000" w:usb2="00000000" w:usb3="00000000" w:csb0="00000000" w:csb1="00000000"/>
  </w:font>
  <w:font w:name="Comic Sans MS">
    <w:panose1 w:val="030F0702030302020204"/>
    <w:charset w:val="00"/>
    <w:family w:val="auto"/>
    <w:pitch w:val="default"/>
    <w:sig w:usb0="00000287" w:usb1="00000000" w:usb2="00000000" w:usb3="00000000" w:csb0="2000009F" w:csb1="00000000"/>
  </w:font>
  <w:font w:name="方正楷体_GBK">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Mangal">
    <w:panose1 w:val="00000400000000000000"/>
    <w:charset w:val="00"/>
    <w:family w:val="auto"/>
    <w:pitch w:val="default"/>
    <w:sig w:usb0="00008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pStyle w:val="9"/>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14</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DOqXm5zwAAAAUBAAAPAAAAAAAA&#10;AAEAIAAAADgAAABkcnMvZG93bnJldi54bWxQSwECFAAUAAAACACHTuJAbpSrmcwBAACJAwAADgAA&#10;AAAAAAABACAAAAA0AQAAZHJzL2Uyb0RvYy54bWxQSwUGAAAAAAYABgBZAQAAcgUAAAAA&#10;">
              <v:fill on="f" focussize="0,0"/>
              <v:stroke on="f"/>
              <v:imagedata o:title=""/>
              <o:lock v:ext="edit" aspectratio="f"/>
              <v:textbox inset="0mm,0mm,0mm,0mm" style="mso-fit-shape-to-text:t;">
                <w:txbxContent>
                  <w:p>
                    <w:pPr>
                      <w:pStyle w:val="9"/>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14</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true"/>
  <w:bordersDoNotSurroundHeader w:val="true"/>
  <w:bordersDoNotSurroundFooter w:val="true"/>
  <w:documentProtection w:enforcement="0"/>
  <w:defaultTabStop w:val="420"/>
  <w:drawingGridHorizontalSpacing w:val="1"/>
  <w:drawingGridVerticalSpacing w:val="1"/>
  <w:doNotUseMarginsForDrawingGridOrigin w:val="true"/>
  <w:drawingGridHorizontalOrigin w:val="0"/>
  <w:drawingGridVerticalOrigin w:val="0"/>
  <w:noPunctuationKerning w:val="true"/>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yMTcwZGQ1OTM4MjhmNzUxM2UwYmUxYzI0ZThkNWQifQ=="/>
    <w:docVar w:name="KSO_WPS_MARK_KEY" w:val="6f4e1260-f17b-4511-a37e-006ad8f266f5"/>
  </w:docVars>
  <w:rsids>
    <w:rsidRoot w:val="00E425FD"/>
    <w:rsid w:val="00021335"/>
    <w:rsid w:val="00057548"/>
    <w:rsid w:val="000D4B3A"/>
    <w:rsid w:val="000D4C01"/>
    <w:rsid w:val="00147C8A"/>
    <w:rsid w:val="00153DDF"/>
    <w:rsid w:val="001550F6"/>
    <w:rsid w:val="001E1D91"/>
    <w:rsid w:val="00224A5A"/>
    <w:rsid w:val="00227252"/>
    <w:rsid w:val="00316C18"/>
    <w:rsid w:val="00341B51"/>
    <w:rsid w:val="003B785F"/>
    <w:rsid w:val="004802AB"/>
    <w:rsid w:val="00480BB7"/>
    <w:rsid w:val="004A363B"/>
    <w:rsid w:val="004D1B38"/>
    <w:rsid w:val="004E446E"/>
    <w:rsid w:val="004F78AD"/>
    <w:rsid w:val="005048C3"/>
    <w:rsid w:val="00504B98"/>
    <w:rsid w:val="0053403D"/>
    <w:rsid w:val="005D4B7D"/>
    <w:rsid w:val="005D642C"/>
    <w:rsid w:val="005E464E"/>
    <w:rsid w:val="00620E48"/>
    <w:rsid w:val="00647805"/>
    <w:rsid w:val="00693B88"/>
    <w:rsid w:val="007112DE"/>
    <w:rsid w:val="00740F6B"/>
    <w:rsid w:val="0077678C"/>
    <w:rsid w:val="007A1D9D"/>
    <w:rsid w:val="007D5E3E"/>
    <w:rsid w:val="00814D37"/>
    <w:rsid w:val="00822BB6"/>
    <w:rsid w:val="008A682D"/>
    <w:rsid w:val="00907ED8"/>
    <w:rsid w:val="00907F57"/>
    <w:rsid w:val="00996C7F"/>
    <w:rsid w:val="009C4283"/>
    <w:rsid w:val="00A81035"/>
    <w:rsid w:val="00A92811"/>
    <w:rsid w:val="00AD1319"/>
    <w:rsid w:val="00AE6206"/>
    <w:rsid w:val="00B02CFF"/>
    <w:rsid w:val="00B07FE7"/>
    <w:rsid w:val="00B12125"/>
    <w:rsid w:val="00B33897"/>
    <w:rsid w:val="00BB4DC0"/>
    <w:rsid w:val="00C97640"/>
    <w:rsid w:val="00CD530D"/>
    <w:rsid w:val="00CF0D60"/>
    <w:rsid w:val="00CF36B5"/>
    <w:rsid w:val="00D1551C"/>
    <w:rsid w:val="00D307C9"/>
    <w:rsid w:val="00D75785"/>
    <w:rsid w:val="00D82344"/>
    <w:rsid w:val="00DA1C9C"/>
    <w:rsid w:val="00DE7653"/>
    <w:rsid w:val="00E425FD"/>
    <w:rsid w:val="00E45F35"/>
    <w:rsid w:val="00EA03E5"/>
    <w:rsid w:val="00F402F2"/>
    <w:rsid w:val="00F41733"/>
    <w:rsid w:val="00FD11A1"/>
    <w:rsid w:val="012352D1"/>
    <w:rsid w:val="1D9F113A"/>
    <w:rsid w:val="1F7BF06F"/>
    <w:rsid w:val="1FEE4B73"/>
    <w:rsid w:val="23CE9849"/>
    <w:rsid w:val="2FFD97B0"/>
    <w:rsid w:val="372799D5"/>
    <w:rsid w:val="39F304DD"/>
    <w:rsid w:val="3B5CCBE1"/>
    <w:rsid w:val="416FEAA9"/>
    <w:rsid w:val="54244390"/>
    <w:rsid w:val="54662A63"/>
    <w:rsid w:val="58064E12"/>
    <w:rsid w:val="5BFEE015"/>
    <w:rsid w:val="63EDCF55"/>
    <w:rsid w:val="63FBFBCF"/>
    <w:rsid w:val="669360FD"/>
    <w:rsid w:val="68FF6A83"/>
    <w:rsid w:val="6AEF6005"/>
    <w:rsid w:val="6E3DB48E"/>
    <w:rsid w:val="6FBBC9CF"/>
    <w:rsid w:val="6FFF96A5"/>
    <w:rsid w:val="72BDE561"/>
    <w:rsid w:val="75FBDFB6"/>
    <w:rsid w:val="78462278"/>
    <w:rsid w:val="7997EA6C"/>
    <w:rsid w:val="7AEAE675"/>
    <w:rsid w:val="7BAFCE5D"/>
    <w:rsid w:val="7D46598C"/>
    <w:rsid w:val="7D9F8F0F"/>
    <w:rsid w:val="7DFB240B"/>
    <w:rsid w:val="7DFE05E7"/>
    <w:rsid w:val="7E0935ED"/>
    <w:rsid w:val="7EDDA527"/>
    <w:rsid w:val="7F460F8F"/>
    <w:rsid w:val="7FCF2AF7"/>
    <w:rsid w:val="9FEF033D"/>
    <w:rsid w:val="A27FF1E5"/>
    <w:rsid w:val="AF3FEDDD"/>
    <w:rsid w:val="AFDEB5A7"/>
    <w:rsid w:val="AFEA7FBF"/>
    <w:rsid w:val="B83F4767"/>
    <w:rsid w:val="BF930F07"/>
    <w:rsid w:val="BFCE8436"/>
    <w:rsid w:val="BFFCCF72"/>
    <w:rsid w:val="C3F7EB7A"/>
    <w:rsid w:val="CFF5FEEC"/>
    <w:rsid w:val="D3DD9064"/>
    <w:rsid w:val="D6F76A0C"/>
    <w:rsid w:val="D7ECE8D2"/>
    <w:rsid w:val="DFDD4FB5"/>
    <w:rsid w:val="E7F748B5"/>
    <w:rsid w:val="EE5F3713"/>
    <w:rsid w:val="EFC9D62C"/>
    <w:rsid w:val="F1FC671F"/>
    <w:rsid w:val="F6BE9755"/>
    <w:rsid w:val="F6FFA89B"/>
    <w:rsid w:val="F88D0DC7"/>
    <w:rsid w:val="FAE4EFE1"/>
    <w:rsid w:val="FB9B6F12"/>
    <w:rsid w:val="FBB66A4A"/>
    <w:rsid w:val="FDEE6989"/>
    <w:rsid w:val="FF5E7DB8"/>
    <w:rsid w:val="FF77E367"/>
    <w:rsid w:val="FFD576EB"/>
    <w:rsid w:val="FFDB1578"/>
    <w:rsid w:val="FFFADE43"/>
    <w:rsid w:val="FFFBE8B7"/>
    <w:rsid w:val="FFFF4CF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paragraph" w:styleId="4">
    <w:name w:val="heading 1"/>
    <w:basedOn w:val="1"/>
    <w:next w:val="1"/>
    <w:link w:val="24"/>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23"/>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1"/>
    <w:next w:val="3"/>
    <w:qFormat/>
    <w:uiPriority w:val="0"/>
    <w:rPr>
      <w:b/>
      <w:color w:val="538135"/>
      <w:sz w:val="28"/>
    </w:rPr>
  </w:style>
  <w:style w:type="paragraph" w:styleId="3">
    <w:name w:val="index 8"/>
    <w:basedOn w:val="1"/>
    <w:next w:val="1"/>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2940" w:right="0" w:firstLine="0"/>
      <w:jc w:val="both"/>
      <w:textAlignment w:val="auto"/>
      <w:outlineLvl w:val="9"/>
    </w:pPr>
    <w:rPr>
      <w:rFonts w:ascii="Times New Roman" w:hAnsi="Times New Roman" w:eastAsia="宋体" w:cs="Times New Roman"/>
      <w:snapToGrid/>
      <w:color w:val="auto"/>
      <w:spacing w:val="0"/>
      <w:w w:val="100"/>
      <w:kern w:val="2"/>
      <w:position w:val="0"/>
      <w:sz w:val="21"/>
      <w:szCs w:val="21"/>
      <w:u w:val="none" w:color="auto"/>
      <w:vertAlign w:val="baseline"/>
      <w:lang w:val="en-US" w:eastAsia="zh-CN" w:bidi="ar-SA"/>
    </w:rPr>
  </w:style>
  <w:style w:type="paragraph" w:styleId="6">
    <w:name w:val="caption"/>
    <w:basedOn w:val="1"/>
    <w:next w:val="1"/>
    <w:qFormat/>
    <w:uiPriority w:val="0"/>
    <w:pPr>
      <w:suppressLineNumbers/>
      <w:spacing w:before="120" w:after="120"/>
    </w:pPr>
    <w:rPr>
      <w:i/>
      <w:iCs/>
      <w:sz w:val="24"/>
    </w:rPr>
  </w:style>
  <w:style w:type="paragraph" w:styleId="7">
    <w:name w:val="Body Text"/>
    <w:basedOn w:val="1"/>
    <w:qFormat/>
    <w:uiPriority w:val="0"/>
    <w:pPr>
      <w:spacing w:after="140" w:line="276" w:lineRule="auto"/>
    </w:pPr>
  </w:style>
  <w:style w:type="paragraph" w:styleId="8">
    <w:name w:val="Balloon Text"/>
    <w:basedOn w:val="1"/>
    <w:link w:val="26"/>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style>
  <w:style w:type="paragraph" w:styleId="12">
    <w:name w:val="List"/>
    <w:basedOn w:val="7"/>
    <w:qFormat/>
    <w:uiPriority w:val="0"/>
  </w:style>
  <w:style w:type="paragraph" w:styleId="13">
    <w:name w:val="toc 2"/>
    <w:basedOn w:val="1"/>
    <w:next w:val="1"/>
    <w:qFormat/>
    <w:uiPriority w:val="39"/>
    <w:pPr>
      <w:ind w:left="420" w:leftChars="200"/>
    </w:pPr>
  </w:style>
  <w:style w:type="paragraph" w:styleId="14">
    <w:name w:val="Normal (Web)"/>
    <w:basedOn w:val="1"/>
    <w:qFormat/>
    <w:uiPriority w:val="0"/>
    <w:rPr>
      <w:sz w:val="24"/>
    </w:rPr>
  </w:style>
  <w:style w:type="character" w:styleId="17">
    <w:name w:val="Hyperlink"/>
    <w:basedOn w:val="16"/>
    <w:unhideWhenUsed/>
    <w:qFormat/>
    <w:uiPriority w:val="99"/>
    <w:rPr>
      <w:color w:val="0000FF" w:themeColor="hyperlink"/>
      <w:u w:val="single"/>
    </w:rPr>
  </w:style>
  <w:style w:type="character" w:customStyle="1" w:styleId="18">
    <w:name w:val="默认段落字体1"/>
    <w:qFormat/>
    <w:uiPriority w:val="0"/>
  </w:style>
  <w:style w:type="paragraph" w:customStyle="1" w:styleId="19">
    <w:name w:val="Heading"/>
    <w:basedOn w:val="1"/>
    <w:next w:val="7"/>
    <w:qFormat/>
    <w:uiPriority w:val="0"/>
    <w:pPr>
      <w:keepNext/>
      <w:spacing w:before="240" w:after="120"/>
    </w:pPr>
    <w:rPr>
      <w:rFonts w:ascii="Liberation Sans" w:hAnsi="Liberation Sans" w:eastAsia="Noto Sans CJK SC Regular" w:cs="Noto Sans CJK SC Regular"/>
      <w:sz w:val="28"/>
      <w:szCs w:val="28"/>
    </w:rPr>
  </w:style>
  <w:style w:type="paragraph" w:customStyle="1" w:styleId="20">
    <w:name w:val="Index"/>
    <w:basedOn w:val="1"/>
    <w:qFormat/>
    <w:uiPriority w:val="0"/>
    <w:pPr>
      <w:suppressLineNumbers/>
    </w:pPr>
  </w:style>
  <w:style w:type="paragraph" w:styleId="21">
    <w:name w:val="List Paragraph"/>
    <w:basedOn w:val="1"/>
    <w:unhideWhenUsed/>
    <w:qFormat/>
    <w:uiPriority w:val="99"/>
    <w:pPr>
      <w:ind w:firstLine="420" w:firstLineChars="200"/>
    </w:pPr>
  </w:style>
  <w:style w:type="paragraph" w:customStyle="1" w:styleId="22">
    <w:name w:val="标题2"/>
    <w:basedOn w:val="5"/>
    <w:qFormat/>
    <w:uiPriority w:val="0"/>
    <w:pPr>
      <w:spacing w:line="560" w:lineRule="exact"/>
      <w:ind w:firstLine="200" w:firstLineChars="200"/>
    </w:pPr>
    <w:rPr>
      <w:rFonts w:ascii="楷体_GB2312" w:hAnsi="仿宋" w:eastAsia="楷体_GB2312" w:cs="Times New Roman"/>
      <w:b w:val="0"/>
    </w:rPr>
  </w:style>
  <w:style w:type="character" w:customStyle="1" w:styleId="23">
    <w:name w:val="标题 2 Char"/>
    <w:basedOn w:val="16"/>
    <w:link w:val="5"/>
    <w:semiHidden/>
    <w:qFormat/>
    <w:uiPriority w:val="0"/>
    <w:rPr>
      <w:rFonts w:asciiTheme="majorHAnsi" w:hAnsiTheme="majorHAnsi" w:eastAsiaTheme="majorEastAsia" w:cstheme="majorBidi"/>
      <w:b/>
      <w:bCs/>
      <w:kern w:val="2"/>
      <w:sz w:val="32"/>
      <w:szCs w:val="32"/>
    </w:rPr>
  </w:style>
  <w:style w:type="character" w:customStyle="1" w:styleId="24">
    <w:name w:val="标题 1 Char"/>
    <w:basedOn w:val="16"/>
    <w:link w:val="4"/>
    <w:qFormat/>
    <w:uiPriority w:val="0"/>
    <w:rPr>
      <w:rFonts w:ascii="Calibri" w:hAnsi="Calibri"/>
      <w:b/>
      <w:bCs/>
      <w:kern w:val="44"/>
      <w:sz w:val="44"/>
      <w:szCs w:val="44"/>
    </w:rPr>
  </w:style>
  <w:style w:type="paragraph" w:customStyle="1" w:styleId="25">
    <w:name w:val="TOC 标题1"/>
    <w:basedOn w:val="4"/>
    <w:next w:val="1"/>
    <w:unhideWhenUsed/>
    <w:qFormat/>
    <w:uiPriority w:val="39"/>
    <w:pPr>
      <w:widowControl/>
      <w:suppressAutoHyphens w:val="0"/>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6">
    <w:name w:val="批注框文本 Char"/>
    <w:basedOn w:val="16"/>
    <w:link w:val="8"/>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5920</Words>
  <Characters>6284</Characters>
  <Lines>56</Lines>
  <Paragraphs>16</Paragraphs>
  <TotalTime>14</TotalTime>
  <ScaleCrop>false</ScaleCrop>
  <LinksUpToDate>false</LinksUpToDate>
  <CharactersWithSpaces>6366</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2024-02-03T00:32:00Z</dcterms:created>
  <dc:creator>admin</dc:creator>
  <cp:lastModifiedBy>user</cp:lastModifiedBy>
  <cp:lastPrinted>2024-02-29T10:47:00Z</cp:lastPrinted>
  <dcterms:modified xsi:type="dcterms:W3CDTF">2024-03-05T16:22:58Z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96081F72B7444D3C8C1C7DDAED24732C_13</vt:lpwstr>
  </property>
</Properties>
</file>