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10509" w:type="dxa"/>
        <w:tblInd w:w="0" w:type="dxa"/>
        <w:tblLayout w:type="autofit"/>
        <w:tblCellMar>
          <w:top w:w="0" w:type="dxa"/>
          <w:left w:w="0" w:type="dxa"/>
          <w:bottom w:w="0" w:type="dxa"/>
          <w:right w:w="0" w:type="dxa"/>
        </w:tblCellMar>
      </w:tblPr>
      <w:tblGrid>
        <w:gridCol w:w="1985"/>
        <w:gridCol w:w="8524"/>
      </w:tblGrid>
      <w:tr>
        <w:tblPrEx>
          <w:tblCellMar>
            <w:top w:w="0" w:type="dxa"/>
            <w:left w:w="0" w:type="dxa"/>
            <w:bottom w:w="0" w:type="dxa"/>
            <w:right w:w="0" w:type="dxa"/>
          </w:tblCellMar>
        </w:tblPrEx>
        <w:tc>
          <w:tcPr>
            <w:tcW w:w="1985" w:type="dxa"/>
          </w:tcPr>
          <w:p>
            <w:pPr>
              <w:pStyle w:val="18"/>
              <w:framePr w:wrap="notBeside" w:vAnchor="page" w:hAnchor="page" w:x="1372" w:y="568"/>
              <w:tabs>
                <w:tab w:val="clear" w:pos="4153"/>
                <w:tab w:val="clear" w:pos="8306"/>
              </w:tabs>
              <w:spacing w:line="240" w:lineRule="auto"/>
              <w:jc w:val="left"/>
              <w:rPr>
                <w:rFonts w:ascii="黑体" w:hAnsi="黑体" w:eastAsia="黑体"/>
                <w:color w:val="auto"/>
                <w:kern w:val="2"/>
                <w:sz w:val="21"/>
                <w:szCs w:val="21"/>
                <w:highlight w:val="none"/>
              </w:rPr>
            </w:pPr>
            <w:r>
              <w:rPr>
                <w:rFonts w:ascii="黑体" w:hAnsi="黑体" w:eastAsia="黑体"/>
                <w:color w:val="auto"/>
                <w:kern w:val="2"/>
                <w:sz w:val="21"/>
                <w:szCs w:val="21"/>
                <w:highlight w:val="none"/>
              </w:rPr>
              <w:t xml:space="preserve">ICS 01.040.65 </w:t>
            </w:r>
          </w:p>
        </w:tc>
        <w:tc>
          <w:tcPr>
            <w:tcW w:w="8524" w:type="dxa"/>
          </w:tcPr>
          <w:p>
            <w:pPr>
              <w:pStyle w:val="18"/>
              <w:framePr w:wrap="notBeside" w:vAnchor="page" w:hAnchor="page" w:x="1372" w:y="568"/>
              <w:tabs>
                <w:tab w:val="clear" w:pos="4153"/>
                <w:tab w:val="clear" w:pos="8306"/>
              </w:tabs>
              <w:spacing w:line="240" w:lineRule="auto"/>
              <w:jc w:val="both"/>
              <w:rPr>
                <w:rFonts w:ascii="黑体" w:hAnsi="黑体" w:eastAsia="黑体"/>
                <w:color w:val="auto"/>
                <w:kern w:val="2"/>
                <w:sz w:val="21"/>
                <w:szCs w:val="21"/>
                <w:highlight w:val="none"/>
              </w:rPr>
            </w:pPr>
          </w:p>
        </w:tc>
      </w:tr>
      <w:tr>
        <w:tblPrEx>
          <w:tblCellMar>
            <w:top w:w="0" w:type="dxa"/>
            <w:left w:w="0" w:type="dxa"/>
            <w:bottom w:w="0" w:type="dxa"/>
            <w:right w:w="0" w:type="dxa"/>
          </w:tblCellMar>
        </w:tblPrEx>
        <w:tc>
          <w:tcPr>
            <w:tcW w:w="1985" w:type="dxa"/>
          </w:tcPr>
          <w:p>
            <w:pPr>
              <w:pStyle w:val="18"/>
              <w:framePr w:wrap="notBeside" w:vAnchor="page" w:hAnchor="page" w:x="1372" w:y="568"/>
              <w:tabs>
                <w:tab w:val="clear" w:pos="4153"/>
                <w:tab w:val="clear" w:pos="8306"/>
              </w:tabs>
              <w:spacing w:before="40" w:line="240" w:lineRule="auto"/>
              <w:jc w:val="left"/>
              <w:rPr>
                <w:rFonts w:ascii="黑体" w:hAnsi="黑体" w:eastAsia="黑体"/>
                <w:color w:val="auto"/>
                <w:kern w:val="2"/>
                <w:sz w:val="21"/>
                <w:szCs w:val="21"/>
                <w:highlight w:val="none"/>
              </w:rPr>
            </w:pPr>
            <w:r>
              <w:rPr>
                <w:rFonts w:ascii="黑体" w:hAnsi="黑体" w:eastAsia="黑体"/>
                <w:color w:val="auto"/>
                <w:kern w:val="2"/>
                <w:sz w:val="21"/>
                <w:szCs w:val="21"/>
                <w:highlight w:val="none"/>
              </w:rPr>
              <w:t>CCS B01</w:t>
            </w:r>
          </w:p>
        </w:tc>
        <w:tc>
          <w:tcPr>
            <w:tcW w:w="8524" w:type="dxa"/>
          </w:tcPr>
          <w:p>
            <w:pPr>
              <w:pStyle w:val="18"/>
              <w:framePr w:wrap="notBeside" w:vAnchor="page" w:hAnchor="page" w:x="1372" w:y="568"/>
              <w:tabs>
                <w:tab w:val="clear" w:pos="4153"/>
                <w:tab w:val="clear" w:pos="8306"/>
              </w:tabs>
              <w:spacing w:before="40" w:line="240" w:lineRule="auto"/>
              <w:jc w:val="left"/>
              <w:rPr>
                <w:rFonts w:ascii="黑体" w:hAnsi="黑体" w:eastAsia="黑体"/>
                <w:color w:val="auto"/>
                <w:kern w:val="2"/>
                <w:sz w:val="21"/>
                <w:szCs w:val="21"/>
                <w:highlight w:val="none"/>
              </w:rPr>
            </w:pPr>
          </w:p>
        </w:tc>
      </w:tr>
    </w:tbl>
    <w:p>
      <w:pPr>
        <w:pStyle w:val="62"/>
        <w:framePr w:w="9639" w:h="624" w:hRule="exact" w:hSpace="181" w:vSpace="181" w:hAnchor="page" w:x="1305" w:y="2269"/>
        <w:rPr>
          <w:rFonts w:ascii="黑体" w:hAnsi="黑体" w:eastAsia="黑体"/>
          <w:b w:val="0"/>
          <w:bCs w:val="0"/>
          <w:color w:val="auto"/>
          <w:w w:val="100"/>
          <w:sz w:val="48"/>
          <w:szCs w:val="48"/>
          <w:highlight w:val="none"/>
        </w:rPr>
      </w:pPr>
      <w:bookmarkStart w:id="0" w:name="_Hlk26473981"/>
      <w:r>
        <w:rPr>
          <w:rFonts w:hint="eastAsia" w:ascii="黑体" w:eastAsia="黑体"/>
          <w:b w:val="0"/>
          <w:color w:val="auto"/>
          <w:w w:val="100"/>
          <w:sz w:val="48"/>
          <w:highlight w:val="none"/>
          <w:lang w:val="en-US" w:eastAsia="zh-CN"/>
        </w:rPr>
        <w:t>广元市</w:t>
      </w:r>
      <w:r>
        <w:rPr>
          <w:rFonts w:hint="eastAsia" w:ascii="黑体" w:hAnsi="黑体" w:eastAsia="黑体"/>
          <w:b w:val="0"/>
          <w:bCs w:val="0"/>
          <w:color w:val="auto"/>
          <w:w w:val="100"/>
          <w:sz w:val="48"/>
          <w:szCs w:val="48"/>
          <w:highlight w:val="none"/>
        </w:rPr>
        <w:t>地方标准</w:t>
      </w:r>
    </w:p>
    <w:bookmarkEnd w:id="0"/>
    <w:p>
      <w:pPr>
        <w:pStyle w:val="205"/>
        <w:framePr/>
        <w:rPr>
          <w:rFonts w:hint="eastAsia" w:eastAsia="黑体"/>
          <w:color w:val="auto"/>
          <w:highlight w:val="none"/>
          <w:lang w:val="en-US" w:eastAsia="zh-CN"/>
        </w:rPr>
      </w:pPr>
      <w:bookmarkStart w:id="1" w:name="文字1"/>
      <w:r>
        <w:rPr>
          <w:color w:val="auto"/>
          <w:highlight w:val="none"/>
        </w:rPr>
        <w:fldChar w:fldCharType="begin">
          <w:ffData>
            <w:enabled/>
            <w:calcOnExit w:val="0"/>
            <w:textInput>
              <w:default w:val="GB "/>
            </w:textInput>
          </w:ffData>
        </w:fldChar>
      </w:r>
      <w:r>
        <w:rPr>
          <w:color w:val="auto"/>
          <w:highlight w:val="none"/>
        </w:rPr>
        <w:instrText xml:space="preserve"> FORMTEXT </w:instrText>
      </w:r>
      <w:r>
        <w:rPr>
          <w:color w:val="auto"/>
          <w:highlight w:val="none"/>
        </w:rPr>
        <w:fldChar w:fldCharType="separate"/>
      </w:r>
      <w:r>
        <w:rPr>
          <w:color w:val="auto"/>
          <w:highlight w:val="none"/>
        </w:rPr>
        <w:t>DB51</w:t>
      </w:r>
      <w:r>
        <w:rPr>
          <w:rFonts w:hint="eastAsia"/>
          <w:color w:val="auto"/>
          <w:highlight w:val="none"/>
          <w:lang w:val="en-US" w:eastAsia="zh-CN"/>
        </w:rPr>
        <w:t>08</w:t>
      </w:r>
      <w:r>
        <w:rPr>
          <w:color w:val="auto"/>
          <w:highlight w:val="none"/>
        </w:rPr>
        <w:t xml:space="preserve">/T </w:t>
      </w:r>
      <w:r>
        <w:rPr>
          <w:color w:val="auto"/>
          <w:highlight w:val="none"/>
        </w:rPr>
        <w:fldChar w:fldCharType="end"/>
      </w:r>
      <w:bookmarkEnd w:id="1"/>
      <w:r>
        <w:rPr>
          <w:rFonts w:hint="eastAsia"/>
          <w:color w:val="auto"/>
          <w:highlight w:val="none"/>
          <w:lang w:eastAsia="zh-CN"/>
        </w:rPr>
        <w:t>××××</w:t>
      </w:r>
      <w:r>
        <w:rPr>
          <w:rFonts w:hAnsi="黑体"/>
          <w:color w:val="auto"/>
          <w:highlight w:val="none"/>
        </w:rPr>
        <w:t>—202</w:t>
      </w:r>
      <w:r>
        <w:rPr>
          <w:rFonts w:hint="eastAsia" w:hAnsi="黑体"/>
          <w:color w:val="auto"/>
          <w:highlight w:val="none"/>
          <w:lang w:val="en-US" w:eastAsia="zh-CN"/>
        </w:rPr>
        <w:t>3</w:t>
      </w:r>
    </w:p>
    <w:p>
      <w:pPr>
        <w:pStyle w:val="206"/>
        <w:framePr/>
        <w:rPr>
          <w:rFonts w:hAnsi="黑体"/>
          <w:color w:val="auto"/>
          <w:highlight w:val="none"/>
        </w:rPr>
      </w:pPr>
      <w:bookmarkStart w:id="2" w:name="OSTD_CODE"/>
      <w:r>
        <w:rPr>
          <w:rFonts w:hAnsi="黑体"/>
          <w:color w:val="auto"/>
          <w:highlight w:val="none"/>
        </w:rPr>
        <w:fldChar w:fldCharType="begin">
          <w:ffData>
            <w:name w:val="OSTD_CODE"/>
            <w:enabled/>
            <w:calcOnExit w:val="0"/>
            <w:textInput/>
          </w:ffData>
        </w:fldChar>
      </w:r>
      <w:r>
        <w:rPr>
          <w:rFonts w:hAnsi="黑体"/>
          <w:color w:val="auto"/>
          <w:highlight w:val="none"/>
        </w:rPr>
        <w:instrText xml:space="preserve"> FORMTEXT </w:instrText>
      </w:r>
      <w:r>
        <w:rPr>
          <w:rFonts w:hAnsi="黑体"/>
          <w:color w:val="auto"/>
          <w:highlight w:val="none"/>
        </w:rPr>
        <w:fldChar w:fldCharType="separate"/>
      </w:r>
      <w:r>
        <w:rPr>
          <w:rFonts w:hint="eastAsia" w:hAnsi="黑体"/>
          <w:color w:val="auto"/>
          <w:highlight w:val="none"/>
        </w:rPr>
        <w:t>     </w:t>
      </w:r>
      <w:r>
        <w:rPr>
          <w:rFonts w:hAnsi="黑体"/>
          <w:color w:val="auto"/>
          <w:highlight w:val="none"/>
        </w:rPr>
        <w:fldChar w:fldCharType="end"/>
      </w:r>
      <w:bookmarkEnd w:id="2"/>
    </w:p>
    <w:p>
      <w:pPr>
        <w:pStyle w:val="61"/>
        <w:framePr w:w="0" w:hRule="auto" w:vAnchor="page" w:hAnchor="page" w:x="6124" w:y="691"/>
        <w:ind w:left="424" w:leftChars="202" w:right="-1808" w:rightChars="-861"/>
        <w:jc w:val="both"/>
        <w:rPr>
          <w:rFonts w:hint="default" w:eastAsia="宋体"/>
          <w:color w:val="auto"/>
          <w:highlight w:val="none"/>
          <w:lang w:val="en-US" w:eastAsia="zh-CN"/>
        </w:rPr>
      </w:pPr>
      <w:r>
        <w:rPr>
          <w:color w:val="auto"/>
          <w:highlight w:val="none"/>
        </w:rPr>
        <w:t>DB51</w:t>
      </w:r>
      <w:r>
        <w:rPr>
          <w:rFonts w:hint="eastAsia"/>
          <w:color w:val="auto"/>
          <w:highlight w:val="none"/>
          <w:lang w:val="en-US" w:eastAsia="zh-CN"/>
        </w:rPr>
        <w:t>08</w:t>
      </w:r>
    </w:p>
    <w:p>
      <w:pPr>
        <w:spacing w:line="240" w:lineRule="auto"/>
        <w:rPr>
          <w:rFonts w:ascii="黑体" w:hAnsi="黑体" w:eastAsia="黑体"/>
          <w:color w:val="auto"/>
          <w:kern w:val="0"/>
          <w:sz w:val="10"/>
          <w:szCs w:val="10"/>
          <w:highlight w:val="none"/>
        </w:rPr>
      </w:pPr>
      <w:r>
        <w:rPr>
          <w:color w:val="auto"/>
          <w:highlight w:val="none"/>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J4NJltgA&#10;AAAMAQAADwAAAAAAAAABACAAAAA4AAAAZHJzL2Rvd25yZXYueG1sUEsBAhQAFAAAAAgAh07iQOoQ&#10;p33QAQAAbwMAAA4AAAAAAAAAAQAgAAAAPQEAAGRycy9lMm9Eb2MueG1sUEsFBgAAAAAGAAYAWQEA&#10;AH8FAAAAAA==&#10;">
                <v:fill on="f" focussize="0,0"/>
                <v:stroke color="#000000" joinstyle="round"/>
                <v:imagedata o:title=""/>
                <o:lock v:ext="edit" aspectratio="f"/>
              </v:line>
            </w:pict>
          </mc:Fallback>
        </mc:AlternateContent>
      </w:r>
    </w:p>
    <w:p>
      <w:pPr>
        <w:pStyle w:val="62"/>
        <w:framePr w:w="9639" w:h="6976" w:hRule="exact" w:hSpace="0" w:vSpace="0" w:hAnchor="page" w:y="6408"/>
        <w:jc w:val="center"/>
        <w:rPr>
          <w:rFonts w:ascii="黑体" w:hAnsi="黑体" w:eastAsia="黑体"/>
          <w:b w:val="0"/>
          <w:bCs w:val="0"/>
          <w:color w:val="auto"/>
          <w:w w:val="100"/>
          <w:highlight w:val="none"/>
        </w:rPr>
      </w:pPr>
    </w:p>
    <w:p>
      <w:pPr>
        <w:pStyle w:val="207"/>
        <w:framePr w:h="6974" w:hRule="exact" w:x="1419" w:anchorLock="1"/>
        <w:rPr>
          <w:color w:val="auto"/>
          <w:highlight w:val="none"/>
        </w:rPr>
      </w:pPr>
      <w:r>
        <w:rPr>
          <w:rFonts w:hint="eastAsia"/>
          <w:color w:val="auto"/>
          <w:highlight w:val="none"/>
          <w:lang w:val="en-US" w:eastAsia="zh-CN"/>
        </w:rPr>
        <w:t>广元</w:t>
      </w:r>
      <w:r>
        <w:rPr>
          <w:rFonts w:hint="eastAsia"/>
          <w:color w:val="auto"/>
          <w:highlight w:val="none"/>
        </w:rPr>
        <w:t>红心猕猴桃避雨设施栽培技术规程</w:t>
      </w:r>
    </w:p>
    <w:p>
      <w:pPr>
        <w:framePr w:w="9639" w:h="6974" w:hRule="exact" w:wrap="around" w:vAnchor="page" w:hAnchor="page" w:x="1419" w:y="6408" w:anchorLock="1"/>
        <w:ind w:left="-1418"/>
        <w:rPr>
          <w:color w:val="auto"/>
          <w:highlight w:val="none"/>
        </w:rPr>
      </w:pPr>
    </w:p>
    <w:p>
      <w:pPr>
        <w:pStyle w:val="135"/>
        <w:framePr w:w="9639" w:h="6974" w:hRule="exact" w:wrap="around" w:vAnchor="page" w:hAnchor="page" w:x="1419" w:y="6408" w:anchorLock="1"/>
        <w:spacing w:before="440" w:after="160"/>
        <w:textAlignment w:val="bottom"/>
        <w:rPr>
          <w:color w:val="auto"/>
          <w:sz w:val="24"/>
          <w:szCs w:val="28"/>
          <w:highlight w:val="none"/>
        </w:rPr>
      </w:pPr>
      <w:r>
        <w:rPr>
          <w:rFonts w:hint="eastAsia"/>
          <w:color w:val="auto"/>
          <w:sz w:val="24"/>
          <w:szCs w:val="28"/>
          <w:highlight w:val="none"/>
        </w:rPr>
        <w:t>（送审稿）</w:t>
      </w:r>
    </w:p>
    <w:p>
      <w:pPr>
        <w:pStyle w:val="135"/>
        <w:framePr w:w="9639" w:h="6974" w:hRule="exact" w:wrap="around" w:vAnchor="page" w:hAnchor="page" w:x="1419" w:y="6408" w:anchorLock="1"/>
        <w:spacing w:before="720" w:beforeLines="300" w:after="72" w:afterLines="30" w:line="240" w:lineRule="auto"/>
        <w:textAlignment w:val="bottom"/>
        <w:rPr>
          <w:b/>
          <w:color w:val="auto"/>
          <w:sz w:val="21"/>
          <w:szCs w:val="28"/>
          <w:highlight w:val="none"/>
        </w:rPr>
      </w:pPr>
    </w:p>
    <w:p>
      <w:pPr>
        <w:pStyle w:val="203"/>
        <w:framePr w:y="14176"/>
        <w:rPr>
          <w:color w:val="auto"/>
          <w:highlight w:val="none"/>
        </w:rPr>
      </w:pPr>
      <w:r>
        <w:rPr>
          <w:rFonts w:ascii="黑体"/>
          <w:color w:val="auto"/>
          <w:highlight w:val="none"/>
        </w:rPr>
        <w:t>202</w:t>
      </w:r>
      <w:r>
        <w:rPr>
          <w:rFonts w:hint="eastAsia" w:ascii="黑体"/>
          <w:color w:val="auto"/>
          <w:highlight w:val="none"/>
          <w:lang w:val="en-US" w:eastAsia="zh-CN"/>
        </w:rPr>
        <w:t>3</w:t>
      </w:r>
      <w:r>
        <w:rPr>
          <w:rFonts w:ascii="黑体"/>
          <w:color w:val="auto"/>
          <w:highlight w:val="none"/>
        </w:rPr>
        <w:t>-</w:t>
      </w:r>
      <w:r>
        <w:rPr>
          <w:color w:val="auto"/>
          <w:highlight w:val="none"/>
        </w:rPr>
        <w:t xml:space="preserve"> </w:t>
      </w:r>
      <w:bookmarkStart w:id="3" w:name="PLSH_DATE_M"/>
      <w:r>
        <w:rPr>
          <w:rFonts w:ascii="黑体"/>
          <w:color w:val="auto"/>
          <w:highlight w:val="none"/>
        </w:rPr>
        <w:fldChar w:fldCharType="begin">
          <w:ffData>
            <w:name w:val="PLSH_DATE_M"/>
            <w:enabled/>
            <w:calcOnExit w:val="0"/>
            <w:textInput>
              <w:default w:val="XX"/>
              <w:maxLength w:val="2"/>
            </w:textInput>
          </w:ffData>
        </w:fldChar>
      </w:r>
      <w:r>
        <w:rPr>
          <w:rFonts w:ascii="黑体"/>
          <w:color w:val="auto"/>
          <w:highlight w:val="none"/>
        </w:rPr>
        <w:instrText xml:space="preserve"> FORMTEXT </w:instrText>
      </w:r>
      <w:r>
        <w:rPr>
          <w:rFonts w:ascii="黑体"/>
          <w:color w:val="auto"/>
          <w:highlight w:val="none"/>
        </w:rPr>
        <w:fldChar w:fldCharType="separate"/>
      </w:r>
      <w:r>
        <w:rPr>
          <w:rFonts w:hint="eastAsia" w:ascii="黑体"/>
          <w:color w:val="auto"/>
          <w:highlight w:val="none"/>
          <w:lang w:eastAsia="zh-CN"/>
        </w:rPr>
        <w:t>××</w:t>
      </w:r>
      <w:r>
        <w:rPr>
          <w:rFonts w:ascii="黑体"/>
          <w:color w:val="auto"/>
          <w:highlight w:val="none"/>
        </w:rPr>
        <w:fldChar w:fldCharType="end"/>
      </w:r>
      <w:bookmarkEnd w:id="3"/>
      <w:r>
        <w:rPr>
          <w:color w:val="auto"/>
          <w:highlight w:val="none"/>
        </w:rPr>
        <w:t xml:space="preserve"> </w:t>
      </w:r>
      <w:r>
        <w:rPr>
          <w:rFonts w:ascii="黑体"/>
          <w:color w:val="auto"/>
          <w:highlight w:val="none"/>
        </w:rPr>
        <w:t>-</w:t>
      </w:r>
      <w:r>
        <w:rPr>
          <w:color w:val="auto"/>
          <w:highlight w:val="none"/>
        </w:rPr>
        <w:t xml:space="preserve"> </w:t>
      </w:r>
      <w:bookmarkStart w:id="4" w:name="PLSH_DATE_D"/>
      <w:r>
        <w:rPr>
          <w:rFonts w:ascii="黑体"/>
          <w:color w:val="auto"/>
          <w:highlight w:val="none"/>
        </w:rPr>
        <w:fldChar w:fldCharType="begin">
          <w:ffData>
            <w:name w:val="PLSH_DATE_D"/>
            <w:enabled/>
            <w:calcOnExit w:val="0"/>
            <w:textInput>
              <w:default w:val="XX"/>
              <w:maxLength w:val="2"/>
            </w:textInput>
          </w:ffData>
        </w:fldChar>
      </w:r>
      <w:r>
        <w:rPr>
          <w:rFonts w:ascii="黑体"/>
          <w:color w:val="auto"/>
          <w:highlight w:val="none"/>
        </w:rPr>
        <w:instrText xml:space="preserve"> FORMTEXT </w:instrText>
      </w:r>
      <w:r>
        <w:rPr>
          <w:rFonts w:ascii="黑体"/>
          <w:color w:val="auto"/>
          <w:highlight w:val="none"/>
        </w:rPr>
        <w:fldChar w:fldCharType="separate"/>
      </w:r>
      <w:r>
        <w:rPr>
          <w:rFonts w:hint="eastAsia" w:ascii="黑体"/>
          <w:color w:val="auto"/>
          <w:highlight w:val="none"/>
          <w:lang w:eastAsia="zh-CN"/>
        </w:rPr>
        <w:t>××</w:t>
      </w:r>
      <w:r>
        <w:rPr>
          <w:rFonts w:ascii="黑体"/>
          <w:color w:val="auto"/>
          <w:highlight w:val="none"/>
        </w:rPr>
        <w:fldChar w:fldCharType="end"/>
      </w:r>
      <w:bookmarkEnd w:id="4"/>
      <w:r>
        <w:rPr>
          <w:rFonts w:hint="eastAsia"/>
          <w:color w:val="auto"/>
          <w:highlight w:val="none"/>
        </w:rPr>
        <w:t>发布</w:t>
      </w:r>
    </w:p>
    <w:p>
      <w:pPr>
        <w:pStyle w:val="204"/>
        <w:framePr w:y="14176"/>
        <w:rPr>
          <w:color w:val="auto"/>
          <w:highlight w:val="none"/>
        </w:rPr>
      </w:pPr>
      <w:r>
        <w:rPr>
          <w:rFonts w:ascii="黑体"/>
          <w:color w:val="auto"/>
          <w:highlight w:val="none"/>
        </w:rPr>
        <w:t>202</w:t>
      </w:r>
      <w:r>
        <w:rPr>
          <w:rFonts w:hint="eastAsia" w:ascii="黑体"/>
          <w:color w:val="auto"/>
          <w:highlight w:val="none"/>
          <w:lang w:val="en-US" w:eastAsia="zh-CN"/>
        </w:rPr>
        <w:t>3</w:t>
      </w:r>
      <w:r>
        <w:rPr>
          <w:rFonts w:ascii="黑体"/>
          <w:color w:val="auto"/>
          <w:highlight w:val="none"/>
        </w:rPr>
        <w:t>-</w:t>
      </w:r>
      <w:r>
        <w:rPr>
          <w:color w:val="auto"/>
          <w:highlight w:val="none"/>
        </w:rPr>
        <w:t xml:space="preserve"> </w:t>
      </w:r>
      <w:bookmarkStart w:id="5" w:name="CROT_DATE_M"/>
      <w:r>
        <w:rPr>
          <w:rFonts w:ascii="黑体"/>
          <w:color w:val="auto"/>
          <w:highlight w:val="none"/>
        </w:rPr>
        <w:fldChar w:fldCharType="begin">
          <w:ffData>
            <w:name w:val="CROT_DATE_M"/>
            <w:enabled/>
            <w:calcOnExit w:val="0"/>
            <w:textInput>
              <w:default w:val="XX"/>
              <w:maxLength w:val="2"/>
            </w:textInput>
          </w:ffData>
        </w:fldChar>
      </w:r>
      <w:r>
        <w:rPr>
          <w:rFonts w:ascii="黑体"/>
          <w:color w:val="auto"/>
          <w:highlight w:val="none"/>
        </w:rPr>
        <w:instrText xml:space="preserve"> FORMTEXT </w:instrText>
      </w:r>
      <w:r>
        <w:rPr>
          <w:rFonts w:ascii="黑体"/>
          <w:color w:val="auto"/>
          <w:highlight w:val="none"/>
        </w:rPr>
        <w:fldChar w:fldCharType="separate"/>
      </w:r>
      <w:r>
        <w:rPr>
          <w:rFonts w:hint="eastAsia" w:ascii="黑体"/>
          <w:color w:val="auto"/>
          <w:highlight w:val="none"/>
          <w:lang w:eastAsia="zh-CN"/>
        </w:rPr>
        <w:t>××</w:t>
      </w:r>
      <w:r>
        <w:rPr>
          <w:rFonts w:ascii="黑体"/>
          <w:color w:val="auto"/>
          <w:highlight w:val="none"/>
        </w:rPr>
        <w:fldChar w:fldCharType="end"/>
      </w:r>
      <w:bookmarkEnd w:id="5"/>
      <w:r>
        <w:rPr>
          <w:color w:val="auto"/>
          <w:highlight w:val="none"/>
        </w:rPr>
        <w:t xml:space="preserve"> </w:t>
      </w:r>
      <w:r>
        <w:rPr>
          <w:rFonts w:ascii="黑体"/>
          <w:color w:val="auto"/>
          <w:highlight w:val="none"/>
        </w:rPr>
        <w:t>-</w:t>
      </w:r>
      <w:r>
        <w:rPr>
          <w:color w:val="auto"/>
          <w:highlight w:val="none"/>
        </w:rPr>
        <w:t xml:space="preserve"> </w:t>
      </w:r>
      <w:bookmarkStart w:id="6" w:name="CROT_DATE_D"/>
      <w:r>
        <w:rPr>
          <w:rFonts w:ascii="黑体"/>
          <w:color w:val="auto"/>
          <w:highlight w:val="none"/>
        </w:rPr>
        <w:fldChar w:fldCharType="begin">
          <w:ffData>
            <w:name w:val="CROT_DATE_D"/>
            <w:enabled/>
            <w:calcOnExit w:val="0"/>
            <w:textInput>
              <w:default w:val="XX"/>
              <w:maxLength w:val="2"/>
            </w:textInput>
          </w:ffData>
        </w:fldChar>
      </w:r>
      <w:r>
        <w:rPr>
          <w:rFonts w:ascii="黑体"/>
          <w:color w:val="auto"/>
          <w:highlight w:val="none"/>
        </w:rPr>
        <w:instrText xml:space="preserve"> FORMTEXT </w:instrText>
      </w:r>
      <w:r>
        <w:rPr>
          <w:rFonts w:ascii="黑体"/>
          <w:color w:val="auto"/>
          <w:highlight w:val="none"/>
        </w:rPr>
        <w:fldChar w:fldCharType="separate"/>
      </w:r>
      <w:r>
        <w:rPr>
          <w:rFonts w:hint="eastAsia" w:ascii="黑体"/>
          <w:color w:val="auto"/>
          <w:highlight w:val="none"/>
          <w:lang w:eastAsia="zh-CN"/>
        </w:rPr>
        <w:t>××</w:t>
      </w:r>
      <w:r>
        <w:rPr>
          <w:rFonts w:ascii="黑体"/>
          <w:color w:val="auto"/>
          <w:highlight w:val="none"/>
        </w:rPr>
        <w:fldChar w:fldCharType="end"/>
      </w:r>
      <w:bookmarkEnd w:id="6"/>
      <w:r>
        <w:rPr>
          <w:rFonts w:hint="eastAsia"/>
          <w:color w:val="auto"/>
          <w:highlight w:val="none"/>
        </w:rPr>
        <w:t>实施</w:t>
      </w:r>
    </w:p>
    <w:p>
      <w:pPr>
        <w:pStyle w:val="161"/>
        <w:framePr w:h="584" w:hRule="exact" w:hSpace="181" w:vSpace="181" w:y="15027"/>
        <w:rPr>
          <w:rFonts w:hAnsi="黑体"/>
          <w:snapToGrid w:val="0"/>
          <w:color w:val="auto"/>
          <w:spacing w:val="20"/>
          <w:kern w:val="10"/>
          <w:highlight w:val="none"/>
        </w:rPr>
      </w:pPr>
      <w:r>
        <w:rPr>
          <w:rFonts w:hint="eastAsia" w:hAnsi="黑体"/>
          <w:snapToGrid w:val="0"/>
          <w:color w:val="auto"/>
          <w:spacing w:val="40"/>
          <w:w w:val="100"/>
          <w:highlight w:val="none"/>
          <w:lang w:val="en-US" w:eastAsia="zh-CN"/>
        </w:rPr>
        <w:t>广元市</w:t>
      </w:r>
      <w:r>
        <w:rPr>
          <w:rFonts w:hint="eastAsia" w:hAnsi="黑体"/>
          <w:snapToGrid w:val="0"/>
          <w:color w:val="auto"/>
          <w:spacing w:val="40"/>
          <w:w w:val="100"/>
          <w:highlight w:val="none"/>
        </w:rPr>
        <w:t>市场监督管理</w:t>
      </w:r>
      <w:r>
        <w:rPr>
          <w:rFonts w:hint="eastAsia" w:hAnsi="黑体"/>
          <w:snapToGrid w:val="0"/>
          <w:color w:val="auto"/>
          <w:w w:val="100"/>
          <w:highlight w:val="none"/>
        </w:rPr>
        <w:t>局</w:t>
      </w:r>
      <w:r>
        <w:rPr>
          <w:rFonts w:ascii="Times New Roman"/>
          <w:snapToGrid w:val="0"/>
          <w:color w:val="auto"/>
          <w:spacing w:val="20"/>
          <w:w w:val="100"/>
          <w:kern w:val="10"/>
          <w:sz w:val="28"/>
          <w:highlight w:val="none"/>
        </w:rPr>
        <w:t>  </w:t>
      </w:r>
      <w:r>
        <w:rPr>
          <w:rStyle w:val="239"/>
          <w:rFonts w:hint="eastAsia" w:hAnsi="黑体"/>
          <w:snapToGrid w:val="0"/>
          <w:color w:val="auto"/>
          <w:spacing w:val="20"/>
          <w:kern w:val="10"/>
          <w:position w:val="0"/>
          <w:highlight w:val="none"/>
        </w:rPr>
        <w:t>发布</w:t>
      </w:r>
    </w:p>
    <w:p>
      <w:pPr>
        <w:rPr>
          <w:rFonts w:ascii="宋体"/>
          <w:color w:val="auto"/>
          <w:sz w:val="28"/>
          <w:szCs w:val="28"/>
          <w:highlight w:val="none"/>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color w:val="auto"/>
          <w:highlight w:val="none"/>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qzMc+9cAAAAO&#10;AQAADwAAAAAAAAABACAAAAA4AAAAZHJzL2Rvd25yZXYueG1sUEsBAhQAFAAAAAgAh07iQGSNHbPO&#10;AQAAbQMAAA4AAAAAAAAAAQAgAAAAPAEAAGRycy9lMm9Eb2MueG1sUEsFBgAAAAAGAAYAWQEAAHwF&#10;AAAAAA==&#10;">
                <v:fill on="f" focussize="0,0"/>
                <v:stroke color="#000000" joinstyle="round"/>
                <v:imagedata o:title=""/>
                <o:lock v:ext="edit" aspectratio="f"/>
                <w10:anchorlock/>
              </v:line>
            </w:pict>
          </mc:Fallback>
        </mc:AlternateContent>
      </w:r>
    </w:p>
    <w:p>
      <w:pPr>
        <w:pStyle w:val="102"/>
        <w:spacing w:after="468"/>
        <w:rPr>
          <w:color w:val="auto"/>
          <w:highlight w:val="none"/>
        </w:rPr>
      </w:pPr>
      <w:bookmarkStart w:id="7" w:name="BookMark1"/>
      <w:r>
        <w:rPr>
          <w:rFonts w:hint="eastAsia"/>
          <w:color w:val="auto"/>
          <w:spacing w:val="320"/>
          <w:highlight w:val="none"/>
        </w:rPr>
        <w:t>目</w:t>
      </w:r>
      <w:r>
        <w:rPr>
          <w:rFonts w:hint="eastAsia"/>
          <w:color w:val="auto"/>
          <w:highlight w:val="none"/>
        </w:rPr>
        <w:t>次</w:t>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TOC \o "1-1" \h \z \t "</w:instrText>
      </w:r>
      <w:r>
        <w:rPr>
          <w:rFonts w:hint="eastAsia"/>
          <w:color w:val="auto"/>
          <w:highlight w:val="none"/>
        </w:rPr>
        <w:instrText xml:space="preserve">标题</w:instrText>
      </w:r>
      <w:r>
        <w:rPr>
          <w:color w:val="auto"/>
          <w:highlight w:val="none"/>
        </w:rPr>
        <w:instrText xml:space="preserve"> 2,2,</w:instrText>
      </w:r>
      <w:r>
        <w:rPr>
          <w:rFonts w:hint="eastAsia"/>
          <w:color w:val="auto"/>
          <w:highlight w:val="none"/>
        </w:rPr>
        <w:instrText xml:space="preserve">标题</w:instrText>
      </w:r>
      <w:r>
        <w:rPr>
          <w:color w:val="auto"/>
          <w:highlight w:val="none"/>
        </w:rPr>
        <w:instrText xml:space="preserve"> 3,3,</w:instrText>
      </w:r>
      <w:r>
        <w:rPr>
          <w:rFonts w:hint="eastAsia"/>
          <w:color w:val="auto"/>
          <w:highlight w:val="none"/>
        </w:rPr>
        <w:instrText xml:space="preserve">标准文件</w:instrText>
      </w:r>
      <w:r>
        <w:rPr>
          <w:color w:val="auto"/>
          <w:highlight w:val="none"/>
        </w:rPr>
        <w:instrText xml:space="preserve">_</w:instrText>
      </w:r>
      <w:r>
        <w:rPr>
          <w:rFonts w:hint="eastAsia"/>
          <w:color w:val="auto"/>
          <w:highlight w:val="none"/>
        </w:rPr>
        <w:instrText xml:space="preserve">二级条标题</w:instrText>
      </w:r>
      <w:r>
        <w:rPr>
          <w:color w:val="auto"/>
          <w:highlight w:val="none"/>
        </w:rPr>
        <w:instrText xml:space="preserve">,3,</w:instrText>
      </w:r>
      <w:r>
        <w:rPr>
          <w:rFonts w:hint="eastAsia"/>
          <w:color w:val="auto"/>
          <w:highlight w:val="none"/>
        </w:rPr>
        <w:instrText xml:space="preserve">标准文件</w:instrText>
      </w:r>
      <w:r>
        <w:rPr>
          <w:color w:val="auto"/>
          <w:highlight w:val="none"/>
        </w:rPr>
        <w:instrText xml:space="preserve">_</w:instrText>
      </w:r>
      <w:r>
        <w:rPr>
          <w:rFonts w:hint="eastAsia"/>
          <w:color w:val="auto"/>
          <w:highlight w:val="none"/>
        </w:rPr>
        <w:instrText xml:space="preserve">附录一级条标题</w:instrText>
      </w:r>
      <w:r>
        <w:rPr>
          <w:color w:val="auto"/>
          <w:highlight w:val="none"/>
        </w:rPr>
        <w:instrText xml:space="preserve">,3,</w:instrText>
      </w:r>
      <w:r>
        <w:rPr>
          <w:rFonts w:hint="eastAsia"/>
          <w:color w:val="auto"/>
          <w:highlight w:val="none"/>
        </w:rPr>
        <w:instrText xml:space="preserve">标准文件</w:instrText>
      </w:r>
      <w:r>
        <w:rPr>
          <w:color w:val="auto"/>
          <w:highlight w:val="none"/>
        </w:rPr>
        <w:instrText xml:space="preserve">_</w:instrText>
      </w:r>
      <w:r>
        <w:rPr>
          <w:rFonts w:hint="eastAsia"/>
          <w:color w:val="auto"/>
          <w:highlight w:val="none"/>
        </w:rPr>
        <w:instrText xml:space="preserve">附录章标题</w:instrText>
      </w:r>
      <w:r>
        <w:rPr>
          <w:color w:val="auto"/>
          <w:highlight w:val="none"/>
        </w:rPr>
        <w:instrText xml:space="preserve">,2,</w:instrText>
      </w:r>
      <w:r>
        <w:rPr>
          <w:rFonts w:hint="eastAsia"/>
          <w:color w:val="auto"/>
          <w:highlight w:val="none"/>
        </w:rPr>
        <w:instrText xml:space="preserve">标准文件</w:instrText>
      </w:r>
      <w:r>
        <w:rPr>
          <w:color w:val="auto"/>
          <w:highlight w:val="none"/>
        </w:rPr>
        <w:instrText xml:space="preserve">_</w:instrText>
      </w:r>
      <w:r>
        <w:rPr>
          <w:rFonts w:hint="eastAsia"/>
          <w:color w:val="auto"/>
          <w:highlight w:val="none"/>
        </w:rPr>
        <w:instrText xml:space="preserve">一级条标题</w:instrText>
      </w:r>
      <w:r>
        <w:rPr>
          <w:color w:val="auto"/>
          <w:highlight w:val="none"/>
        </w:rPr>
        <w:instrText xml:space="preserve">,2,</w:instrText>
      </w:r>
      <w:r>
        <w:rPr>
          <w:rFonts w:hint="eastAsia"/>
          <w:color w:val="auto"/>
          <w:highlight w:val="none"/>
        </w:rPr>
        <w:instrText xml:space="preserve">附录图</w:instrText>
      </w:r>
      <w:r>
        <w:rPr>
          <w:color w:val="auto"/>
          <w:highlight w:val="none"/>
        </w:rPr>
        <w:instrText xml:space="preserve">,2,</w:instrText>
      </w:r>
      <w:r>
        <w:rPr>
          <w:rFonts w:hint="eastAsia"/>
          <w:color w:val="auto"/>
          <w:highlight w:val="none"/>
        </w:rPr>
        <w:instrText xml:space="preserve">附录一级无标题条</w:instrText>
      </w:r>
      <w:r>
        <w:rPr>
          <w:color w:val="auto"/>
          <w:highlight w:val="none"/>
        </w:rPr>
        <w:instrText xml:space="preserve">,3,</w:instrText>
      </w:r>
      <w:r>
        <w:rPr>
          <w:rFonts w:hint="eastAsia"/>
          <w:color w:val="auto"/>
          <w:highlight w:val="none"/>
        </w:rPr>
        <w:instrText xml:space="preserve">章标题</w:instrText>
      </w:r>
      <w:r>
        <w:rPr>
          <w:color w:val="auto"/>
          <w:highlight w:val="none"/>
        </w:rPr>
        <w:instrText xml:space="preserve">,1,</w:instrText>
      </w:r>
      <w:r>
        <w:rPr>
          <w:rFonts w:hint="eastAsia"/>
          <w:color w:val="auto"/>
          <w:highlight w:val="none"/>
        </w:rPr>
        <w:instrText xml:space="preserve">一级条标题</w:instrText>
      </w:r>
      <w:r>
        <w:rPr>
          <w:color w:val="auto"/>
          <w:highlight w:val="none"/>
        </w:rPr>
        <w:instrText xml:space="preserve">,3,</w:instrText>
      </w:r>
      <w:r>
        <w:rPr>
          <w:rFonts w:hint="eastAsia"/>
          <w:color w:val="auto"/>
          <w:highlight w:val="none"/>
        </w:rPr>
        <w:instrText xml:space="preserve">附录章标题</w:instrText>
      </w:r>
      <w:r>
        <w:rPr>
          <w:color w:val="auto"/>
          <w:highlight w:val="none"/>
        </w:rPr>
        <w:instrText xml:space="preserve">,2,</w:instrText>
      </w:r>
      <w:r>
        <w:rPr>
          <w:rFonts w:hint="eastAsia"/>
          <w:color w:val="auto"/>
          <w:highlight w:val="none"/>
        </w:rPr>
        <w:instrText xml:space="preserve">附录一级条标题</w:instrText>
      </w:r>
      <w:r>
        <w:rPr>
          <w:color w:val="auto"/>
          <w:highlight w:val="none"/>
        </w:rPr>
        <w:instrText xml:space="preserve">,3" </w:instrText>
      </w:r>
      <w:r>
        <w:rPr>
          <w:color w:val="auto"/>
          <w:highlight w:val="none"/>
        </w:rPr>
        <w:fldChar w:fldCharType="separate"/>
      </w:r>
      <w:r>
        <w:rPr>
          <w:color w:val="auto"/>
          <w:highlight w:val="none"/>
        </w:rPr>
        <w:fldChar w:fldCharType="begin"/>
      </w:r>
      <w:r>
        <w:rPr>
          <w:color w:val="auto"/>
          <w:highlight w:val="none"/>
        </w:rPr>
        <w:instrText xml:space="preserve"> HYPERLINK \l _Toc11202 </w:instrText>
      </w:r>
      <w:r>
        <w:rPr>
          <w:color w:val="auto"/>
          <w:highlight w:val="none"/>
        </w:rPr>
        <w:fldChar w:fldCharType="separate"/>
      </w:r>
      <w:r>
        <w:rPr>
          <w:rFonts w:hint="eastAsia" w:ascii="黑体" w:hAnsi="Times New Roman" w:eastAsia="黑体" w:cs="Times New Roman"/>
          <w:i w:val="0"/>
          <w:color w:val="auto"/>
          <w:szCs w:val="21"/>
          <w:highlight w:val="none"/>
        </w:rPr>
        <w:t xml:space="preserve">1 </w:t>
      </w:r>
      <w:r>
        <w:rPr>
          <w:rFonts w:hint="eastAsia"/>
          <w:color w:val="auto"/>
          <w:highlight w:val="none"/>
        </w:rPr>
        <w:t>范围</w:t>
      </w:r>
      <w:r>
        <w:rPr>
          <w:color w:val="auto"/>
          <w:highlight w:val="none"/>
        </w:rPr>
        <w:tab/>
      </w:r>
      <w:r>
        <w:rPr>
          <w:color w:val="auto"/>
          <w:highlight w:val="none"/>
        </w:rPr>
        <w:fldChar w:fldCharType="begin"/>
      </w:r>
      <w:r>
        <w:rPr>
          <w:color w:val="auto"/>
          <w:highlight w:val="none"/>
        </w:rPr>
        <w:instrText xml:space="preserve"> PAGEREF _Toc11202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_Toc3070 </w:instrText>
      </w:r>
      <w:r>
        <w:rPr>
          <w:color w:val="auto"/>
          <w:highlight w:val="none"/>
        </w:rPr>
        <w:fldChar w:fldCharType="separate"/>
      </w:r>
      <w:r>
        <w:rPr>
          <w:rFonts w:hint="eastAsia" w:ascii="黑体" w:hAnsi="Times New Roman" w:eastAsia="黑体" w:cs="Times New Roman"/>
          <w:i w:val="0"/>
          <w:color w:val="auto"/>
          <w:szCs w:val="21"/>
          <w:highlight w:val="none"/>
        </w:rPr>
        <w:t xml:space="preserve">2 </w:t>
      </w:r>
      <w:r>
        <w:rPr>
          <w:rFonts w:hint="eastAsia"/>
          <w:color w:val="auto"/>
          <w:highlight w:val="none"/>
        </w:rPr>
        <w:t>规范性引用文件</w:t>
      </w:r>
      <w:r>
        <w:rPr>
          <w:color w:val="auto"/>
          <w:highlight w:val="none"/>
        </w:rPr>
        <w:tab/>
      </w:r>
      <w:r>
        <w:rPr>
          <w:color w:val="auto"/>
          <w:highlight w:val="none"/>
        </w:rPr>
        <w:fldChar w:fldCharType="begin"/>
      </w:r>
      <w:r>
        <w:rPr>
          <w:color w:val="auto"/>
          <w:highlight w:val="none"/>
        </w:rPr>
        <w:instrText xml:space="preserve"> PAGEREF _Toc3070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_Toc7057 </w:instrText>
      </w:r>
      <w:r>
        <w:rPr>
          <w:color w:val="auto"/>
          <w:highlight w:val="none"/>
        </w:rPr>
        <w:fldChar w:fldCharType="separate"/>
      </w:r>
      <w:r>
        <w:rPr>
          <w:rFonts w:hint="eastAsia" w:ascii="黑体" w:hAnsi="Times New Roman" w:eastAsia="黑体" w:cs="Times New Roman"/>
          <w:i w:val="0"/>
          <w:color w:val="auto"/>
          <w:szCs w:val="21"/>
          <w:highlight w:val="none"/>
        </w:rPr>
        <w:t xml:space="preserve">3 </w:t>
      </w:r>
      <w:r>
        <w:rPr>
          <w:rFonts w:hint="eastAsia"/>
          <w:color w:val="auto"/>
          <w:highlight w:val="none"/>
        </w:rPr>
        <w:t>术语和定义</w:t>
      </w:r>
      <w:r>
        <w:rPr>
          <w:color w:val="auto"/>
          <w:highlight w:val="none"/>
        </w:rPr>
        <w:tab/>
      </w:r>
      <w:r>
        <w:rPr>
          <w:color w:val="auto"/>
          <w:highlight w:val="none"/>
        </w:rPr>
        <w:fldChar w:fldCharType="begin"/>
      </w:r>
      <w:r>
        <w:rPr>
          <w:color w:val="auto"/>
          <w:highlight w:val="none"/>
        </w:rPr>
        <w:instrText xml:space="preserve"> PAGEREF _Toc7057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_Toc27951 </w:instrText>
      </w:r>
      <w:r>
        <w:rPr>
          <w:color w:val="auto"/>
          <w:highlight w:val="none"/>
        </w:rPr>
        <w:fldChar w:fldCharType="separate"/>
      </w:r>
      <w:r>
        <w:rPr>
          <w:rFonts w:hint="eastAsia" w:ascii="黑体" w:hAnsi="Times New Roman" w:eastAsia="黑体" w:cs="Times New Roman"/>
          <w:i w:val="0"/>
          <w:color w:val="auto"/>
          <w:szCs w:val="21"/>
          <w:highlight w:val="none"/>
        </w:rPr>
        <w:t xml:space="preserve">4 </w:t>
      </w:r>
      <w:r>
        <w:rPr>
          <w:rFonts w:hint="eastAsia"/>
          <w:color w:val="auto"/>
          <w:highlight w:val="none"/>
          <w:lang w:val="en-US" w:eastAsia="zh-CN"/>
        </w:rPr>
        <w:t>园地选择与规划</w:t>
      </w:r>
      <w:r>
        <w:rPr>
          <w:color w:val="auto"/>
          <w:highlight w:val="none"/>
        </w:rPr>
        <w:tab/>
      </w:r>
      <w:r>
        <w:rPr>
          <w:color w:val="auto"/>
          <w:highlight w:val="none"/>
        </w:rPr>
        <w:fldChar w:fldCharType="begin"/>
      </w:r>
      <w:r>
        <w:rPr>
          <w:color w:val="auto"/>
          <w:highlight w:val="none"/>
        </w:rPr>
        <w:instrText xml:space="preserve"> PAGEREF _Toc27951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_Toc11976 </w:instrText>
      </w:r>
      <w:r>
        <w:rPr>
          <w:color w:val="auto"/>
          <w:highlight w:val="none"/>
        </w:rPr>
        <w:fldChar w:fldCharType="separate"/>
      </w:r>
      <w:r>
        <w:rPr>
          <w:rFonts w:hint="eastAsia" w:ascii="黑体" w:hAnsi="Times New Roman" w:eastAsia="黑体" w:cs="Times New Roman"/>
          <w:i w:val="0"/>
          <w:color w:val="auto"/>
          <w:szCs w:val="21"/>
          <w:highlight w:val="none"/>
          <w:lang w:val="en-US" w:eastAsia="zh-CN"/>
        </w:rPr>
        <w:t xml:space="preserve">5 </w:t>
      </w:r>
      <w:r>
        <w:rPr>
          <w:rFonts w:hint="eastAsia"/>
          <w:color w:val="auto"/>
          <w:highlight w:val="none"/>
          <w:lang w:val="en-US" w:eastAsia="zh-CN"/>
        </w:rPr>
        <w:t>避雨棚类型与参数</w:t>
      </w:r>
      <w:r>
        <w:rPr>
          <w:color w:val="auto"/>
          <w:highlight w:val="none"/>
        </w:rPr>
        <w:tab/>
      </w:r>
      <w:r>
        <w:rPr>
          <w:color w:val="auto"/>
          <w:highlight w:val="none"/>
        </w:rPr>
        <w:fldChar w:fldCharType="begin"/>
      </w:r>
      <w:r>
        <w:rPr>
          <w:color w:val="auto"/>
          <w:highlight w:val="none"/>
        </w:rPr>
        <w:instrText xml:space="preserve"> PAGEREF _Toc11976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_Toc18306 </w:instrText>
      </w:r>
      <w:r>
        <w:rPr>
          <w:color w:val="auto"/>
          <w:highlight w:val="none"/>
        </w:rPr>
        <w:fldChar w:fldCharType="separate"/>
      </w:r>
      <w:r>
        <w:rPr>
          <w:rFonts w:hint="eastAsia" w:ascii="黑体" w:hAnsi="Times New Roman" w:eastAsia="黑体" w:cs="Times New Roman"/>
          <w:i w:val="0"/>
          <w:color w:val="auto"/>
          <w:szCs w:val="21"/>
          <w:highlight w:val="none"/>
          <w:lang w:val="en-US" w:eastAsia="zh-CN"/>
        </w:rPr>
        <w:t xml:space="preserve">6 </w:t>
      </w:r>
      <w:r>
        <w:rPr>
          <w:rFonts w:hint="eastAsia"/>
          <w:color w:val="auto"/>
          <w:highlight w:val="none"/>
          <w:lang w:val="en-US" w:eastAsia="zh-CN"/>
        </w:rPr>
        <w:t>周年配套管理</w:t>
      </w:r>
      <w:r>
        <w:rPr>
          <w:color w:val="auto"/>
          <w:highlight w:val="none"/>
        </w:rPr>
        <w:tab/>
      </w:r>
      <w:r>
        <w:rPr>
          <w:color w:val="auto"/>
          <w:highlight w:val="none"/>
        </w:rPr>
        <w:fldChar w:fldCharType="begin"/>
      </w:r>
      <w:r>
        <w:rPr>
          <w:color w:val="auto"/>
          <w:highlight w:val="none"/>
        </w:rPr>
        <w:instrText xml:space="preserve"> PAGEREF _Toc18306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19"/>
        <w:tabs>
          <w:tab w:val="right" w:leader="dot" w:pos="9354"/>
        </w:tabs>
        <w:rPr>
          <w:color w:val="auto"/>
          <w:highlight w:val="none"/>
        </w:rPr>
      </w:pPr>
      <w:r>
        <w:rPr>
          <w:color w:val="auto"/>
          <w:highlight w:val="none"/>
        </w:rPr>
        <w:fldChar w:fldCharType="begin"/>
      </w:r>
      <w:r>
        <w:rPr>
          <w:color w:val="auto"/>
          <w:highlight w:val="none"/>
        </w:rPr>
        <w:instrText xml:space="preserve"> HYPERLINK \l _Toc31483 </w:instrText>
      </w:r>
      <w:r>
        <w:rPr>
          <w:color w:val="auto"/>
          <w:highlight w:val="none"/>
        </w:rPr>
        <w:fldChar w:fldCharType="separate"/>
      </w:r>
      <w:r>
        <w:rPr>
          <w:rFonts w:hint="eastAsia"/>
          <w:color w:val="auto"/>
          <w:highlight w:val="none"/>
          <w:lang w:val="en-US" w:eastAsia="zh-CN"/>
        </w:rPr>
        <w:t>附录 A</w:t>
      </w:r>
      <w:r>
        <w:rPr>
          <w:color w:val="auto"/>
          <w:highlight w:val="none"/>
        </w:rPr>
        <w:fldChar w:fldCharType="end"/>
      </w:r>
      <w:r>
        <w:rPr>
          <w:color w:val="auto"/>
          <w:highlight w:val="none"/>
        </w:rPr>
        <w:fldChar w:fldCharType="begin"/>
      </w:r>
      <w:r>
        <w:rPr>
          <w:color w:val="auto"/>
          <w:highlight w:val="none"/>
        </w:rPr>
        <w:instrText xml:space="preserve"> HYPERLINK \l _Toc25393 </w:instrText>
      </w:r>
      <w:r>
        <w:rPr>
          <w:color w:val="auto"/>
          <w:highlight w:val="none"/>
        </w:rPr>
        <w:fldChar w:fldCharType="separate"/>
      </w:r>
      <w:r>
        <w:rPr>
          <w:rFonts w:hint="eastAsia"/>
          <w:color w:val="auto"/>
          <w:highlight w:val="none"/>
          <w:lang w:val="en-US" w:eastAsia="zh-CN"/>
        </w:rPr>
        <w:t>（资料性）</w:t>
      </w:r>
      <w:r>
        <w:rPr>
          <w:color w:val="auto"/>
          <w:highlight w:val="none"/>
        </w:rPr>
        <w:fldChar w:fldCharType="end"/>
      </w:r>
      <w:r>
        <w:rPr>
          <w:color w:val="auto"/>
          <w:highlight w:val="none"/>
        </w:rPr>
        <w:fldChar w:fldCharType="begin"/>
      </w:r>
      <w:r>
        <w:rPr>
          <w:color w:val="auto"/>
          <w:highlight w:val="none"/>
        </w:rPr>
        <w:instrText xml:space="preserve"> HYPERLINK \l _Toc22923 </w:instrText>
      </w:r>
      <w:r>
        <w:rPr>
          <w:color w:val="auto"/>
          <w:highlight w:val="none"/>
        </w:rPr>
        <w:fldChar w:fldCharType="separate"/>
      </w:r>
      <w:r>
        <w:rPr>
          <w:rFonts w:hint="eastAsia"/>
          <w:color w:val="auto"/>
          <w:highlight w:val="none"/>
          <w:lang w:val="en-US" w:eastAsia="zh-CN"/>
        </w:rPr>
        <w:t>猕猴桃避雨设施大棚主要类型设计图</w:t>
      </w:r>
      <w:r>
        <w:rPr>
          <w:color w:val="auto"/>
          <w:highlight w:val="none"/>
        </w:rPr>
        <w:tab/>
      </w:r>
      <w:r>
        <w:rPr>
          <w:color w:val="auto"/>
          <w:highlight w:val="none"/>
        </w:rPr>
        <w:fldChar w:fldCharType="begin"/>
      </w:r>
      <w:r>
        <w:rPr>
          <w:color w:val="auto"/>
          <w:highlight w:val="none"/>
        </w:rPr>
        <w:instrText xml:space="preserve"> PAGEREF _Toc22923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102"/>
        <w:spacing w:after="468"/>
        <w:rPr>
          <w:color w:val="auto"/>
          <w:highlight w:val="none"/>
        </w:rPr>
        <w:sectPr>
          <w:headerReference r:id="rId9" w:type="default"/>
          <w:footerReference r:id="rId11" w:type="default"/>
          <w:headerReference r:id="rId10" w:type="even"/>
          <w:pgSz w:w="11906" w:h="16838"/>
          <w:pgMar w:top="1871" w:right="1134" w:bottom="1134" w:left="1134" w:header="1418" w:footer="1134" w:gutter="284"/>
          <w:pgNumType w:fmt="upperRoman" w:start="1"/>
          <w:cols w:space="425" w:num="1"/>
          <w:formProt w:val="0"/>
          <w:docGrid w:type="lines" w:linePitch="312" w:charSpace="0"/>
        </w:sectPr>
      </w:pPr>
      <w:r>
        <w:rPr>
          <w:color w:val="auto"/>
          <w:highlight w:val="none"/>
        </w:rPr>
        <w:fldChar w:fldCharType="end"/>
      </w:r>
    </w:p>
    <w:bookmarkEnd w:id="7"/>
    <w:p>
      <w:pPr>
        <w:pStyle w:val="100"/>
        <w:spacing w:after="468"/>
        <w:rPr>
          <w:color w:val="auto"/>
          <w:highlight w:val="none"/>
        </w:rPr>
      </w:pPr>
      <w:bookmarkStart w:id="8" w:name="_Toc32174"/>
      <w:bookmarkStart w:id="9" w:name="_Toc8410"/>
      <w:bookmarkStart w:id="10" w:name="_Toc28995"/>
      <w:bookmarkStart w:id="11" w:name="_Toc74747613"/>
      <w:bookmarkStart w:id="12" w:name="BookMark2"/>
      <w:r>
        <w:rPr>
          <w:rFonts w:hint="eastAsia"/>
          <w:color w:val="auto"/>
          <w:spacing w:val="320"/>
          <w:highlight w:val="none"/>
        </w:rPr>
        <w:t>前</w:t>
      </w:r>
      <w:r>
        <w:rPr>
          <w:rFonts w:hint="eastAsia"/>
          <w:color w:val="auto"/>
          <w:highlight w:val="none"/>
        </w:rPr>
        <w:t>言</w:t>
      </w:r>
      <w:bookmarkEnd w:id="8"/>
      <w:bookmarkEnd w:id="9"/>
      <w:bookmarkEnd w:id="10"/>
      <w:bookmarkEnd w:id="11"/>
    </w:p>
    <w:p>
      <w:pPr>
        <w:pStyle w:val="68"/>
        <w:ind w:firstLine="420"/>
        <w:rPr>
          <w:color w:val="auto"/>
          <w:highlight w:val="none"/>
        </w:rPr>
      </w:pPr>
      <w:r>
        <w:rPr>
          <w:rFonts w:hint="eastAsia"/>
          <w:color w:val="auto"/>
          <w:highlight w:val="none"/>
        </w:rPr>
        <w:t>本文件按照</w:t>
      </w:r>
      <w:r>
        <w:rPr>
          <w:color w:val="auto"/>
          <w:highlight w:val="none"/>
        </w:rPr>
        <w:t>GB/T 1.1-2020</w:t>
      </w:r>
      <w:r>
        <w:rPr>
          <w:rFonts w:hint="eastAsia"/>
          <w:color w:val="auto"/>
          <w:highlight w:val="none"/>
        </w:rPr>
        <w:t>《标准化工作导则</w:t>
      </w:r>
      <w:r>
        <w:rPr>
          <w:color w:val="auto"/>
          <w:highlight w:val="none"/>
        </w:rPr>
        <w:t xml:space="preserve"> </w:t>
      </w:r>
      <w:r>
        <w:rPr>
          <w:rFonts w:hint="eastAsia"/>
          <w:color w:val="auto"/>
          <w:highlight w:val="none"/>
        </w:rPr>
        <w:t>第</w:t>
      </w:r>
      <w:r>
        <w:rPr>
          <w:color w:val="auto"/>
          <w:highlight w:val="none"/>
        </w:rPr>
        <w:t>1</w:t>
      </w:r>
      <w:r>
        <w:rPr>
          <w:rFonts w:hint="eastAsia"/>
          <w:color w:val="auto"/>
          <w:highlight w:val="none"/>
        </w:rPr>
        <w:t>部分：标准化文件的结构和起草规则》规定起草。</w:t>
      </w:r>
    </w:p>
    <w:p>
      <w:pPr>
        <w:pStyle w:val="68"/>
        <w:ind w:firstLine="420"/>
        <w:rPr>
          <w:color w:val="auto"/>
          <w:highlight w:val="none"/>
        </w:rPr>
      </w:pPr>
      <w:r>
        <w:rPr>
          <w:rFonts w:hint="eastAsia"/>
          <w:color w:val="auto"/>
          <w:highlight w:val="none"/>
        </w:rPr>
        <w:t>本文件由</w:t>
      </w:r>
      <w:r>
        <w:rPr>
          <w:rFonts w:hint="eastAsia"/>
          <w:color w:val="auto"/>
          <w:highlight w:val="none"/>
          <w:lang w:val="en-US" w:eastAsia="zh-CN"/>
        </w:rPr>
        <w:t>广元市</w:t>
      </w:r>
      <w:r>
        <w:rPr>
          <w:rFonts w:hint="eastAsia"/>
          <w:color w:val="auto"/>
          <w:highlight w:val="none"/>
        </w:rPr>
        <w:t>农业农村</w:t>
      </w:r>
      <w:r>
        <w:rPr>
          <w:rFonts w:hint="eastAsia"/>
          <w:color w:val="auto"/>
          <w:highlight w:val="none"/>
          <w:lang w:val="en-US" w:eastAsia="zh-CN"/>
        </w:rPr>
        <w:t>局</w:t>
      </w:r>
      <w:r>
        <w:rPr>
          <w:rFonts w:hint="eastAsia"/>
          <w:color w:val="auto"/>
          <w:highlight w:val="none"/>
        </w:rPr>
        <w:t>提出并归口。</w:t>
      </w:r>
    </w:p>
    <w:p>
      <w:pPr>
        <w:pStyle w:val="68"/>
        <w:ind w:firstLine="420"/>
        <w:rPr>
          <w:color w:val="auto"/>
          <w:highlight w:val="none"/>
        </w:rPr>
      </w:pPr>
      <w:r>
        <w:rPr>
          <w:rFonts w:hint="eastAsia"/>
          <w:color w:val="auto"/>
          <w:highlight w:val="none"/>
        </w:rPr>
        <w:t>本文件由</w:t>
      </w:r>
      <w:r>
        <w:rPr>
          <w:rFonts w:hint="eastAsia"/>
          <w:color w:val="auto"/>
          <w:highlight w:val="none"/>
          <w:lang w:val="en-US" w:eastAsia="zh-CN"/>
        </w:rPr>
        <w:t>广元市</w:t>
      </w:r>
      <w:r>
        <w:rPr>
          <w:rFonts w:hint="eastAsia"/>
          <w:color w:val="auto"/>
          <w:highlight w:val="none"/>
        </w:rPr>
        <w:t>市场监督管理局发布。</w:t>
      </w:r>
    </w:p>
    <w:p>
      <w:pPr>
        <w:pStyle w:val="68"/>
        <w:ind w:firstLine="420"/>
        <w:rPr>
          <w:color w:val="auto"/>
          <w:highlight w:val="none"/>
        </w:rPr>
      </w:pPr>
      <w:r>
        <w:rPr>
          <w:rFonts w:hint="eastAsia"/>
          <w:color w:val="auto"/>
          <w:highlight w:val="none"/>
        </w:rPr>
        <w:t>本文件起草单位：四川省农业科学院园艺研究所、</w:t>
      </w:r>
      <w:r>
        <w:rPr>
          <w:rFonts w:hint="eastAsia"/>
          <w:color w:val="auto"/>
          <w:highlight w:val="none"/>
          <w:lang w:val="en-US" w:eastAsia="zh-CN"/>
        </w:rPr>
        <w:t>广元市经济作物管理站</w:t>
      </w:r>
      <w:bookmarkStart w:id="108" w:name="_GoBack"/>
      <w:bookmarkEnd w:id="108"/>
      <w:r>
        <w:rPr>
          <w:rFonts w:hint="eastAsia"/>
          <w:color w:val="auto"/>
          <w:highlight w:val="none"/>
          <w:lang w:val="en-US" w:eastAsia="zh-CN"/>
        </w:rPr>
        <w:t>、苍溪县猕猴桃产业发展中心、</w:t>
      </w:r>
      <w:r>
        <w:rPr>
          <w:rFonts w:hint="eastAsia"/>
          <w:color w:val="auto"/>
          <w:highlight w:val="none"/>
        </w:rPr>
        <w:t>昭化区农业农村局</w:t>
      </w:r>
      <w:r>
        <w:rPr>
          <w:rFonts w:hint="eastAsia"/>
          <w:color w:val="auto"/>
          <w:highlight w:val="none"/>
          <w:lang w:eastAsia="zh-CN"/>
        </w:rPr>
        <w:t>、成都佳佩科技发展有限公司</w:t>
      </w:r>
      <w:r>
        <w:rPr>
          <w:rFonts w:hint="eastAsia"/>
          <w:color w:val="auto"/>
          <w:highlight w:val="none"/>
        </w:rPr>
        <w:t>。</w:t>
      </w:r>
    </w:p>
    <w:p>
      <w:pPr>
        <w:pStyle w:val="68"/>
        <w:ind w:firstLine="420"/>
        <w:rPr>
          <w:rFonts w:hint="default" w:eastAsia="宋体"/>
          <w:color w:val="auto"/>
          <w:highlight w:val="none"/>
          <w:lang w:val="en-US" w:eastAsia="zh-CN"/>
        </w:rPr>
      </w:pPr>
      <w:r>
        <w:rPr>
          <w:rFonts w:hint="eastAsia"/>
          <w:color w:val="auto"/>
          <w:highlight w:val="none"/>
        </w:rPr>
        <w:t>本文件主要起草人：</w:t>
      </w:r>
      <w:r>
        <w:rPr>
          <w:rFonts w:hint="eastAsia"/>
          <w:color w:val="auto"/>
          <w:highlight w:val="none"/>
          <w:lang w:val="en-US" w:eastAsia="zh-CN"/>
        </w:rPr>
        <w:t>涂美艳、侯春霞、何仕松、李久桥、王玲利、何成勇、徐子鸿、李靖、宋海岩、王潇、陈栋、江国良、熊希瑞、谢俊、钟义程、姚海能、黄文军。</w:t>
      </w:r>
    </w:p>
    <w:p>
      <w:pPr>
        <w:pStyle w:val="68"/>
        <w:ind w:firstLine="420"/>
        <w:rPr>
          <w:color w:val="auto"/>
          <w:highlight w:val="none"/>
        </w:rPr>
      </w:pPr>
      <w:r>
        <w:rPr>
          <w:rFonts w:hint="eastAsia"/>
          <w:color w:val="auto"/>
          <w:highlight w:val="none"/>
        </w:rPr>
        <w:t>本文件及其所代替文件的历次版本发布情况为：</w:t>
      </w:r>
    </w:p>
    <w:p>
      <w:pPr>
        <w:pStyle w:val="142"/>
        <w:rPr>
          <w:color w:val="auto"/>
          <w:highlight w:val="none"/>
        </w:rPr>
      </w:pPr>
      <w:r>
        <w:rPr>
          <w:rFonts w:hint="eastAsia"/>
          <w:color w:val="auto"/>
          <w:highlight w:val="none"/>
        </w:rPr>
        <w:t>本次为首次发布。</w:t>
      </w:r>
    </w:p>
    <w:p>
      <w:pPr>
        <w:pStyle w:val="68"/>
        <w:ind w:firstLine="420"/>
        <w:rPr>
          <w:color w:val="auto"/>
          <w:highlight w:val="none"/>
        </w:rPr>
        <w:sectPr>
          <w:pgSz w:w="11906" w:h="16838"/>
          <w:pgMar w:top="1871" w:right="1134" w:bottom="1134" w:left="1134" w:header="1418" w:footer="1134" w:gutter="284"/>
          <w:pgNumType w:fmt="upperRoman"/>
          <w:cols w:space="425" w:num="1"/>
          <w:formProt w:val="0"/>
          <w:docGrid w:type="lines" w:linePitch="312" w:charSpace="0"/>
        </w:sectPr>
      </w:pPr>
    </w:p>
    <w:bookmarkEnd w:id="12"/>
    <w:p>
      <w:pPr>
        <w:spacing w:line="20" w:lineRule="exact"/>
        <w:jc w:val="center"/>
        <w:rPr>
          <w:rFonts w:ascii="黑体" w:hAnsi="黑体" w:eastAsia="黑体"/>
          <w:color w:val="auto"/>
          <w:sz w:val="32"/>
          <w:szCs w:val="32"/>
          <w:highlight w:val="none"/>
        </w:rPr>
      </w:pPr>
      <w:bookmarkStart w:id="13" w:name="BookMark4"/>
    </w:p>
    <w:p>
      <w:pPr>
        <w:spacing w:line="20" w:lineRule="exact"/>
        <w:jc w:val="center"/>
        <w:rPr>
          <w:rFonts w:ascii="黑体" w:hAnsi="黑体" w:eastAsia="黑体"/>
          <w:color w:val="auto"/>
          <w:sz w:val="32"/>
          <w:szCs w:val="32"/>
          <w:highlight w:val="none"/>
        </w:rPr>
      </w:pPr>
    </w:p>
    <w:p>
      <w:pPr>
        <w:pStyle w:val="187"/>
        <w:spacing w:before="312" w:beforeLines="100" w:after="686" w:afterLines="220"/>
        <w:outlineLvl w:val="0"/>
        <w:rPr>
          <w:color w:val="auto"/>
          <w:highlight w:val="none"/>
        </w:rPr>
      </w:pPr>
      <w:bookmarkStart w:id="14" w:name="_Toc16260"/>
      <w:bookmarkStart w:id="15" w:name="NEW_STAND_NAME"/>
      <w:r>
        <w:rPr>
          <w:rFonts w:hint="eastAsia"/>
          <w:color w:val="auto"/>
          <w:highlight w:val="none"/>
        </w:rPr>
        <w:t>广元</w:t>
      </w:r>
      <w:bookmarkStart w:id="16" w:name="OLE_LINK1"/>
      <w:r>
        <w:rPr>
          <w:rFonts w:hint="eastAsia"/>
          <w:color w:val="auto"/>
          <w:highlight w:val="none"/>
        </w:rPr>
        <w:t>红心猕猴桃避雨设施栽培</w:t>
      </w:r>
      <w:bookmarkEnd w:id="16"/>
      <w:r>
        <w:rPr>
          <w:rFonts w:hint="eastAsia"/>
          <w:color w:val="auto"/>
          <w:highlight w:val="none"/>
        </w:rPr>
        <w:t>技术规程</w:t>
      </w:r>
    </w:p>
    <w:bookmarkEnd w:id="14"/>
    <w:bookmarkEnd w:id="15"/>
    <w:p>
      <w:pPr>
        <w:pStyle w:val="241"/>
        <w:spacing w:before="312" w:after="312"/>
        <w:outlineLvl w:val="0"/>
        <w:rPr>
          <w:color w:val="auto"/>
          <w:highlight w:val="none"/>
        </w:rPr>
      </w:pPr>
      <w:bookmarkStart w:id="17" w:name="_Toc25247"/>
      <w:bookmarkStart w:id="18" w:name="_Toc74747614"/>
      <w:bookmarkStart w:id="19" w:name="_Toc7259"/>
      <w:bookmarkStart w:id="20" w:name="_Toc16262"/>
      <w:bookmarkStart w:id="21" w:name="_Toc23892"/>
      <w:bookmarkStart w:id="22" w:name="_Toc11202"/>
      <w:bookmarkStart w:id="23" w:name="_Toc26290324"/>
      <w:bookmarkStart w:id="24" w:name="_Toc24373859"/>
      <w:bookmarkStart w:id="25" w:name="_Toc23759586"/>
      <w:bookmarkStart w:id="26" w:name="_Toc23759558"/>
      <w:r>
        <w:rPr>
          <w:rFonts w:hint="eastAsia"/>
          <w:color w:val="auto"/>
          <w:highlight w:val="none"/>
        </w:rPr>
        <w:t>范围</w:t>
      </w:r>
      <w:bookmarkEnd w:id="17"/>
      <w:bookmarkEnd w:id="18"/>
      <w:bookmarkEnd w:id="19"/>
      <w:bookmarkEnd w:id="20"/>
      <w:bookmarkEnd w:id="21"/>
      <w:bookmarkEnd w:id="22"/>
    </w:p>
    <w:p>
      <w:pPr>
        <w:pStyle w:val="240"/>
        <w:rPr>
          <w:rFonts w:hint="eastAsia" w:eastAsia="宋体"/>
          <w:color w:val="auto"/>
          <w:highlight w:val="none"/>
          <w:lang w:eastAsia="zh-CN"/>
        </w:rPr>
      </w:pPr>
      <w:r>
        <w:rPr>
          <w:rFonts w:hint="eastAsia"/>
          <w:color w:val="auto"/>
          <w:highlight w:val="none"/>
        </w:rPr>
        <w:t>本文件规定了红心猕猴桃避雨设施栽培园地选择与规划、</w:t>
      </w:r>
      <w:r>
        <w:rPr>
          <w:rFonts w:hint="eastAsia"/>
          <w:color w:val="auto"/>
          <w:highlight w:val="none"/>
          <w:lang w:val="en-US" w:eastAsia="zh-CN"/>
        </w:rPr>
        <w:t>避雨棚</w:t>
      </w:r>
      <w:r>
        <w:rPr>
          <w:rFonts w:hint="eastAsia"/>
          <w:color w:val="auto"/>
          <w:highlight w:val="none"/>
        </w:rPr>
        <w:t>类型</w:t>
      </w:r>
      <w:r>
        <w:rPr>
          <w:rFonts w:hint="eastAsia"/>
          <w:color w:val="auto"/>
          <w:highlight w:val="none"/>
          <w:lang w:val="en-US" w:eastAsia="zh-CN"/>
        </w:rPr>
        <w:t>与参数</w:t>
      </w:r>
      <w:r>
        <w:rPr>
          <w:rFonts w:hint="eastAsia"/>
          <w:color w:val="auto"/>
          <w:highlight w:val="none"/>
        </w:rPr>
        <w:t>、周年配套管理等内容</w:t>
      </w:r>
      <w:r>
        <w:rPr>
          <w:rFonts w:hint="eastAsia"/>
          <w:color w:val="auto"/>
          <w:highlight w:val="none"/>
          <w:lang w:eastAsia="zh-CN"/>
        </w:rPr>
        <w:t>。</w:t>
      </w:r>
    </w:p>
    <w:p>
      <w:pPr>
        <w:pStyle w:val="240"/>
        <w:rPr>
          <w:color w:val="auto"/>
          <w:highlight w:val="none"/>
        </w:rPr>
      </w:pPr>
      <w:r>
        <w:rPr>
          <w:rFonts w:hint="eastAsia"/>
          <w:color w:val="auto"/>
          <w:highlight w:val="none"/>
        </w:rPr>
        <w:t>本文件适用于</w:t>
      </w:r>
      <w:r>
        <w:rPr>
          <w:rFonts w:hint="eastAsia"/>
          <w:color w:val="auto"/>
          <w:highlight w:val="none"/>
          <w:lang w:val="en-US" w:eastAsia="zh-CN"/>
        </w:rPr>
        <w:t>广元市红心猕猴</w:t>
      </w:r>
      <w:r>
        <w:rPr>
          <w:rFonts w:hint="eastAsia"/>
          <w:color w:val="auto"/>
          <w:highlight w:val="none"/>
        </w:rPr>
        <w:t>避雨设施栽培。</w:t>
      </w:r>
    </w:p>
    <w:p>
      <w:pPr>
        <w:pStyle w:val="241"/>
        <w:spacing w:before="312" w:after="312"/>
        <w:outlineLvl w:val="0"/>
        <w:rPr>
          <w:color w:val="auto"/>
          <w:highlight w:val="none"/>
        </w:rPr>
      </w:pPr>
      <w:bookmarkStart w:id="27" w:name="_Toc29368"/>
      <w:bookmarkStart w:id="28" w:name="_Toc74747615"/>
      <w:bookmarkStart w:id="29" w:name="_Toc11777"/>
      <w:bookmarkStart w:id="30" w:name="_Toc14896"/>
      <w:bookmarkStart w:id="31" w:name="_Toc3070"/>
      <w:bookmarkStart w:id="32" w:name="_Toc10587"/>
      <w:r>
        <w:rPr>
          <w:rFonts w:hint="eastAsia"/>
          <w:color w:val="auto"/>
          <w:highlight w:val="none"/>
        </w:rPr>
        <w:t>规范性引用文件</w:t>
      </w:r>
      <w:bookmarkEnd w:id="27"/>
      <w:bookmarkEnd w:id="28"/>
      <w:bookmarkEnd w:id="29"/>
      <w:bookmarkEnd w:id="30"/>
      <w:bookmarkEnd w:id="31"/>
      <w:bookmarkEnd w:id="32"/>
    </w:p>
    <w:p>
      <w:pPr>
        <w:pStyle w:val="240"/>
        <w:rPr>
          <w:color w:val="auto"/>
          <w:highlight w:val="none"/>
        </w:rPr>
      </w:pPr>
      <w:r>
        <w:rPr>
          <w:rFonts w:hint="eastAsia"/>
          <w:color w:val="auto"/>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0"/>
        <w:rPr>
          <w:color w:val="auto"/>
          <w:highlight w:val="none"/>
        </w:rPr>
      </w:pPr>
      <w:r>
        <w:rPr>
          <w:rFonts w:hint="eastAsia"/>
          <w:color w:val="auto"/>
          <w:highlight w:val="none"/>
        </w:rPr>
        <w:t xml:space="preserve">GB 4285    </w:t>
      </w:r>
      <w:r>
        <w:rPr>
          <w:rFonts w:hint="eastAsia"/>
          <w:color w:val="auto"/>
          <w:highlight w:val="none"/>
          <w:lang w:val="en-US" w:eastAsia="zh-CN"/>
        </w:rPr>
        <w:t xml:space="preserve">  </w:t>
      </w:r>
      <w:r>
        <w:rPr>
          <w:rFonts w:hint="eastAsia"/>
          <w:color w:val="auto"/>
          <w:highlight w:val="none"/>
        </w:rPr>
        <w:t>农药安全使用标准</w:t>
      </w:r>
    </w:p>
    <w:p>
      <w:pPr>
        <w:pStyle w:val="240"/>
        <w:rPr>
          <w:rFonts w:ascii="宋体" w:hAnsi="宋体" w:eastAsia="宋体" w:cs="宋体"/>
          <w:b w:val="0"/>
          <w:bCs w:val="0"/>
          <w:color w:val="auto"/>
          <w:sz w:val="21"/>
          <w:szCs w:val="21"/>
          <w:highlight w:val="none"/>
        </w:rPr>
      </w:pPr>
      <w:r>
        <w:rPr>
          <w:rFonts w:ascii="宋体" w:hAnsi="宋体" w:eastAsia="宋体" w:cs="宋体"/>
          <w:b w:val="0"/>
          <w:bCs w:val="0"/>
          <w:color w:val="auto"/>
          <w:sz w:val="21"/>
          <w:szCs w:val="21"/>
          <w:highlight w:val="none"/>
        </w:rPr>
        <w:t xml:space="preserve">GB/T 15772 </w:t>
      </w:r>
      <w:r>
        <w:rPr>
          <w:rFonts w:hint="eastAsia" w:hAnsi="宋体" w:cs="宋体"/>
          <w:b w:val="0"/>
          <w:bCs w:val="0"/>
          <w:color w:val="auto"/>
          <w:sz w:val="21"/>
          <w:szCs w:val="21"/>
          <w:highlight w:val="none"/>
          <w:lang w:val="en-US" w:eastAsia="zh-CN"/>
        </w:rPr>
        <w:t xml:space="preserve">  </w:t>
      </w:r>
      <w:r>
        <w:rPr>
          <w:rFonts w:ascii="宋体" w:hAnsi="宋体" w:eastAsia="宋体" w:cs="宋体"/>
          <w:b w:val="0"/>
          <w:bCs w:val="0"/>
          <w:color w:val="auto"/>
          <w:sz w:val="21"/>
          <w:szCs w:val="21"/>
          <w:highlight w:val="none"/>
        </w:rPr>
        <w:t>水土保持综合治理 规划通则</w:t>
      </w:r>
    </w:p>
    <w:p>
      <w:pPr>
        <w:pStyle w:val="240"/>
        <w:rPr>
          <w:rFonts w:hint="eastAsia"/>
          <w:color w:val="auto"/>
          <w:highlight w:val="none"/>
        </w:rPr>
      </w:pPr>
      <w:r>
        <w:rPr>
          <w:rFonts w:hint="eastAsia"/>
          <w:color w:val="auto"/>
          <w:highlight w:val="none"/>
        </w:rPr>
        <w:t xml:space="preserve">NY/T 496 </w:t>
      </w:r>
      <w:r>
        <w:rPr>
          <w:color w:val="auto"/>
          <w:highlight w:val="none"/>
        </w:rPr>
        <w:t xml:space="preserve">    </w:t>
      </w:r>
      <w:r>
        <w:rPr>
          <w:rFonts w:hint="eastAsia"/>
          <w:color w:val="auto"/>
          <w:highlight w:val="none"/>
        </w:rPr>
        <w:t>肥料合理使用准则 通则</w:t>
      </w:r>
    </w:p>
    <w:p>
      <w:pPr>
        <w:pStyle w:val="240"/>
        <w:rPr>
          <w:rFonts w:hint="eastAsia"/>
          <w:color w:val="auto"/>
          <w:highlight w:val="none"/>
        </w:rPr>
      </w:pPr>
      <w:r>
        <w:rPr>
          <w:rFonts w:hint="eastAsia"/>
          <w:color w:val="auto"/>
          <w:highlight w:val="none"/>
        </w:rPr>
        <w:t xml:space="preserve">NY/T 5010 </w:t>
      </w:r>
      <w:r>
        <w:rPr>
          <w:rFonts w:hint="eastAsia"/>
          <w:color w:val="auto"/>
          <w:highlight w:val="none"/>
          <w:lang w:val="en-US" w:eastAsia="zh-CN"/>
        </w:rPr>
        <w:t xml:space="preserve">   </w:t>
      </w:r>
      <w:r>
        <w:rPr>
          <w:rFonts w:hint="eastAsia"/>
          <w:color w:val="auto"/>
          <w:highlight w:val="none"/>
        </w:rPr>
        <w:t>无公害农产品 种植业产地环境条件</w:t>
      </w:r>
    </w:p>
    <w:p>
      <w:pPr>
        <w:pStyle w:val="240"/>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DB51/T 2096</w:t>
      </w:r>
      <w:r>
        <w:rPr>
          <w:rFonts w:hint="eastAsia"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 xml:space="preserve"> 红阳猕猴桃生产技术规程</w:t>
      </w:r>
    </w:p>
    <w:p>
      <w:pPr>
        <w:pStyle w:val="241"/>
        <w:spacing w:before="312" w:after="312"/>
        <w:outlineLvl w:val="0"/>
        <w:rPr>
          <w:color w:val="auto"/>
          <w:highlight w:val="none"/>
        </w:rPr>
      </w:pPr>
      <w:bookmarkStart w:id="33" w:name="_Toc7057"/>
      <w:bookmarkStart w:id="34" w:name="_Toc74747616"/>
      <w:bookmarkStart w:id="35" w:name="_Toc23912"/>
      <w:r>
        <w:rPr>
          <w:rFonts w:hint="eastAsia"/>
          <w:color w:val="auto"/>
          <w:highlight w:val="none"/>
        </w:rPr>
        <w:t>术语和定义</w:t>
      </w:r>
      <w:bookmarkEnd w:id="33"/>
      <w:bookmarkEnd w:id="34"/>
    </w:p>
    <w:p>
      <w:pPr>
        <w:pStyle w:val="240"/>
        <w:rPr>
          <w:color w:val="auto"/>
          <w:highlight w:val="none"/>
        </w:rPr>
      </w:pPr>
      <w:r>
        <w:rPr>
          <w:rFonts w:hint="eastAsia"/>
          <w:color w:val="auto"/>
          <w:highlight w:val="none"/>
        </w:rPr>
        <w:t>下列术语和定义适用于本文件。</w:t>
      </w:r>
    </w:p>
    <w:p>
      <w:pPr>
        <w:pStyle w:val="242"/>
        <w:spacing w:before="156" w:after="156"/>
        <w:outlineLvl w:val="1"/>
        <w:rPr>
          <w:color w:val="auto"/>
          <w:highlight w:val="none"/>
        </w:rPr>
      </w:pPr>
      <w:bookmarkStart w:id="36" w:name="_Toc14551"/>
      <w:bookmarkEnd w:id="36"/>
      <w:bookmarkStart w:id="37" w:name="_Toc19697"/>
      <w:bookmarkEnd w:id="37"/>
      <w:bookmarkStart w:id="38" w:name="_Toc6548"/>
      <w:bookmarkEnd w:id="38"/>
      <w:bookmarkStart w:id="39" w:name="_Toc11837"/>
      <w:bookmarkEnd w:id="39"/>
      <w:bookmarkStart w:id="40" w:name="OLE_LINK2"/>
      <w:bookmarkStart w:id="41" w:name="_Toc74747617"/>
    </w:p>
    <w:bookmarkEnd w:id="40"/>
    <w:bookmarkEnd w:id="41"/>
    <w:p>
      <w:pPr>
        <w:pStyle w:val="242"/>
        <w:numPr>
          <w:ilvl w:val="255"/>
          <w:numId w:val="0"/>
        </w:numPr>
        <w:spacing w:before="156" w:after="156"/>
        <w:ind w:firstLine="420" w:firstLineChars="200"/>
        <w:outlineLvl w:val="1"/>
        <w:rPr>
          <w:rFonts w:ascii="Times New Roman"/>
          <w:color w:val="auto"/>
          <w:highlight w:val="none"/>
        </w:rPr>
      </w:pPr>
      <w:bookmarkStart w:id="42" w:name="_Toc21386"/>
      <w:bookmarkStart w:id="43" w:name="_Toc1461"/>
      <w:bookmarkStart w:id="44" w:name="_Toc17557"/>
      <w:r>
        <w:rPr>
          <w:rFonts w:hint="eastAsia"/>
          <w:color w:val="auto"/>
          <w:highlight w:val="none"/>
          <w:lang w:val="en-US" w:eastAsia="zh-CN"/>
        </w:rPr>
        <w:t>避雨栽培</w:t>
      </w:r>
      <w:r>
        <w:rPr>
          <w:rFonts w:hint="eastAsia"/>
          <w:color w:val="auto"/>
          <w:highlight w:val="none"/>
        </w:rPr>
        <w:t xml:space="preserve">  rain-shelter-cultivation</w:t>
      </w:r>
      <w:bookmarkEnd w:id="42"/>
      <w:bookmarkEnd w:id="43"/>
      <w:bookmarkEnd w:id="44"/>
    </w:p>
    <w:p>
      <w:pPr>
        <w:pStyle w:val="240"/>
        <w:rPr>
          <w:rFonts w:hint="default" w:eastAsia="宋体"/>
          <w:color w:val="auto"/>
          <w:highlight w:val="none"/>
          <w:lang w:val="en-US" w:eastAsia="zh-CN"/>
        </w:rPr>
      </w:pPr>
      <w:r>
        <w:rPr>
          <w:rFonts w:hint="eastAsia"/>
          <w:color w:val="auto"/>
          <w:highlight w:val="none"/>
          <w:lang w:val="en-US" w:eastAsia="zh-CN"/>
        </w:rPr>
        <w:t>以防治病虫害和提高产量品质为目的，在猕猴桃植株树冠上方季节性或周年性搭建避雨设施的一种保护性栽培方法。</w:t>
      </w:r>
    </w:p>
    <w:bookmarkEnd w:id="35"/>
    <w:p>
      <w:pPr>
        <w:pStyle w:val="241"/>
        <w:spacing w:before="312" w:after="312"/>
        <w:outlineLvl w:val="0"/>
        <w:rPr>
          <w:color w:val="auto"/>
          <w:highlight w:val="none"/>
        </w:rPr>
      </w:pPr>
      <w:bookmarkStart w:id="45" w:name="_Toc27951"/>
      <w:r>
        <w:rPr>
          <w:rFonts w:hint="eastAsia"/>
          <w:color w:val="auto"/>
          <w:highlight w:val="none"/>
          <w:lang w:val="en-US" w:eastAsia="zh-CN"/>
        </w:rPr>
        <w:t>园地选择与规划</w:t>
      </w:r>
      <w:bookmarkEnd w:id="45"/>
    </w:p>
    <w:p>
      <w:pPr>
        <w:pStyle w:val="242"/>
        <w:spacing w:before="156" w:after="156"/>
        <w:outlineLvl w:val="1"/>
        <w:rPr>
          <w:color w:val="auto"/>
          <w:highlight w:val="none"/>
        </w:rPr>
      </w:pPr>
      <w:bookmarkStart w:id="46" w:name="_Toc23661"/>
      <w:bookmarkStart w:id="47" w:name="_Toc22559"/>
      <w:bookmarkStart w:id="48" w:name="_Toc31000"/>
      <w:r>
        <w:rPr>
          <w:rFonts w:hint="eastAsia"/>
          <w:color w:val="auto"/>
          <w:highlight w:val="none"/>
          <w:lang w:val="en-US" w:eastAsia="zh-CN"/>
        </w:rPr>
        <w:t>园地选择</w:t>
      </w:r>
      <w:bookmarkEnd w:id="46"/>
      <w:bookmarkEnd w:id="47"/>
      <w:bookmarkEnd w:id="48"/>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红阳、东红等易受溃疡病危害的红心猕猴桃园。</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ascii="黑体" w:hAnsi="黑体" w:eastAsia="黑体" w:cs="黑体"/>
          <w:b w:val="0"/>
          <w:bCs w:val="0"/>
          <w:color w:val="auto"/>
          <w:highlight w:val="none"/>
          <w:lang w:val="en-US" w:eastAsia="zh-CN"/>
        </w:rPr>
      </w:pPr>
      <w:r>
        <w:rPr>
          <w:rFonts w:hint="eastAsia"/>
          <w:color w:val="auto"/>
          <w:highlight w:val="none"/>
          <w:lang w:val="en-US" w:eastAsia="zh-CN"/>
        </w:rPr>
        <w:t>选择背风向阳、土壤肥沃、水源充足、排水良好、地下水位≥1 m、pH值≤7.0的平地或台地建棚，山坡地的坡度宜≤25°。猕猴桃园的迎风口不宜建棚。</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ascii="黑体" w:hAnsi="黑体" w:eastAsia="黑体" w:cs="黑体"/>
          <w:color w:val="auto"/>
          <w:highlight w:val="none"/>
          <w:lang w:val="en-US" w:eastAsia="zh-CN"/>
        </w:rPr>
      </w:pPr>
      <w:r>
        <w:rPr>
          <w:rFonts w:hint="eastAsia"/>
          <w:color w:val="auto"/>
          <w:highlight w:val="none"/>
          <w:lang w:val="en-US" w:eastAsia="zh-CN"/>
        </w:rPr>
        <w:t>其他产地环境条件应符合NY/T 5010要求。</w:t>
      </w:r>
    </w:p>
    <w:p>
      <w:pPr>
        <w:pStyle w:val="242"/>
        <w:spacing w:before="156" w:after="156"/>
        <w:outlineLvl w:val="1"/>
        <w:rPr>
          <w:color w:val="auto"/>
          <w:highlight w:val="none"/>
        </w:rPr>
      </w:pPr>
      <w:bookmarkStart w:id="49" w:name="_Toc28451"/>
      <w:bookmarkStart w:id="50" w:name="_Toc11278"/>
      <w:r>
        <w:rPr>
          <w:rFonts w:hint="eastAsia"/>
          <w:color w:val="auto"/>
          <w:highlight w:val="none"/>
          <w:lang w:val="en-US" w:eastAsia="zh-CN"/>
        </w:rPr>
        <w:t>园地规划</w:t>
      </w:r>
      <w:bookmarkEnd w:id="49"/>
      <w:bookmarkEnd w:id="50"/>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ascii="黑体" w:hAnsi="黑体" w:eastAsia="黑体" w:cs="黑体"/>
          <w:color w:val="auto"/>
          <w:highlight w:val="none"/>
          <w:lang w:val="en-US" w:eastAsia="zh-CN"/>
        </w:rPr>
      </w:pPr>
      <w:r>
        <w:rPr>
          <w:rFonts w:hint="eastAsia"/>
          <w:color w:val="auto"/>
          <w:highlight w:val="none"/>
          <w:lang w:val="en-US" w:eastAsia="zh-CN"/>
        </w:rPr>
        <w:t>红心猕猴桃栽植株行距为</w:t>
      </w:r>
      <w:r>
        <w:rPr>
          <w:rFonts w:hint="eastAsia" w:hAnsi="宋体" w:cs="宋体"/>
          <w:color w:val="auto"/>
          <w:highlight w:val="none"/>
          <w:lang w:val="en-US" w:eastAsia="zh-CN"/>
        </w:rPr>
        <w:t>（2.0</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2.5）</w:t>
      </w:r>
      <w:r>
        <w:rPr>
          <w:rFonts w:hint="eastAsia" w:ascii="宋体" w:hAnsi="宋体" w:eastAsia="宋体" w:cs="宋体"/>
          <w:color w:val="auto"/>
          <w:highlight w:val="none"/>
          <w:lang w:val="en-US" w:eastAsia="zh-CN"/>
        </w:rPr>
        <w:t>cm</w:t>
      </w:r>
      <w:r>
        <w:rPr>
          <w:rFonts w:hint="eastAsia" w:hAnsi="宋体" w:cs="宋体"/>
          <w:color w:val="auto"/>
          <w:highlight w:val="none"/>
          <w:lang w:val="en-US" w:eastAsia="zh-CN"/>
        </w:rPr>
        <w:t>×（3.0</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3.5）cm。</w:t>
      </w:r>
      <w:r>
        <w:rPr>
          <w:rFonts w:hint="eastAsia"/>
          <w:color w:val="auto"/>
          <w:highlight w:val="none"/>
          <w:lang w:val="en-US" w:eastAsia="zh-CN"/>
        </w:rPr>
        <w:t>以20</w:t>
      </w:r>
      <w:r>
        <w:rPr>
          <w:rFonts w:hint="eastAsia" w:ascii="Times New Roman" w:cs="Times New Roman"/>
          <w:color w:val="auto"/>
          <w:highlight w:val="none"/>
          <w:lang w:val="en-US" w:eastAsia="zh-CN"/>
        </w:rPr>
        <w:t>～</w:t>
      </w:r>
      <w:r>
        <w:rPr>
          <w:rFonts w:hint="eastAsia"/>
          <w:color w:val="auto"/>
          <w:highlight w:val="none"/>
          <w:lang w:val="en-US" w:eastAsia="zh-CN"/>
        </w:rPr>
        <w:t>50 亩为单元划分小区，单个避雨棚长度不宜超过100 m。</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ascii="黑体" w:hAnsi="黑体" w:eastAsia="黑体" w:cs="黑体"/>
          <w:color w:val="auto"/>
          <w:highlight w:val="none"/>
          <w:lang w:val="en-US" w:eastAsia="zh-CN"/>
        </w:rPr>
      </w:pPr>
      <w:r>
        <w:rPr>
          <w:rFonts w:hint="eastAsia"/>
          <w:color w:val="auto"/>
          <w:highlight w:val="none"/>
          <w:lang w:val="en-US" w:eastAsia="zh-CN"/>
        </w:rPr>
        <w:t>缓坡地及平地的栽植行宜为南北向，不规则地块及特殊地貌应适当调形，改建为顺排水方向的平整斜坡地或坡降3‰～5‰平地后再进行改土定植。</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ascii="黑体" w:hAnsi="黑体" w:eastAsia="黑体" w:cs="黑体"/>
          <w:color w:val="auto"/>
          <w:highlight w:val="none"/>
          <w:lang w:val="en-US" w:eastAsia="zh-CN"/>
        </w:rPr>
      </w:pPr>
      <w:r>
        <w:rPr>
          <w:rFonts w:hint="eastAsia"/>
          <w:color w:val="auto"/>
          <w:highlight w:val="none"/>
          <w:lang w:val="en-US" w:eastAsia="zh-CN"/>
        </w:rPr>
        <w:t>坡度在6°～25°的山地、丘陵地，栽植行宜顺等高线方向布置，尽量修筑成地形较规则的水平梯地，单个梯面宽度需≥10m，梯面比降3‰～5‰。</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ascii="黑体" w:hAnsi="黑体" w:eastAsia="黑体" w:cs="黑体"/>
          <w:color w:val="auto"/>
          <w:highlight w:val="none"/>
          <w:lang w:val="en-US" w:eastAsia="zh-CN"/>
        </w:rPr>
      </w:pPr>
      <w:r>
        <w:rPr>
          <w:rFonts w:hint="eastAsia"/>
          <w:color w:val="auto"/>
          <w:highlight w:val="none"/>
          <w:lang w:val="en-US" w:eastAsia="zh-CN"/>
        </w:rPr>
        <w:t>采取避雨栽培的猕猴桃园须配套防风林或挡风墙。</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ascii="黑体" w:hAnsi="黑体" w:eastAsia="黑体" w:cs="黑体"/>
          <w:color w:val="auto"/>
          <w:highlight w:val="none"/>
          <w:lang w:val="en-US" w:eastAsia="zh-CN"/>
        </w:rPr>
      </w:pPr>
      <w:r>
        <w:rPr>
          <w:rFonts w:hint="eastAsia"/>
          <w:color w:val="auto"/>
          <w:highlight w:val="none"/>
          <w:lang w:val="en-US" w:eastAsia="zh-CN"/>
        </w:rPr>
        <w:t>水土保持综合治理按GB/T 15772执行。</w:t>
      </w:r>
      <w:r>
        <w:rPr>
          <w:rFonts w:hint="eastAsia" w:ascii="黑体" w:hAnsi="黑体" w:eastAsia="黑体" w:cs="黑体"/>
          <w:color w:val="auto"/>
          <w:highlight w:val="none"/>
          <w:lang w:val="en-US" w:eastAsia="zh-CN"/>
        </w:rPr>
        <w:t xml:space="preserve"> </w:t>
      </w:r>
    </w:p>
    <w:p>
      <w:pPr>
        <w:pStyle w:val="241"/>
        <w:spacing w:before="312" w:after="312"/>
        <w:outlineLvl w:val="0"/>
        <w:rPr>
          <w:rFonts w:hint="eastAsia"/>
          <w:color w:val="auto"/>
          <w:highlight w:val="none"/>
          <w:lang w:val="en-US" w:eastAsia="zh-CN"/>
        </w:rPr>
      </w:pPr>
      <w:bookmarkStart w:id="51" w:name="_Toc18242"/>
      <w:bookmarkStart w:id="52" w:name="_Toc11976"/>
      <w:r>
        <w:rPr>
          <w:rFonts w:hint="eastAsia"/>
          <w:color w:val="auto"/>
          <w:highlight w:val="none"/>
          <w:lang w:val="en-US" w:eastAsia="zh-CN"/>
        </w:rPr>
        <w:t>避雨棚类型</w:t>
      </w:r>
      <w:bookmarkEnd w:id="51"/>
      <w:r>
        <w:rPr>
          <w:rFonts w:hint="eastAsia"/>
          <w:color w:val="auto"/>
          <w:highlight w:val="none"/>
          <w:lang w:val="en-US" w:eastAsia="zh-CN"/>
        </w:rPr>
        <w:t>与参数</w:t>
      </w:r>
      <w:bookmarkEnd w:id="52"/>
    </w:p>
    <w:p>
      <w:pPr>
        <w:pStyle w:val="242"/>
        <w:spacing w:before="156" w:after="156"/>
        <w:outlineLvl w:val="1"/>
        <w:rPr>
          <w:rFonts w:hint="eastAsia"/>
          <w:color w:val="auto"/>
          <w:highlight w:val="none"/>
          <w:lang w:val="en-US" w:eastAsia="zh-CN"/>
        </w:rPr>
      </w:pPr>
      <w:bookmarkStart w:id="53" w:name="_Toc26461"/>
      <w:bookmarkStart w:id="54" w:name="_Toc32058"/>
      <w:r>
        <w:rPr>
          <w:rFonts w:hint="eastAsia"/>
          <w:color w:val="auto"/>
          <w:highlight w:val="none"/>
          <w:lang w:val="en-US" w:eastAsia="zh-CN"/>
        </w:rPr>
        <w:t>简易矮小拱棚</w:t>
      </w:r>
      <w:bookmarkEnd w:id="53"/>
      <w:bookmarkEnd w:id="54"/>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结构参数</w:t>
      </w:r>
    </w:p>
    <w:p>
      <w:pPr>
        <w:pStyle w:val="240"/>
        <w:keepNext w:val="0"/>
        <w:keepLines w:val="0"/>
        <w:pageBreakBefore w:val="0"/>
        <w:widowControl/>
        <w:numPr>
          <w:ilvl w:val="0"/>
          <w:numId w:val="0"/>
        </w:numPr>
        <w:kinsoku/>
        <w:wordWrap/>
        <w:overflowPunct/>
        <w:topLinePunct w:val="0"/>
        <w:autoSpaceDE w:val="0"/>
        <w:autoSpaceDN w:val="0"/>
        <w:bidi w:val="0"/>
        <w:adjustRightInd/>
        <w:snapToGrid/>
        <w:spacing w:before="157" w:beforeLines="50" w:after="157" w:afterLines="50"/>
        <w:ind w:firstLine="420" w:firstLineChars="200"/>
        <w:textAlignment w:val="auto"/>
        <w:rPr>
          <w:rFonts w:hint="default"/>
          <w:color w:val="auto"/>
          <w:highlight w:val="none"/>
          <w:lang w:val="en-US" w:eastAsia="zh-CN"/>
        </w:rPr>
      </w:pPr>
      <w:r>
        <w:rPr>
          <w:rFonts w:hint="eastAsia"/>
          <w:color w:val="auto"/>
          <w:highlight w:val="none"/>
          <w:lang w:val="en-US" w:eastAsia="zh-CN"/>
        </w:rPr>
        <w:t>顶高2.5 m</w:t>
      </w:r>
      <w:r>
        <w:rPr>
          <w:rFonts w:hint="eastAsia" w:ascii="Times New Roman" w:cs="Times New Roman"/>
          <w:color w:val="auto"/>
          <w:highlight w:val="none"/>
          <w:lang w:val="en-US" w:eastAsia="zh-CN"/>
        </w:rPr>
        <w:t>～</w:t>
      </w:r>
      <w:r>
        <w:rPr>
          <w:rFonts w:hint="eastAsia"/>
          <w:color w:val="auto"/>
          <w:highlight w:val="none"/>
          <w:lang w:val="en-US" w:eastAsia="zh-CN"/>
        </w:rPr>
        <w:t>2.8 m、肩高2.0 m</w:t>
      </w:r>
      <w:r>
        <w:rPr>
          <w:rFonts w:hint="eastAsia" w:ascii="Times New Roman" w:cs="Times New Roman"/>
          <w:color w:val="auto"/>
          <w:highlight w:val="none"/>
          <w:lang w:val="en-US" w:eastAsia="zh-CN"/>
        </w:rPr>
        <w:t>～</w:t>
      </w:r>
      <w:r>
        <w:rPr>
          <w:rFonts w:hint="eastAsia"/>
          <w:color w:val="auto"/>
          <w:highlight w:val="none"/>
          <w:lang w:val="en-US" w:eastAsia="zh-CN"/>
        </w:rPr>
        <w:t>2.3 m，单棚宽幅2.5 m</w:t>
      </w:r>
      <w:r>
        <w:rPr>
          <w:rFonts w:hint="eastAsia" w:ascii="Times New Roman" w:cs="Times New Roman"/>
          <w:color w:val="auto"/>
          <w:highlight w:val="none"/>
          <w:lang w:val="en-US" w:eastAsia="zh-CN"/>
        </w:rPr>
        <w:t>～</w:t>
      </w:r>
      <w:r>
        <w:rPr>
          <w:rFonts w:hint="eastAsia"/>
          <w:color w:val="auto"/>
          <w:highlight w:val="none"/>
          <w:lang w:val="en-US" w:eastAsia="zh-CN"/>
        </w:rPr>
        <w:t>3.5 m，棚与棚之间保留宽0.5 m通风带。抗风荷载：0.20 KN/M</w:t>
      </w:r>
      <w:r>
        <w:rPr>
          <w:rFonts w:hint="eastAsia"/>
          <w:color w:val="auto"/>
          <w:highlight w:val="none"/>
          <w:vertAlign w:val="superscript"/>
          <w:lang w:val="en-US" w:eastAsia="zh-CN"/>
        </w:rPr>
        <w:t>2</w:t>
      </w:r>
      <w:r>
        <w:rPr>
          <w:rFonts w:hint="eastAsia"/>
          <w:color w:val="auto"/>
          <w:highlight w:val="none"/>
          <w:lang w:val="en-US" w:eastAsia="zh-CN"/>
        </w:rPr>
        <w:t>，雪荷载：0.20 KN/M</w:t>
      </w:r>
      <w:r>
        <w:rPr>
          <w:rFonts w:hint="eastAsia"/>
          <w:color w:val="auto"/>
          <w:highlight w:val="none"/>
          <w:vertAlign w:val="superscript"/>
          <w:lang w:val="en-US" w:eastAsia="zh-CN"/>
        </w:rPr>
        <w:t>2</w:t>
      </w:r>
      <w:r>
        <w:rPr>
          <w:rFonts w:hint="eastAsia"/>
          <w:color w:val="auto"/>
          <w:highlight w:val="none"/>
          <w:vertAlign w:val="baseline"/>
          <w:lang w:val="en-US" w:eastAsia="zh-CN"/>
        </w:rPr>
        <w:t>，</w:t>
      </w:r>
      <w:r>
        <w:rPr>
          <w:rFonts w:hint="eastAsia"/>
          <w:color w:val="auto"/>
          <w:highlight w:val="none"/>
          <w:lang w:val="en-US" w:eastAsia="zh-CN"/>
        </w:rPr>
        <w:t>骨架使用寿命≥15 a。棚架结构见附录图A.1。</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材料参数</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主立柱</w:t>
      </w:r>
    </w:p>
    <w:p>
      <w:pPr>
        <w:pStyle w:val="240"/>
        <w:numPr>
          <w:ilvl w:val="0"/>
          <w:numId w:val="0"/>
        </w:numPr>
        <w:ind w:leftChars="0" w:firstLine="420" w:firstLineChars="200"/>
        <w:rPr>
          <w:rFonts w:hint="eastAsia" w:hAnsi="宋体" w:cs="宋体"/>
          <w:color w:val="auto"/>
          <w:highlight w:val="none"/>
          <w:lang w:val="en-US" w:eastAsia="zh-CN"/>
        </w:rPr>
      </w:pPr>
      <w:r>
        <w:rPr>
          <w:rFonts w:hint="eastAsia" w:ascii="宋体" w:hAnsi="宋体" w:eastAsia="宋体" w:cs="宋体"/>
          <w:color w:val="auto"/>
          <w:highlight w:val="none"/>
          <w:lang w:val="en-US" w:eastAsia="zh-CN"/>
        </w:rPr>
        <w:t>前期已建好的红心猕猴桃园加盖简易</w:t>
      </w:r>
      <w:r>
        <w:rPr>
          <w:rFonts w:hint="eastAsia" w:hAnsi="宋体" w:cs="宋体"/>
          <w:color w:val="auto"/>
          <w:highlight w:val="none"/>
          <w:lang w:val="en-US" w:eastAsia="zh-CN"/>
        </w:rPr>
        <w:t>矮小</w:t>
      </w:r>
      <w:r>
        <w:rPr>
          <w:rFonts w:hint="eastAsia" w:ascii="宋体" w:hAnsi="宋体" w:eastAsia="宋体" w:cs="宋体"/>
          <w:color w:val="auto"/>
          <w:highlight w:val="none"/>
          <w:lang w:val="en-US" w:eastAsia="zh-CN"/>
        </w:rPr>
        <w:t>拱棚时，</w:t>
      </w:r>
      <w:r>
        <w:rPr>
          <w:rFonts w:hint="eastAsia" w:hAnsi="宋体" w:cs="宋体"/>
          <w:color w:val="auto"/>
          <w:highlight w:val="none"/>
          <w:lang w:val="en-US" w:eastAsia="zh-CN"/>
        </w:rPr>
        <w:t>主立柱</w:t>
      </w:r>
      <w:r>
        <w:rPr>
          <w:rFonts w:hint="eastAsia" w:ascii="宋体" w:hAnsi="宋体" w:eastAsia="宋体" w:cs="宋体"/>
          <w:color w:val="auto"/>
          <w:highlight w:val="none"/>
          <w:lang w:val="en-US" w:eastAsia="zh-CN"/>
        </w:rPr>
        <w:t>可选择直径10</w:t>
      </w:r>
      <w:r>
        <w:rPr>
          <w:rFonts w:hint="eastAsia" w:hAnsi="宋体" w:cs="宋体"/>
          <w:color w:val="auto"/>
          <w:highlight w:val="none"/>
          <w:lang w:val="en-US" w:eastAsia="zh-CN"/>
        </w:rPr>
        <w:t xml:space="preserve"> </w:t>
      </w:r>
      <w:r>
        <w:rPr>
          <w:rFonts w:hint="eastAsia" w:ascii="宋体" w:hAnsi="宋体" w:eastAsia="宋体" w:cs="宋体"/>
          <w:color w:val="auto"/>
          <w:highlight w:val="none"/>
          <w:lang w:val="en-US" w:eastAsia="zh-CN"/>
        </w:rPr>
        <w:t>cm</w:t>
      </w:r>
      <w:r>
        <w:rPr>
          <w:rFonts w:hint="eastAsia" w:ascii="Times New Roman" w:cs="Times New Roman"/>
          <w:color w:val="auto"/>
          <w:highlight w:val="none"/>
          <w:lang w:val="en-US" w:eastAsia="zh-CN"/>
        </w:rPr>
        <w:t>～</w:t>
      </w:r>
      <w:r>
        <w:rPr>
          <w:rFonts w:hint="eastAsia" w:ascii="宋体" w:hAnsi="宋体" w:eastAsia="宋体" w:cs="宋体"/>
          <w:color w:val="auto"/>
          <w:highlight w:val="none"/>
          <w:lang w:val="en-US" w:eastAsia="zh-CN"/>
        </w:rPr>
        <w:t>12</w:t>
      </w:r>
      <w:r>
        <w:rPr>
          <w:rFonts w:hint="eastAsia"/>
          <w:color w:val="auto"/>
          <w:highlight w:val="none"/>
          <w:lang w:val="en-US" w:eastAsia="zh-CN"/>
        </w:rPr>
        <w:t xml:space="preserve"> cm</w:t>
      </w:r>
      <w:r>
        <w:rPr>
          <w:rFonts w:hint="eastAsia" w:ascii="宋体" w:hAnsi="宋体" w:eastAsia="宋体" w:cs="宋体"/>
          <w:color w:val="auto"/>
          <w:highlight w:val="none"/>
          <w:lang w:val="en-US" w:eastAsia="zh-CN"/>
        </w:rPr>
        <w:t>直立木桩</w:t>
      </w:r>
      <w:r>
        <w:rPr>
          <w:rFonts w:hint="eastAsia" w:hAnsi="宋体" w:cs="宋体"/>
          <w:color w:val="auto"/>
          <w:highlight w:val="none"/>
          <w:lang w:val="en-US" w:eastAsia="zh-CN"/>
        </w:rPr>
        <w:t>或Φ32×1.5 mm热镀锌钢管。</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新建园可采取避雨棚架和猕猴桃藤蔓棚架一体化建设，主立柱可选择直径（10</w:t>
      </w:r>
      <w:r>
        <w:rPr>
          <w:rFonts w:hint="eastAsia" w:ascii="Times New Roman" w:cs="Times New Roman"/>
          <w:color w:val="auto"/>
          <w:highlight w:val="none"/>
          <w:lang w:val="en-US" w:eastAsia="zh-CN"/>
        </w:rPr>
        <w:t>～</w:t>
      </w:r>
      <w:r>
        <w:rPr>
          <w:rFonts w:hint="eastAsia" w:ascii="宋体" w:hAnsi="宋体" w:eastAsia="宋体" w:cs="宋体"/>
          <w:color w:val="auto"/>
          <w:highlight w:val="none"/>
          <w:lang w:val="en-US" w:eastAsia="zh-CN"/>
        </w:rPr>
        <w:t>12</w:t>
      </w:r>
      <w:r>
        <w:rPr>
          <w:rFonts w:hint="eastAsia" w:hAnsi="宋体" w:cs="宋体"/>
          <w:color w:val="auto"/>
          <w:highlight w:val="none"/>
          <w:lang w:val="en-US" w:eastAsia="zh-CN"/>
        </w:rPr>
        <w:t>）</w:t>
      </w:r>
      <w:r>
        <w:rPr>
          <w:rFonts w:hint="eastAsia" w:ascii="宋体" w:hAnsi="宋体" w:eastAsia="宋体" w:cs="宋体"/>
          <w:color w:val="auto"/>
          <w:highlight w:val="none"/>
          <w:lang w:val="en-US" w:eastAsia="zh-CN"/>
        </w:rPr>
        <w:t>cm</w:t>
      </w:r>
      <w:r>
        <w:rPr>
          <w:rFonts w:hint="eastAsia" w:hAnsi="宋体" w:cs="宋体"/>
          <w:color w:val="auto"/>
          <w:highlight w:val="none"/>
          <w:lang w:val="en-US" w:eastAsia="zh-CN"/>
        </w:rPr>
        <w:t>×（10</w:t>
      </w:r>
      <w:r>
        <w:rPr>
          <w:rFonts w:hint="eastAsia" w:ascii="Times New Roman" w:cs="Times New Roman"/>
          <w:color w:val="auto"/>
          <w:highlight w:val="none"/>
          <w:lang w:val="en-US" w:eastAsia="zh-CN"/>
        </w:rPr>
        <w:t>～</w:t>
      </w:r>
      <w:r>
        <w:rPr>
          <w:rFonts w:hint="eastAsia" w:ascii="宋体" w:hAnsi="宋体" w:eastAsia="宋体" w:cs="宋体"/>
          <w:color w:val="auto"/>
          <w:highlight w:val="none"/>
          <w:lang w:val="en-US" w:eastAsia="zh-CN"/>
        </w:rPr>
        <w:t>12</w:t>
      </w:r>
      <w:r>
        <w:rPr>
          <w:rFonts w:hint="eastAsia" w:hAnsi="宋体" w:cs="宋体"/>
          <w:color w:val="auto"/>
          <w:highlight w:val="none"/>
          <w:lang w:val="en-US" w:eastAsia="zh-CN"/>
        </w:rPr>
        <w:t>）</w:t>
      </w:r>
      <w:r>
        <w:rPr>
          <w:rFonts w:hint="eastAsia" w:ascii="宋体" w:hAnsi="宋体" w:eastAsia="宋体" w:cs="宋体"/>
          <w:color w:val="auto"/>
          <w:highlight w:val="none"/>
          <w:lang w:val="en-US" w:eastAsia="zh-CN"/>
        </w:rPr>
        <w:t>cm</w:t>
      </w:r>
      <w:r>
        <w:rPr>
          <w:rFonts w:hint="eastAsia" w:hAnsi="宋体" w:cs="宋体"/>
          <w:color w:val="auto"/>
          <w:highlight w:val="none"/>
          <w:lang w:val="en-US" w:eastAsia="zh-CN"/>
        </w:rPr>
        <w:t>水泥立柱或Φ48×2.0 mm热镀锌钢管。</w:t>
      </w:r>
    </w:p>
    <w:p>
      <w:pPr>
        <w:pStyle w:val="240"/>
        <w:numPr>
          <w:ilvl w:val="0"/>
          <w:numId w:val="0"/>
        </w:numPr>
        <w:ind w:leftChars="0" w:firstLine="420" w:firstLineChars="20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主立柱</w:t>
      </w:r>
      <w:r>
        <w:rPr>
          <w:rFonts w:hint="eastAsia" w:ascii="宋体" w:hAnsi="宋体" w:eastAsia="宋体" w:cs="宋体"/>
          <w:color w:val="auto"/>
          <w:highlight w:val="none"/>
          <w:lang w:val="en-US" w:eastAsia="zh-CN"/>
        </w:rPr>
        <w:t>间距</w:t>
      </w:r>
      <w:r>
        <w:rPr>
          <w:rFonts w:hint="eastAsia" w:hAnsi="宋体" w:cs="宋体"/>
          <w:color w:val="auto"/>
          <w:highlight w:val="none"/>
          <w:lang w:val="en-US" w:eastAsia="zh-CN"/>
        </w:rPr>
        <w:t>3.0</w:t>
      </w:r>
      <w:r>
        <w:rPr>
          <w:rFonts w:hint="eastAsia"/>
          <w:color w:val="auto"/>
          <w:highlight w:val="none"/>
          <w:lang w:val="en-US" w:eastAsia="zh-CN"/>
        </w:rPr>
        <w:t xml:space="preserve"> m</w:t>
      </w:r>
      <w:r>
        <w:rPr>
          <w:rFonts w:hint="eastAsia" w:ascii="Times New Roman" w:cs="Times New Roman"/>
          <w:color w:val="auto"/>
          <w:highlight w:val="none"/>
          <w:lang w:val="en-US" w:eastAsia="zh-CN"/>
        </w:rPr>
        <w:t>～</w:t>
      </w:r>
      <w:r>
        <w:rPr>
          <w:rFonts w:hint="eastAsia" w:ascii="宋体" w:hAnsi="宋体" w:eastAsia="宋体" w:cs="宋体"/>
          <w:color w:val="auto"/>
          <w:highlight w:val="none"/>
          <w:lang w:val="en-US" w:eastAsia="zh-CN"/>
        </w:rPr>
        <w:t>4</w:t>
      </w:r>
      <w:r>
        <w:rPr>
          <w:rFonts w:hint="eastAsia" w:hAnsi="宋体" w:cs="宋体"/>
          <w:color w:val="auto"/>
          <w:highlight w:val="none"/>
          <w:lang w:val="en-US" w:eastAsia="zh-CN"/>
        </w:rPr>
        <w:t>.0</w:t>
      </w:r>
      <w:r>
        <w:rPr>
          <w:rFonts w:hint="eastAsia" w:ascii="宋体" w:hAnsi="宋体" w:eastAsia="宋体" w:cs="宋体"/>
          <w:color w:val="auto"/>
          <w:highlight w:val="none"/>
          <w:lang w:val="en-US" w:eastAsia="zh-CN"/>
        </w:rPr>
        <w:t xml:space="preserve"> m，行距与猕猴桃行距一致。</w:t>
      </w:r>
      <w:r>
        <w:rPr>
          <w:rFonts w:hint="eastAsia" w:hAnsi="宋体" w:cs="宋体"/>
          <w:color w:val="auto"/>
          <w:highlight w:val="none"/>
          <w:lang w:val="en-US" w:eastAsia="zh-CN"/>
        </w:rPr>
        <w:t>每行两端的主立柱需用等大小的木桩或热镀锌钢管做内撑立柱，以防向内倾斜。</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横梁</w:t>
      </w:r>
    </w:p>
    <w:p>
      <w:pPr>
        <w:pStyle w:val="240"/>
        <w:numPr>
          <w:ilvl w:val="0"/>
          <w:numId w:val="0"/>
        </w:numPr>
        <w:ind w:firstLine="420"/>
        <w:rPr>
          <w:rFonts w:hint="eastAsia"/>
          <w:color w:val="auto"/>
          <w:highlight w:val="none"/>
          <w:lang w:val="en-US" w:eastAsia="zh-CN"/>
        </w:rPr>
      </w:pPr>
      <w:r>
        <w:rPr>
          <w:rFonts w:hint="eastAsia" w:hAnsi="宋体" w:cs="宋体"/>
          <w:color w:val="auto"/>
          <w:highlight w:val="none"/>
          <w:lang w:val="en-US" w:eastAsia="zh-CN"/>
        </w:rPr>
        <w:t>采用木桩做主立柱的可在主立柱高</w:t>
      </w:r>
      <w:r>
        <w:rPr>
          <w:rFonts w:hint="eastAsia"/>
          <w:color w:val="auto"/>
          <w:highlight w:val="none"/>
          <w:lang w:val="en-US" w:eastAsia="zh-CN"/>
        </w:rPr>
        <w:t>2.0 m</w:t>
      </w:r>
      <w:r>
        <w:rPr>
          <w:rFonts w:hint="eastAsia" w:ascii="Times New Roman" w:cs="Times New Roman"/>
          <w:color w:val="auto"/>
          <w:highlight w:val="none"/>
          <w:lang w:val="en-US" w:eastAsia="zh-CN"/>
        </w:rPr>
        <w:t>～</w:t>
      </w:r>
      <w:r>
        <w:rPr>
          <w:rFonts w:hint="eastAsia"/>
          <w:color w:val="auto"/>
          <w:highlight w:val="none"/>
          <w:lang w:val="en-US" w:eastAsia="zh-CN"/>
        </w:rPr>
        <w:t>2.3 m处横向钉一根</w:t>
      </w:r>
      <w:r>
        <w:rPr>
          <w:rFonts w:hint="eastAsia" w:hAnsi="宋体" w:cs="宋体"/>
          <w:color w:val="auto"/>
          <w:highlight w:val="none"/>
          <w:lang w:val="en-US" w:eastAsia="zh-CN"/>
        </w:rPr>
        <w:t>直径</w:t>
      </w:r>
      <w:r>
        <w:rPr>
          <w:rFonts w:hint="eastAsia"/>
          <w:color w:val="auto"/>
          <w:highlight w:val="none"/>
          <w:lang w:val="en-US" w:eastAsia="zh-CN"/>
        </w:rPr>
        <w:t>5.0 cm</w:t>
      </w:r>
      <w:r>
        <w:rPr>
          <w:rFonts w:hint="eastAsia" w:ascii="Times New Roman" w:cs="Times New Roman"/>
          <w:color w:val="auto"/>
          <w:highlight w:val="none"/>
          <w:lang w:val="en-US" w:eastAsia="zh-CN"/>
        </w:rPr>
        <w:t>～</w:t>
      </w:r>
      <w:r>
        <w:rPr>
          <w:rFonts w:hint="eastAsia"/>
          <w:color w:val="auto"/>
          <w:highlight w:val="none"/>
          <w:lang w:val="en-US" w:eastAsia="zh-CN"/>
        </w:rPr>
        <w:t>6.0 cm、长2.5 m～3.0 m的支撑横木棒，横木棒左右两边等距离各钉一根直径5.0 cm</w:t>
      </w:r>
      <w:r>
        <w:rPr>
          <w:rFonts w:hint="eastAsia" w:ascii="Times New Roman" w:cs="Times New Roman"/>
          <w:color w:val="auto"/>
          <w:highlight w:val="none"/>
          <w:lang w:val="en-US" w:eastAsia="zh-CN"/>
        </w:rPr>
        <w:t>～</w:t>
      </w:r>
      <w:r>
        <w:rPr>
          <w:rFonts w:hint="eastAsia"/>
          <w:color w:val="auto"/>
          <w:highlight w:val="none"/>
          <w:lang w:val="en-US" w:eastAsia="zh-CN"/>
        </w:rPr>
        <w:t>6.0 cm、长0.8 m～1.0 m支撑斜木条，形成稳固三角形。</w:t>
      </w:r>
    </w:p>
    <w:p>
      <w:pPr>
        <w:pStyle w:val="240"/>
        <w:numPr>
          <w:ilvl w:val="0"/>
          <w:numId w:val="0"/>
        </w:numPr>
        <w:ind w:firstLine="420"/>
        <w:rPr>
          <w:rFonts w:hint="eastAsia"/>
          <w:color w:val="auto"/>
          <w:highlight w:val="none"/>
          <w:lang w:val="en-US" w:eastAsia="zh-CN"/>
        </w:rPr>
      </w:pPr>
      <w:r>
        <w:rPr>
          <w:rFonts w:hint="eastAsia"/>
          <w:color w:val="auto"/>
          <w:highlight w:val="none"/>
          <w:lang w:val="en-US" w:eastAsia="zh-CN"/>
        </w:rPr>
        <w:t>采用热镀锌钢管做主立柱的可在主立柱</w:t>
      </w:r>
      <w:r>
        <w:rPr>
          <w:rFonts w:hint="eastAsia" w:hAnsi="宋体" w:cs="宋体"/>
          <w:color w:val="auto"/>
          <w:highlight w:val="none"/>
          <w:lang w:val="en-US" w:eastAsia="zh-CN"/>
        </w:rPr>
        <w:t>高</w:t>
      </w:r>
      <w:r>
        <w:rPr>
          <w:rFonts w:hint="eastAsia"/>
          <w:color w:val="auto"/>
          <w:highlight w:val="none"/>
          <w:lang w:val="en-US" w:eastAsia="zh-CN"/>
        </w:rPr>
        <w:t>2.0 m</w:t>
      </w:r>
      <w:r>
        <w:rPr>
          <w:rFonts w:hint="eastAsia" w:ascii="Times New Roman" w:cs="Times New Roman"/>
          <w:color w:val="auto"/>
          <w:highlight w:val="none"/>
          <w:lang w:val="en-US" w:eastAsia="zh-CN"/>
        </w:rPr>
        <w:t>～</w:t>
      </w:r>
      <w:r>
        <w:rPr>
          <w:rFonts w:hint="eastAsia"/>
          <w:color w:val="auto"/>
          <w:highlight w:val="none"/>
          <w:lang w:val="en-US" w:eastAsia="zh-CN"/>
        </w:rPr>
        <w:t>2.3 m处横向固定一根</w:t>
      </w:r>
      <w:r>
        <w:rPr>
          <w:rFonts w:hint="eastAsia" w:hAnsi="宋体" w:cs="宋体"/>
          <w:color w:val="auto"/>
          <w:highlight w:val="none"/>
          <w:lang w:val="en-US" w:eastAsia="zh-CN"/>
        </w:rPr>
        <w:t>Φ38×2.0 mm、</w:t>
      </w:r>
      <w:r>
        <w:rPr>
          <w:rFonts w:hint="eastAsia"/>
          <w:color w:val="auto"/>
          <w:highlight w:val="none"/>
          <w:lang w:val="en-US" w:eastAsia="zh-CN"/>
        </w:rPr>
        <w:t>长2.5 m～3.0 m</w:t>
      </w:r>
      <w:r>
        <w:rPr>
          <w:rFonts w:hint="eastAsia" w:hAnsi="宋体" w:cs="宋体"/>
          <w:color w:val="auto"/>
          <w:highlight w:val="none"/>
          <w:lang w:val="en-US" w:eastAsia="zh-CN"/>
        </w:rPr>
        <w:t>热镀锌钢管，</w:t>
      </w:r>
      <w:r>
        <w:rPr>
          <w:rFonts w:hint="eastAsia"/>
          <w:color w:val="auto"/>
          <w:highlight w:val="none"/>
          <w:lang w:val="en-US" w:eastAsia="zh-CN"/>
        </w:rPr>
        <w:t>横向钢管左右两边等距离各用一根</w:t>
      </w:r>
      <w:r>
        <w:rPr>
          <w:rFonts w:hint="eastAsia" w:hAnsi="宋体" w:cs="宋体"/>
          <w:color w:val="auto"/>
          <w:highlight w:val="none"/>
          <w:lang w:val="en-US" w:eastAsia="zh-CN"/>
        </w:rPr>
        <w:t>Φ38×2.0 mm、</w:t>
      </w:r>
      <w:r>
        <w:rPr>
          <w:rFonts w:hint="eastAsia"/>
          <w:color w:val="auto"/>
          <w:highlight w:val="none"/>
          <w:lang w:val="en-US" w:eastAsia="zh-CN"/>
        </w:rPr>
        <w:t>长0.8 m～1.0 m钢管支撑，形成稳固三角形。</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纵线和拱杆</w:t>
      </w:r>
    </w:p>
    <w:p>
      <w:pPr>
        <w:pStyle w:val="240"/>
        <w:numPr>
          <w:ilvl w:val="0"/>
          <w:numId w:val="0"/>
        </w:numPr>
        <w:ind w:firstLine="420"/>
        <w:rPr>
          <w:rFonts w:hint="eastAsia"/>
          <w:color w:val="auto"/>
          <w:highlight w:val="none"/>
          <w:lang w:val="en-US" w:eastAsia="zh-CN"/>
        </w:rPr>
      </w:pPr>
      <w:r>
        <w:rPr>
          <w:rFonts w:hint="eastAsia"/>
          <w:color w:val="auto"/>
          <w:highlight w:val="none"/>
          <w:lang w:val="en-US" w:eastAsia="zh-CN"/>
        </w:rPr>
        <w:t>横梁两端和主立柱顶部，分别用一根7</w:t>
      </w:r>
      <w:r>
        <w:rPr>
          <w:rFonts w:hint="eastAsia" w:hAnsi="宋体" w:cs="宋体"/>
          <w:color w:val="auto"/>
          <w:highlight w:val="none"/>
          <w:lang w:val="en-US" w:eastAsia="zh-CN"/>
        </w:rPr>
        <w:t>×0.8 mm热镀锌</w:t>
      </w:r>
      <w:r>
        <w:rPr>
          <w:rFonts w:hint="eastAsia"/>
          <w:color w:val="auto"/>
          <w:highlight w:val="none"/>
          <w:lang w:val="en-US" w:eastAsia="zh-CN"/>
        </w:rPr>
        <w:t>钢绞线串联形成纵线。在三根纵线上按间距1.0 m安装宽度3.0 cm</w:t>
      </w:r>
      <w:r>
        <w:rPr>
          <w:rFonts w:hint="eastAsia" w:ascii="Times New Roman" w:cs="Times New Roman"/>
          <w:color w:val="auto"/>
          <w:highlight w:val="none"/>
          <w:lang w:val="en-US" w:eastAsia="zh-CN"/>
        </w:rPr>
        <w:t>～</w:t>
      </w:r>
      <w:r>
        <w:rPr>
          <w:rFonts w:hint="eastAsia"/>
          <w:color w:val="auto"/>
          <w:highlight w:val="none"/>
          <w:lang w:val="en-US" w:eastAsia="zh-CN"/>
        </w:rPr>
        <w:t>4.0 cm竹片，形成拱。</w:t>
      </w:r>
    </w:p>
    <w:p>
      <w:pPr>
        <w:pStyle w:val="240"/>
        <w:numPr>
          <w:ilvl w:val="3"/>
          <w:numId w:val="32"/>
        </w:numPr>
        <w:ind w:left="0" w:leftChars="0" w:firstLine="0" w:firstLineChars="0"/>
        <w:rPr>
          <w:rFonts w:hint="eastAsia" w:hAnsi="宋体" w:cs="宋体"/>
          <w:color w:val="auto"/>
          <w:highlight w:val="none"/>
          <w:lang w:val="en-US" w:eastAsia="zh-CN"/>
        </w:rPr>
      </w:pPr>
      <w:r>
        <w:rPr>
          <w:rFonts w:hint="eastAsia" w:hAnsi="宋体" w:cs="宋体"/>
          <w:color w:val="auto"/>
          <w:highlight w:val="none"/>
          <w:lang w:val="en-US" w:eastAsia="zh-CN"/>
        </w:rPr>
        <w:t>薄膜</w:t>
      </w:r>
    </w:p>
    <w:p>
      <w:pPr>
        <w:pStyle w:val="240"/>
        <w:numPr>
          <w:ilvl w:val="0"/>
          <w:numId w:val="0"/>
        </w:numPr>
        <w:ind w:leftChars="0"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拱上覆盖厚度≥0.08 mm的</w:t>
      </w:r>
      <w:r>
        <w:rPr>
          <w:rFonts w:hint="eastAsia" w:ascii="宋体" w:hAnsi="宋体" w:eastAsia="宋体" w:cs="宋体"/>
          <w:color w:val="auto"/>
          <w:highlight w:val="none"/>
          <w:lang w:val="en-US" w:eastAsia="zh-CN"/>
        </w:rPr>
        <w:t>无滴膜</w:t>
      </w:r>
      <w:r>
        <w:rPr>
          <w:rFonts w:hint="eastAsia" w:hAnsi="宋体" w:cs="宋体"/>
          <w:color w:val="auto"/>
          <w:highlight w:val="none"/>
          <w:lang w:val="en-US" w:eastAsia="zh-CN"/>
        </w:rPr>
        <w:t>，膜在横梁两边的纵线上卷紧后每隔20 cm用竹木夹子夹紧，再用压膜线固定，减轻风害。</w:t>
      </w:r>
    </w:p>
    <w:p>
      <w:pPr>
        <w:pStyle w:val="242"/>
        <w:spacing w:before="156" w:after="156"/>
        <w:outlineLvl w:val="1"/>
        <w:rPr>
          <w:rFonts w:hint="eastAsia"/>
          <w:color w:val="auto"/>
          <w:highlight w:val="none"/>
          <w:lang w:val="en-US" w:eastAsia="zh-CN"/>
        </w:rPr>
      </w:pPr>
      <w:bookmarkStart w:id="55" w:name="_Toc22389"/>
      <w:bookmarkStart w:id="56" w:name="_Toc8887"/>
      <w:r>
        <w:rPr>
          <w:rFonts w:hint="eastAsia"/>
          <w:color w:val="auto"/>
          <w:highlight w:val="none"/>
          <w:lang w:val="en-US" w:eastAsia="zh-CN"/>
        </w:rPr>
        <w:t>简易钢架连栋拱棚</w:t>
      </w:r>
      <w:bookmarkEnd w:id="55"/>
      <w:bookmarkEnd w:id="56"/>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结构参数</w:t>
      </w:r>
    </w:p>
    <w:p>
      <w:pPr>
        <w:pStyle w:val="240"/>
        <w:keepNext w:val="0"/>
        <w:keepLines w:val="0"/>
        <w:pageBreakBefore w:val="0"/>
        <w:widowControl/>
        <w:numPr>
          <w:ilvl w:val="0"/>
          <w:numId w:val="0"/>
        </w:numPr>
        <w:kinsoku/>
        <w:wordWrap/>
        <w:overflowPunct/>
        <w:topLinePunct w:val="0"/>
        <w:autoSpaceDE w:val="0"/>
        <w:autoSpaceDN w:val="0"/>
        <w:bidi w:val="0"/>
        <w:adjustRightInd/>
        <w:snapToGrid/>
        <w:spacing w:before="157" w:beforeLines="50" w:after="157" w:afterLines="50"/>
        <w:ind w:firstLine="420" w:firstLineChars="200"/>
        <w:textAlignment w:val="auto"/>
        <w:rPr>
          <w:rFonts w:hint="default"/>
          <w:color w:val="auto"/>
          <w:highlight w:val="none"/>
          <w:lang w:val="en-US" w:eastAsia="zh-CN"/>
        </w:rPr>
      </w:pPr>
      <w:r>
        <w:rPr>
          <w:rFonts w:hint="eastAsia"/>
          <w:color w:val="auto"/>
          <w:highlight w:val="none"/>
          <w:lang w:val="en-US" w:eastAsia="zh-CN"/>
        </w:rPr>
        <w:t>顶高4 m</w:t>
      </w:r>
      <w:r>
        <w:rPr>
          <w:rFonts w:hint="eastAsia" w:ascii="Times New Roman" w:cs="Times New Roman"/>
          <w:color w:val="auto"/>
          <w:highlight w:val="none"/>
          <w:lang w:val="en-US" w:eastAsia="zh-CN"/>
        </w:rPr>
        <w:t>～</w:t>
      </w:r>
      <w:r>
        <w:rPr>
          <w:rFonts w:hint="eastAsia"/>
          <w:color w:val="auto"/>
          <w:highlight w:val="none"/>
          <w:lang w:val="en-US" w:eastAsia="zh-CN"/>
        </w:rPr>
        <w:t>4.5 m、肩高2.5 m</w:t>
      </w:r>
      <w:r>
        <w:rPr>
          <w:rFonts w:hint="eastAsia" w:ascii="Times New Roman" w:cs="Times New Roman"/>
          <w:color w:val="auto"/>
          <w:highlight w:val="none"/>
          <w:lang w:val="en-US" w:eastAsia="zh-CN"/>
        </w:rPr>
        <w:t>～</w:t>
      </w:r>
      <w:r>
        <w:rPr>
          <w:rFonts w:hint="eastAsia"/>
          <w:color w:val="auto"/>
          <w:highlight w:val="none"/>
          <w:lang w:val="en-US" w:eastAsia="zh-CN"/>
        </w:rPr>
        <w:t>3.0 m，</w:t>
      </w:r>
      <w:r>
        <w:rPr>
          <w:rFonts w:hint="eastAsia" w:ascii="宋体" w:hAnsi="宋体" w:eastAsia="宋体" w:cs="宋体"/>
          <w:color w:val="auto"/>
          <w:highlight w:val="none"/>
          <w:lang w:val="en-US" w:eastAsia="zh-CN"/>
        </w:rPr>
        <w:t>每2行为一个单棚</w:t>
      </w:r>
      <w:r>
        <w:rPr>
          <w:rFonts w:hint="eastAsia"/>
          <w:color w:val="auto"/>
          <w:highlight w:val="none"/>
          <w:lang w:val="en-US" w:eastAsia="zh-CN"/>
        </w:rPr>
        <w:t>，</w:t>
      </w:r>
      <w:r>
        <w:rPr>
          <w:rFonts w:hint="eastAsia" w:ascii="宋体" w:hAnsi="宋体" w:eastAsia="宋体" w:cs="宋体"/>
          <w:color w:val="auto"/>
          <w:highlight w:val="none"/>
          <w:lang w:val="en-US" w:eastAsia="zh-CN"/>
        </w:rPr>
        <w:t>考虑稳固性不超过20个单棚相连为一个单元连棚</w:t>
      </w:r>
      <w:r>
        <w:rPr>
          <w:rFonts w:hint="eastAsia" w:hAnsi="宋体" w:cs="宋体"/>
          <w:color w:val="auto"/>
          <w:highlight w:val="none"/>
          <w:lang w:val="en-US" w:eastAsia="zh-CN"/>
        </w:rPr>
        <w:t>，单个棚宽幅6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8 m</w:t>
      </w:r>
      <w:r>
        <w:rPr>
          <w:rFonts w:hint="eastAsia" w:ascii="宋体" w:hAnsi="宋体" w:eastAsia="宋体" w:cs="宋体"/>
          <w:color w:val="auto"/>
          <w:highlight w:val="none"/>
          <w:lang w:val="en-US" w:eastAsia="zh-CN"/>
        </w:rPr>
        <w:t>。</w:t>
      </w:r>
      <w:r>
        <w:rPr>
          <w:rFonts w:hint="eastAsia"/>
          <w:color w:val="auto"/>
          <w:highlight w:val="none"/>
          <w:lang w:val="en-US" w:eastAsia="zh-CN"/>
        </w:rPr>
        <w:t>抗风荷载：0.20 KN/M</w:t>
      </w:r>
      <w:r>
        <w:rPr>
          <w:rFonts w:hint="eastAsia"/>
          <w:color w:val="auto"/>
          <w:highlight w:val="none"/>
          <w:vertAlign w:val="superscript"/>
          <w:lang w:val="en-US" w:eastAsia="zh-CN"/>
        </w:rPr>
        <w:t>2</w:t>
      </w:r>
      <w:r>
        <w:rPr>
          <w:rFonts w:hint="eastAsia"/>
          <w:color w:val="auto"/>
          <w:highlight w:val="none"/>
          <w:lang w:val="en-US" w:eastAsia="zh-CN"/>
        </w:rPr>
        <w:t>，雪荷载：0.20 KN/M</w:t>
      </w:r>
      <w:r>
        <w:rPr>
          <w:rFonts w:hint="eastAsia"/>
          <w:color w:val="auto"/>
          <w:highlight w:val="none"/>
          <w:vertAlign w:val="superscript"/>
          <w:lang w:val="en-US" w:eastAsia="zh-CN"/>
        </w:rPr>
        <w:t>2</w:t>
      </w:r>
      <w:r>
        <w:rPr>
          <w:rFonts w:hint="eastAsia"/>
          <w:color w:val="auto"/>
          <w:highlight w:val="none"/>
          <w:vertAlign w:val="baseline"/>
          <w:lang w:val="en-US" w:eastAsia="zh-CN"/>
        </w:rPr>
        <w:t>，</w:t>
      </w:r>
      <w:r>
        <w:rPr>
          <w:rFonts w:hint="eastAsia"/>
          <w:color w:val="auto"/>
          <w:highlight w:val="none"/>
          <w:lang w:val="en-US" w:eastAsia="zh-CN"/>
        </w:rPr>
        <w:t>骨架使用寿命≥15 a。棚架结构见附录图A.2。</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材料参数</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主立柱</w:t>
      </w:r>
    </w:p>
    <w:p>
      <w:pPr>
        <w:pStyle w:val="240"/>
        <w:numPr>
          <w:ilvl w:val="0"/>
          <w:numId w:val="0"/>
        </w:numPr>
        <w:ind w:firstLine="420" w:firstLineChars="20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主立柱为φ32×2 mm或φ48×1.5 mm热镀锌钢管,每跨内部至少2根立柱，纵向间距4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5 m，与猕猴桃株距一致，每个主立柱底部做泥土地基。</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横梁、拱杆和檩条</w:t>
      </w:r>
    </w:p>
    <w:p>
      <w:pPr>
        <w:pStyle w:val="240"/>
        <w:numPr>
          <w:ilvl w:val="0"/>
          <w:numId w:val="0"/>
        </w:numPr>
        <w:ind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横梁采用φ32×1.5 mm或φ40×1.5 mm热镀锌钢管,横向串联每根主立柱。拱杆采用φ36×24×1.5 mm或φ47×27×1.5 mm椭圆热镀锌钢管，纵向间距为1 m或1.333 m，棚最左右侧需要拱杆整体到地面。檩条采用φ20×1.5 mm或φ25×1.5 mm热镀锌钢管，安装在每棚顶高处和接水槽处，串联所有拱杆。</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接水槽</w:t>
      </w:r>
    </w:p>
    <w:p>
      <w:pPr>
        <w:pStyle w:val="240"/>
        <w:numPr>
          <w:ilvl w:val="0"/>
          <w:numId w:val="0"/>
        </w:numPr>
        <w:ind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接水槽为410×1.5 mm自带卡槽一体化冷轧水槽，每根长度为3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6 m，可根据立柱纵向间距修改，最两侧不需要水槽，采用拱杆直接到地面的方式。</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薄膜</w:t>
      </w:r>
    </w:p>
    <w:p>
      <w:pPr>
        <w:pStyle w:val="240"/>
        <w:numPr>
          <w:ilvl w:val="0"/>
          <w:numId w:val="0"/>
        </w:numPr>
        <w:ind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拱上及两侧横梁以上部分覆盖厚度≥0.12 mm的</w:t>
      </w:r>
      <w:r>
        <w:rPr>
          <w:rFonts w:hint="eastAsia" w:ascii="宋体" w:hAnsi="宋体" w:eastAsia="宋体" w:cs="宋体"/>
          <w:color w:val="auto"/>
          <w:highlight w:val="none"/>
          <w:lang w:val="en-US" w:eastAsia="zh-CN"/>
        </w:rPr>
        <w:t>无滴膜</w:t>
      </w:r>
      <w:r>
        <w:rPr>
          <w:rFonts w:hint="eastAsia" w:hAnsi="宋体" w:cs="宋体"/>
          <w:color w:val="auto"/>
          <w:highlight w:val="none"/>
          <w:lang w:val="en-US" w:eastAsia="zh-CN"/>
        </w:rPr>
        <w:t>，使用寿命≥5 a。</w:t>
      </w:r>
    </w:p>
    <w:p>
      <w:pPr>
        <w:pStyle w:val="242"/>
        <w:spacing w:before="156" w:after="156"/>
        <w:outlineLvl w:val="1"/>
        <w:rPr>
          <w:rFonts w:hint="eastAsia"/>
          <w:color w:val="auto"/>
          <w:highlight w:val="none"/>
          <w:lang w:val="en-US" w:eastAsia="zh-CN"/>
        </w:rPr>
      </w:pPr>
      <w:bookmarkStart w:id="57" w:name="_Toc28972"/>
      <w:bookmarkStart w:id="58" w:name="_Toc4313"/>
      <w:r>
        <w:rPr>
          <w:rFonts w:hint="eastAsia"/>
          <w:color w:val="auto"/>
          <w:highlight w:val="none"/>
          <w:lang w:val="en-US" w:eastAsia="zh-CN"/>
        </w:rPr>
        <w:t>高标准钢架连栋拱棚</w:t>
      </w:r>
      <w:bookmarkEnd w:id="57"/>
      <w:bookmarkEnd w:id="58"/>
    </w:p>
    <w:p>
      <w:pPr>
        <w:pStyle w:val="240"/>
        <w:numPr>
          <w:ilvl w:val="2"/>
          <w:numId w:val="32"/>
        </w:numPr>
        <w:ind w:left="0" w:leftChars="0" w:firstLine="0" w:firstLineChars="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结构参数</w:t>
      </w:r>
    </w:p>
    <w:p>
      <w:pPr>
        <w:pStyle w:val="240"/>
        <w:numPr>
          <w:ilvl w:val="0"/>
          <w:numId w:val="0"/>
        </w:numPr>
        <w:ind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顶高5 m～6 m、肩高3.5 m～4.5 m，单棚跨度6.0 m～8.0 m，考虑稳固性不超过15个单棚相连为一个单元连棚。抗风荷载：0.30 KN/M</w:t>
      </w:r>
      <w:r>
        <w:rPr>
          <w:rFonts w:hint="eastAsia" w:hAnsi="宋体" w:cs="宋体"/>
          <w:color w:val="auto"/>
          <w:highlight w:val="none"/>
          <w:vertAlign w:val="superscript"/>
          <w:lang w:val="en-US" w:eastAsia="zh-CN"/>
        </w:rPr>
        <w:t>2</w:t>
      </w:r>
      <w:r>
        <w:rPr>
          <w:rFonts w:hint="eastAsia" w:hAnsi="宋体" w:cs="宋体"/>
          <w:color w:val="auto"/>
          <w:highlight w:val="none"/>
          <w:lang w:val="en-US" w:eastAsia="zh-CN"/>
        </w:rPr>
        <w:t>，雪荷载：0.20 KN/M</w:t>
      </w:r>
      <w:r>
        <w:rPr>
          <w:rFonts w:hint="eastAsia" w:hAnsi="宋体" w:cs="宋体"/>
          <w:color w:val="auto"/>
          <w:highlight w:val="none"/>
          <w:vertAlign w:val="superscript"/>
          <w:lang w:val="en-US" w:eastAsia="zh-CN"/>
        </w:rPr>
        <w:t>2</w:t>
      </w:r>
      <w:r>
        <w:rPr>
          <w:rFonts w:hint="eastAsia" w:hAnsi="宋体" w:cs="宋体"/>
          <w:color w:val="auto"/>
          <w:highlight w:val="none"/>
          <w:lang w:val="en-US" w:eastAsia="zh-CN"/>
        </w:rPr>
        <w:t>，骨架使用寿命≥15 a。可实现全开式卷膜和藤蔓牵引一体化。棚架结构见附录图A.3。</w:t>
      </w:r>
    </w:p>
    <w:p>
      <w:pPr>
        <w:pStyle w:val="240"/>
        <w:numPr>
          <w:ilvl w:val="2"/>
          <w:numId w:val="32"/>
        </w:numPr>
        <w:ind w:left="0" w:leftChars="0" w:firstLine="0" w:firstLineChars="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材料参数</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主立柱、檩条和地基</w:t>
      </w:r>
    </w:p>
    <w:p>
      <w:pPr>
        <w:pStyle w:val="240"/>
        <w:numPr>
          <w:ilvl w:val="0"/>
          <w:numId w:val="0"/>
        </w:numPr>
        <w:ind w:firstLine="420" w:firstLineChars="20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主立柱为口80×40×（2～2.5） mm热镀锌钢管,立柱间距为3～4 m。顶部中间檩条采用几字卡槽，两侧采用φ32×1.5 mm或φ25×1.5m m热镀锌钢管。前后端面每跨需要增加3组地桩来拉住顶部钢绳，所有前后端左右侧立柱必须在插地后采用混泥土做地基。</w:t>
      </w:r>
    </w:p>
    <w:p>
      <w:pPr>
        <w:pStyle w:val="240"/>
        <w:numPr>
          <w:ilvl w:val="3"/>
          <w:numId w:val="32"/>
        </w:numPr>
        <w:ind w:left="0" w:leftChars="0" w:firstLine="0" w:firstLineChars="0"/>
        <w:rPr>
          <w:rFonts w:hint="eastAsia" w:ascii="宋体" w:hAnsi="宋体" w:eastAsia="宋体" w:cs="宋体"/>
          <w:color w:val="auto"/>
          <w:highlight w:val="none"/>
          <w:lang w:val="en-US" w:eastAsia="zh-CN"/>
        </w:rPr>
      </w:pPr>
      <w:r>
        <w:rPr>
          <w:rFonts w:hint="eastAsia" w:hAnsi="宋体" w:cs="宋体"/>
          <w:color w:val="auto"/>
          <w:highlight w:val="none"/>
          <w:lang w:val="en-US" w:eastAsia="zh-CN"/>
        </w:rPr>
        <w:t>拱杆、横梁和拉线</w:t>
      </w:r>
    </w:p>
    <w:p>
      <w:pPr>
        <w:pStyle w:val="240"/>
        <w:numPr>
          <w:ilvl w:val="0"/>
          <w:numId w:val="0"/>
        </w:numPr>
        <w:ind w:firstLine="420" w:firstLineChars="20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3～4 m间距主拱杆采用φ58×28×1.5 mm热镀锌钢管，中间次拱杆采用φ28×20×1.5 mm热镀锌钢管，间距为1 m或1.33 m。下横梁采用φ40×2 mm或φ48×2 mm热镀锌钢管，上横梁采用4.2涂塑钢绳，两头斜拉至地面地基处。</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薄膜</w:t>
      </w:r>
    </w:p>
    <w:p>
      <w:pPr>
        <w:pStyle w:val="240"/>
        <w:numPr>
          <w:ilvl w:val="0"/>
          <w:numId w:val="0"/>
        </w:numPr>
        <w:ind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选用厚度≥0.12 mm的</w:t>
      </w:r>
      <w:r>
        <w:rPr>
          <w:rFonts w:hint="eastAsia" w:ascii="宋体" w:hAnsi="宋体" w:eastAsia="宋体" w:cs="宋体"/>
          <w:color w:val="auto"/>
          <w:highlight w:val="none"/>
          <w:lang w:val="en-US" w:eastAsia="zh-CN"/>
        </w:rPr>
        <w:t>无滴膜</w:t>
      </w:r>
      <w:r>
        <w:rPr>
          <w:rFonts w:hint="eastAsia" w:hAnsi="宋体" w:cs="宋体"/>
          <w:color w:val="auto"/>
          <w:highlight w:val="none"/>
          <w:lang w:val="en-US" w:eastAsia="zh-CN"/>
        </w:rPr>
        <w:t>，采用φ36×1.2 mm或φ51×1.2 mm卡槽一体化卷膜管实现全开窗，两头采用电动卷膜器+绳索杆，长度超过80 m需要打断为2节。顶部需要在每个立柱间距长度增加压膜绳，顶部开窗处采用几字卡槽既可以作为檩条也可以卡膜。</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可升降牵引绳</w:t>
      </w:r>
    </w:p>
    <w:p>
      <w:pPr>
        <w:pStyle w:val="240"/>
        <w:numPr>
          <w:ilvl w:val="0"/>
          <w:numId w:val="0"/>
        </w:numPr>
        <w:ind w:leftChars="0"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两侧及中间采用8</w:t>
      </w:r>
      <w:r>
        <w:rPr>
          <w:rFonts w:hint="eastAsia" w:hAnsi="宋体" w:cs="宋体"/>
          <w:color w:val="auto"/>
          <w:highlight w:val="none"/>
          <w:vertAlign w:val="superscript"/>
          <w:lang w:val="en-US" w:eastAsia="zh-CN"/>
        </w:rPr>
        <w:t>#</w:t>
      </w:r>
      <w:r>
        <w:rPr>
          <w:rFonts w:hint="eastAsia" w:hAnsi="宋体" w:cs="宋体"/>
          <w:color w:val="auto"/>
          <w:highlight w:val="none"/>
          <w:lang w:val="en-US" w:eastAsia="zh-CN"/>
        </w:rPr>
        <w:t>钢丝绳连接固定拱杆及横梁，中间运动钢绳采用钢绞拉珠钢绳与涂塑钢绳配套使用，使用专用固膜滑环固定薄膜，桥接薄膜与钢绳，使其来回运动。</w:t>
      </w:r>
    </w:p>
    <w:p>
      <w:pPr>
        <w:pStyle w:val="242"/>
        <w:spacing w:before="156" w:after="156"/>
        <w:outlineLvl w:val="1"/>
        <w:rPr>
          <w:rFonts w:hint="eastAsia"/>
          <w:color w:val="auto"/>
          <w:highlight w:val="none"/>
          <w:lang w:val="en-US" w:eastAsia="zh-CN"/>
        </w:rPr>
      </w:pPr>
      <w:bookmarkStart w:id="59" w:name="_Toc21335"/>
      <w:bookmarkStart w:id="60" w:name="_Toc8276"/>
      <w:r>
        <w:rPr>
          <w:rFonts w:hint="eastAsia"/>
          <w:color w:val="auto"/>
          <w:highlight w:val="none"/>
          <w:lang w:val="en-US" w:eastAsia="zh-CN"/>
        </w:rPr>
        <w:t>全开式屋脊钢架棚</w:t>
      </w:r>
      <w:bookmarkEnd w:id="59"/>
      <w:bookmarkEnd w:id="60"/>
    </w:p>
    <w:p>
      <w:pPr>
        <w:pStyle w:val="240"/>
        <w:numPr>
          <w:ilvl w:val="2"/>
          <w:numId w:val="32"/>
        </w:numPr>
        <w:ind w:left="0" w:leftChars="0" w:firstLine="0" w:firstLineChars="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结构参数</w:t>
      </w:r>
    </w:p>
    <w:p>
      <w:pPr>
        <w:pStyle w:val="240"/>
        <w:keepNext w:val="0"/>
        <w:keepLines w:val="0"/>
        <w:pageBreakBefore w:val="0"/>
        <w:widowControl/>
        <w:numPr>
          <w:ilvl w:val="0"/>
          <w:numId w:val="0"/>
        </w:numPr>
        <w:kinsoku/>
        <w:wordWrap/>
        <w:overflowPunct/>
        <w:topLinePunct w:val="0"/>
        <w:autoSpaceDE w:val="0"/>
        <w:autoSpaceDN w:val="0"/>
        <w:bidi w:val="0"/>
        <w:adjustRightInd/>
        <w:snapToGrid/>
        <w:spacing w:before="157" w:beforeLines="50" w:after="157" w:afterLines="50"/>
        <w:ind w:firstLine="420" w:firstLineChars="200"/>
        <w:textAlignment w:val="auto"/>
        <w:rPr>
          <w:rFonts w:hint="eastAsia"/>
          <w:color w:val="auto"/>
          <w:highlight w:val="none"/>
          <w:lang w:val="en-US" w:eastAsia="zh-CN"/>
        </w:rPr>
      </w:pPr>
      <w:r>
        <w:rPr>
          <w:rFonts w:hint="eastAsia"/>
          <w:color w:val="auto"/>
          <w:highlight w:val="none"/>
          <w:lang w:val="en-US" w:eastAsia="zh-CN"/>
        </w:rPr>
        <w:t>顶高4 m</w:t>
      </w:r>
      <w:r>
        <w:rPr>
          <w:rFonts w:hint="eastAsia" w:ascii="Times New Roman" w:cs="Times New Roman"/>
          <w:color w:val="auto"/>
          <w:highlight w:val="none"/>
          <w:lang w:val="en-US" w:eastAsia="zh-CN"/>
        </w:rPr>
        <w:t>～</w:t>
      </w:r>
      <w:r>
        <w:rPr>
          <w:rFonts w:hint="eastAsia"/>
          <w:color w:val="auto"/>
          <w:highlight w:val="none"/>
          <w:lang w:val="en-US" w:eastAsia="zh-CN"/>
        </w:rPr>
        <w:t>4.5 m、肩高3 m</w:t>
      </w:r>
      <w:r>
        <w:rPr>
          <w:rFonts w:hint="eastAsia" w:ascii="Times New Roman" w:cs="Times New Roman"/>
          <w:color w:val="auto"/>
          <w:highlight w:val="none"/>
          <w:lang w:val="en-US" w:eastAsia="zh-CN"/>
        </w:rPr>
        <w:t>～</w:t>
      </w:r>
      <w:r>
        <w:rPr>
          <w:rFonts w:hint="eastAsia"/>
          <w:color w:val="auto"/>
          <w:highlight w:val="none"/>
          <w:lang w:val="en-US" w:eastAsia="zh-CN"/>
        </w:rPr>
        <w:t>3.5 m，</w:t>
      </w:r>
      <w:r>
        <w:rPr>
          <w:rFonts w:hint="eastAsia" w:ascii="宋体" w:hAnsi="宋体" w:eastAsia="宋体" w:cs="宋体"/>
          <w:color w:val="auto"/>
          <w:highlight w:val="none"/>
          <w:lang w:val="en-US" w:eastAsia="zh-CN"/>
        </w:rPr>
        <w:t>单棚</w:t>
      </w:r>
      <w:r>
        <w:rPr>
          <w:rFonts w:hint="eastAsia" w:hAnsi="宋体" w:cs="宋体"/>
          <w:color w:val="auto"/>
          <w:highlight w:val="none"/>
          <w:lang w:val="en-US" w:eastAsia="zh-CN"/>
        </w:rPr>
        <w:t>跨度</w:t>
      </w:r>
      <w:r>
        <w:rPr>
          <w:rFonts w:hint="eastAsia"/>
          <w:color w:val="auto"/>
          <w:highlight w:val="none"/>
          <w:lang w:val="en-US" w:eastAsia="zh-CN"/>
        </w:rPr>
        <w:t>3.0 m</w:t>
      </w:r>
      <w:r>
        <w:rPr>
          <w:rFonts w:hint="eastAsia" w:ascii="Times New Roman" w:cs="Times New Roman"/>
          <w:color w:val="auto"/>
          <w:highlight w:val="none"/>
          <w:lang w:val="en-US" w:eastAsia="zh-CN"/>
        </w:rPr>
        <w:t>～</w:t>
      </w:r>
      <w:r>
        <w:rPr>
          <w:rFonts w:hint="eastAsia"/>
          <w:color w:val="auto"/>
          <w:highlight w:val="none"/>
          <w:lang w:val="en-US" w:eastAsia="zh-CN"/>
        </w:rPr>
        <w:t>4.0 m，单个棚长不超过80 m</w:t>
      </w:r>
      <w:r>
        <w:rPr>
          <w:rFonts w:hint="eastAsia" w:ascii="宋体" w:hAnsi="宋体" w:eastAsia="宋体" w:cs="宋体"/>
          <w:color w:val="auto"/>
          <w:highlight w:val="none"/>
          <w:lang w:val="en-US" w:eastAsia="zh-CN"/>
        </w:rPr>
        <w:t>。</w:t>
      </w:r>
      <w:r>
        <w:rPr>
          <w:rFonts w:hint="eastAsia"/>
          <w:color w:val="auto"/>
          <w:highlight w:val="none"/>
          <w:lang w:val="en-US" w:eastAsia="zh-CN"/>
        </w:rPr>
        <w:t>抗风荷载：0.20 KN/M</w:t>
      </w:r>
      <w:r>
        <w:rPr>
          <w:rFonts w:hint="eastAsia"/>
          <w:color w:val="auto"/>
          <w:highlight w:val="none"/>
          <w:vertAlign w:val="superscript"/>
          <w:lang w:val="en-US" w:eastAsia="zh-CN"/>
        </w:rPr>
        <w:t>2</w:t>
      </w:r>
      <w:r>
        <w:rPr>
          <w:rFonts w:hint="eastAsia"/>
          <w:color w:val="auto"/>
          <w:highlight w:val="none"/>
          <w:lang w:val="en-US" w:eastAsia="zh-CN"/>
        </w:rPr>
        <w:t>，雪荷载：0.20 KN/M</w:t>
      </w:r>
      <w:r>
        <w:rPr>
          <w:rFonts w:hint="eastAsia"/>
          <w:color w:val="auto"/>
          <w:highlight w:val="none"/>
          <w:vertAlign w:val="superscript"/>
          <w:lang w:val="en-US" w:eastAsia="zh-CN"/>
        </w:rPr>
        <w:t>2</w:t>
      </w:r>
      <w:r>
        <w:rPr>
          <w:rFonts w:hint="eastAsia"/>
          <w:color w:val="auto"/>
          <w:highlight w:val="none"/>
          <w:vertAlign w:val="baseline"/>
          <w:lang w:val="en-US" w:eastAsia="zh-CN"/>
        </w:rPr>
        <w:t>，</w:t>
      </w:r>
      <w:r>
        <w:rPr>
          <w:rFonts w:hint="eastAsia"/>
          <w:color w:val="auto"/>
          <w:highlight w:val="none"/>
          <w:lang w:val="en-US" w:eastAsia="zh-CN"/>
        </w:rPr>
        <w:t>骨架使用寿命≥15 a。链纵向复膜收缩式棚架结构见附录图A.4.1，全钢架横向卷膜式棚架结构见附录图A.4.2。</w:t>
      </w:r>
    </w:p>
    <w:p>
      <w:pPr>
        <w:pStyle w:val="240"/>
        <w:numPr>
          <w:ilvl w:val="2"/>
          <w:numId w:val="32"/>
        </w:numPr>
        <w:ind w:left="0" w:leftChars="0" w:firstLine="0" w:firstLineChars="0"/>
        <w:rPr>
          <w:rFonts w:hint="default" w:ascii="宋体" w:hAnsi="宋体" w:eastAsia="宋体" w:cs="宋体"/>
          <w:color w:val="auto"/>
          <w:highlight w:val="none"/>
          <w:lang w:val="en-US" w:eastAsia="zh-CN"/>
        </w:rPr>
      </w:pPr>
      <w:r>
        <w:rPr>
          <w:rFonts w:hint="eastAsia" w:hAnsi="宋体" w:cs="宋体"/>
          <w:color w:val="auto"/>
          <w:highlight w:val="none"/>
          <w:lang w:val="en-US" w:eastAsia="zh-CN"/>
        </w:rPr>
        <w:t>材料参数</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夯链纵向复膜收缩式</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主立柱：端面立柱和斜撑均采用φ60×3 mm或φ48×3 mm热镀锌钢管，中间立柱采用φ60×2 mm或φ48×2 mm热镀锌钢管，立柱间距为4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5 m，前后端采用φ25×1.5 mm热镀锌钢管做内平撑和内斜撑，与端立柱形成三角形支撑结构。</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横管和拱杆：横管采用φ32×1.5 mm或φ25×1.5 mm热镀锌钢管，横管间距与立柱间距相同。拱杆采用S1方卡槽或口50×30×1.5一体化矩管带卡槽，拱杆与拱杆中间预留0.2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0.5 m作为通风带。</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棚膜及</w:t>
      </w:r>
      <w:r>
        <w:rPr>
          <w:rFonts w:hint="eastAsia"/>
          <w:color w:val="auto"/>
          <w:highlight w:val="none"/>
          <w:lang w:val="en-US" w:eastAsia="zh-CN"/>
        </w:rPr>
        <w:t>夯链纵向复膜传动系统</w:t>
      </w:r>
      <w:bookmarkStart w:id="61" w:name="_Toc18306"/>
      <w:bookmarkStart w:id="62" w:name="_Toc12425"/>
      <w:bookmarkStart w:id="63" w:name="_Toc74747622"/>
      <w:bookmarkStart w:id="64" w:name="_Toc10148"/>
      <w:r>
        <w:rPr>
          <w:rFonts w:hint="eastAsia"/>
          <w:color w:val="auto"/>
          <w:highlight w:val="none"/>
          <w:lang w:val="en-US" w:eastAsia="zh-CN"/>
        </w:rPr>
        <w:t>：</w:t>
      </w:r>
      <w:r>
        <w:rPr>
          <w:rFonts w:hint="eastAsia" w:hAnsi="宋体" w:cs="宋体"/>
          <w:color w:val="auto"/>
          <w:highlight w:val="none"/>
          <w:lang w:val="en-US" w:eastAsia="zh-CN"/>
        </w:rPr>
        <w:t>棚膜采用定制编织膜，两侧及中间采用8</w:t>
      </w:r>
      <w:r>
        <w:rPr>
          <w:rFonts w:hint="eastAsia" w:hAnsi="宋体" w:cs="宋体"/>
          <w:color w:val="auto"/>
          <w:highlight w:val="none"/>
          <w:vertAlign w:val="superscript"/>
          <w:lang w:val="en-US" w:eastAsia="zh-CN"/>
        </w:rPr>
        <w:t>#</w:t>
      </w:r>
      <w:r>
        <w:rPr>
          <w:rFonts w:hint="eastAsia" w:hAnsi="宋体" w:cs="宋体"/>
          <w:color w:val="auto"/>
          <w:highlight w:val="none"/>
          <w:lang w:val="en-US" w:eastAsia="zh-CN"/>
        </w:rPr>
        <w:t>钢丝绳连接固定拱杆及横梁，中间运动钢绳采用钢绞拉珠钢绳与涂塑钢绳配套使用，使用专用固膜滑环固定薄膜，桥接薄膜与钢绳，使其来回运动。</w:t>
      </w:r>
    </w:p>
    <w:p>
      <w:pPr>
        <w:pStyle w:val="240"/>
        <w:numPr>
          <w:ilvl w:val="3"/>
          <w:numId w:val="32"/>
        </w:numPr>
        <w:ind w:left="0" w:leftChars="0" w:firstLine="0" w:firstLineChars="0"/>
        <w:rPr>
          <w:rFonts w:hint="default" w:hAnsi="宋体" w:cs="宋体"/>
          <w:color w:val="auto"/>
          <w:highlight w:val="none"/>
          <w:lang w:val="en-US" w:eastAsia="zh-CN"/>
        </w:rPr>
      </w:pPr>
      <w:r>
        <w:rPr>
          <w:rFonts w:hint="eastAsia" w:hAnsi="宋体" w:cs="宋体"/>
          <w:color w:val="auto"/>
          <w:highlight w:val="none"/>
          <w:lang w:val="en-US" w:eastAsia="zh-CN"/>
        </w:rPr>
        <w:t>全钢架横向卷膜式</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主立柱：端面立柱和斜撑均采用φ60×3 mm或φ48×3 mm热镀锌钢管，中间立柱采用φ60×2 mm或φ48×2 mm热镀锌钢管，立柱间距为4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5 m。</w:t>
      </w:r>
    </w:p>
    <w:p>
      <w:pPr>
        <w:pStyle w:val="240"/>
        <w:numPr>
          <w:ilvl w:val="0"/>
          <w:numId w:val="0"/>
        </w:numPr>
        <w:ind w:leftChars="0" w:firstLine="420" w:firstLineChars="200"/>
        <w:rPr>
          <w:rFonts w:hint="eastAsia" w:hAnsi="宋体" w:cs="宋体"/>
          <w:color w:val="auto"/>
          <w:highlight w:val="none"/>
          <w:lang w:val="en-US" w:eastAsia="zh-CN"/>
        </w:rPr>
      </w:pPr>
      <w:r>
        <w:rPr>
          <w:rFonts w:hint="eastAsia" w:hAnsi="宋体" w:cs="宋体"/>
          <w:color w:val="auto"/>
          <w:highlight w:val="none"/>
          <w:lang w:val="en-US" w:eastAsia="zh-CN"/>
        </w:rPr>
        <w:t>一体化水槽、一体化顶梁、横管和拱杆：水槽和顶梁均采用330×1.2 mm一体化镀锌板，横管采用φ32×1.5 mm或φ25×1.5 mm热镀锌钢管，横管间距与立柱间距相同。拱杆采用φ25×1.5 mm热镀锌钢管，在拱杆与拱杆之间增加托幕线间距1.0 m</w:t>
      </w:r>
      <w:r>
        <w:rPr>
          <w:rFonts w:hint="eastAsia" w:ascii="宋体" w:hAnsi="宋体" w:eastAsia="宋体" w:cs="宋体"/>
          <w:color w:val="auto"/>
          <w:highlight w:val="none"/>
          <w:lang w:val="en-US" w:eastAsia="zh-CN"/>
        </w:rPr>
        <w:t>～</w:t>
      </w:r>
      <w:r>
        <w:rPr>
          <w:rFonts w:hint="eastAsia" w:hAnsi="宋体" w:cs="宋体"/>
          <w:color w:val="auto"/>
          <w:highlight w:val="none"/>
          <w:lang w:val="en-US" w:eastAsia="zh-CN"/>
        </w:rPr>
        <w:t>1.33 m。</w:t>
      </w:r>
    </w:p>
    <w:p>
      <w:pPr>
        <w:pStyle w:val="240"/>
        <w:numPr>
          <w:ilvl w:val="0"/>
          <w:numId w:val="0"/>
        </w:numPr>
        <w:ind w:leftChars="0" w:firstLine="420" w:firstLineChars="200"/>
        <w:rPr>
          <w:rFonts w:hint="default" w:hAnsi="宋体" w:cs="宋体"/>
          <w:color w:val="auto"/>
          <w:highlight w:val="none"/>
          <w:lang w:val="en-US" w:eastAsia="zh-CN"/>
        </w:rPr>
      </w:pPr>
      <w:r>
        <w:rPr>
          <w:rFonts w:hint="eastAsia" w:hAnsi="宋体" w:cs="宋体"/>
          <w:color w:val="auto"/>
          <w:highlight w:val="none"/>
          <w:lang w:val="en-US" w:eastAsia="zh-CN"/>
        </w:rPr>
        <w:t>棚膜及卷膜：棚膜采用厚度≥0.12 mm的</w:t>
      </w:r>
      <w:r>
        <w:rPr>
          <w:rFonts w:hint="eastAsia" w:ascii="宋体" w:hAnsi="宋体" w:eastAsia="宋体" w:cs="宋体"/>
          <w:color w:val="auto"/>
          <w:highlight w:val="none"/>
          <w:lang w:val="en-US" w:eastAsia="zh-CN"/>
        </w:rPr>
        <w:t>无滴膜</w:t>
      </w:r>
      <w:r>
        <w:rPr>
          <w:rFonts w:hint="eastAsia" w:hAnsi="宋体" w:cs="宋体"/>
          <w:color w:val="auto"/>
          <w:highlight w:val="none"/>
          <w:lang w:val="en-US" w:eastAsia="zh-CN"/>
        </w:rPr>
        <w:t>，使用寿命≥5 a，采用φ36×1.2 mm或φ51×1.2 mm卡槽一体化卷膜管实现全开窗，两头采用电动卷膜器+伸缩杆。顶部需要在每个立柱间距长度增加压膜绳，顶部开窗处采用几字卡槽即可以作为檩条也可以卡膜。</w:t>
      </w:r>
    </w:p>
    <w:p>
      <w:pPr>
        <w:pStyle w:val="241"/>
        <w:spacing w:before="312" w:after="312"/>
        <w:outlineLvl w:val="0"/>
        <w:rPr>
          <w:rFonts w:hint="eastAsia"/>
          <w:color w:val="auto"/>
          <w:highlight w:val="none"/>
          <w:lang w:val="en-US" w:eastAsia="zh-CN"/>
        </w:rPr>
      </w:pPr>
      <w:r>
        <w:rPr>
          <w:rFonts w:hint="eastAsia"/>
          <w:color w:val="auto"/>
          <w:highlight w:val="none"/>
          <w:lang w:val="en-US" w:eastAsia="zh-CN"/>
        </w:rPr>
        <w:t>周年配套管理</w:t>
      </w:r>
      <w:bookmarkEnd w:id="61"/>
    </w:p>
    <w:bookmarkEnd w:id="62"/>
    <w:p>
      <w:pPr>
        <w:pStyle w:val="242"/>
        <w:spacing w:before="156" w:after="156"/>
        <w:outlineLvl w:val="1"/>
        <w:rPr>
          <w:color w:val="auto"/>
          <w:highlight w:val="none"/>
        </w:rPr>
      </w:pPr>
      <w:bookmarkStart w:id="65" w:name="_Toc18175"/>
      <w:bookmarkStart w:id="66" w:name="_Toc29447"/>
      <w:r>
        <w:rPr>
          <w:rFonts w:hint="eastAsia"/>
          <w:color w:val="auto"/>
          <w:highlight w:val="none"/>
          <w:lang w:val="en-US" w:eastAsia="zh-CN"/>
        </w:rPr>
        <w:t>建棚与盖揭膜时间</w:t>
      </w:r>
      <w:bookmarkEnd w:id="65"/>
      <w:bookmarkEnd w:id="66"/>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建棚时间</w:t>
      </w:r>
    </w:p>
    <w:p>
      <w:pPr>
        <w:pStyle w:val="240"/>
        <w:numPr>
          <w:ilvl w:val="0"/>
          <w:numId w:val="0"/>
        </w:numPr>
        <w:ind w:leftChars="0" w:firstLine="420" w:firstLineChars="200"/>
        <w:rPr>
          <w:rFonts w:hint="eastAsia"/>
          <w:color w:val="auto"/>
          <w:highlight w:val="none"/>
          <w:lang w:val="en-US" w:eastAsia="zh-CN"/>
        </w:rPr>
      </w:pPr>
      <w:r>
        <w:rPr>
          <w:rFonts w:hint="eastAsia"/>
          <w:color w:val="auto"/>
          <w:highlight w:val="none"/>
          <w:lang w:val="en-US" w:eastAsia="zh-CN"/>
        </w:rPr>
        <w:t>以10月底至11月上中旬为宜（秋施基肥后）。</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color w:val="auto"/>
          <w:highlight w:val="none"/>
          <w:lang w:val="en-US" w:eastAsia="zh-CN"/>
        </w:rPr>
      </w:pPr>
      <w:r>
        <w:rPr>
          <w:rFonts w:hint="eastAsia"/>
          <w:color w:val="auto"/>
          <w:highlight w:val="none"/>
          <w:lang w:val="en-US" w:eastAsia="zh-CN"/>
        </w:rPr>
        <w:t>覆膜时间</w:t>
      </w:r>
    </w:p>
    <w:p>
      <w:pPr>
        <w:pStyle w:val="240"/>
        <w:numPr>
          <w:ilvl w:val="0"/>
          <w:numId w:val="0"/>
        </w:numPr>
        <w:ind w:leftChars="0" w:firstLine="420" w:firstLineChars="200"/>
        <w:rPr>
          <w:rFonts w:hint="default"/>
          <w:color w:val="auto"/>
          <w:highlight w:val="none"/>
          <w:lang w:val="en-US" w:eastAsia="zh-CN"/>
        </w:rPr>
      </w:pPr>
      <w:r>
        <w:rPr>
          <w:rFonts w:hint="default"/>
          <w:color w:val="auto"/>
          <w:highlight w:val="none"/>
          <w:lang w:val="en-US" w:eastAsia="zh-CN"/>
        </w:rPr>
        <w:t>11月底前完成</w:t>
      </w:r>
      <w:r>
        <w:rPr>
          <w:rFonts w:hint="eastAsia"/>
          <w:color w:val="auto"/>
          <w:highlight w:val="none"/>
          <w:lang w:val="en-US" w:eastAsia="zh-CN"/>
        </w:rPr>
        <w:t>覆</w:t>
      </w:r>
      <w:r>
        <w:rPr>
          <w:rFonts w:hint="default"/>
          <w:color w:val="auto"/>
          <w:highlight w:val="none"/>
          <w:lang w:val="en-US" w:eastAsia="zh-CN"/>
        </w:rPr>
        <w:t>膜</w:t>
      </w:r>
      <w:r>
        <w:rPr>
          <w:rFonts w:hint="eastAsia"/>
          <w:color w:val="auto"/>
          <w:highlight w:val="none"/>
          <w:lang w:val="en-US" w:eastAsia="zh-CN"/>
        </w:rPr>
        <w:t>，当年溃疡病防治效果最好。</w:t>
      </w:r>
    </w:p>
    <w:p>
      <w:pPr>
        <w:pStyle w:val="240"/>
        <w:keepNext w:val="0"/>
        <w:keepLines w:val="0"/>
        <w:pageBreakBefore w:val="0"/>
        <w:widowControl/>
        <w:numPr>
          <w:ilvl w:val="2"/>
          <w:numId w:val="32"/>
        </w:numPr>
        <w:kinsoku/>
        <w:wordWrap/>
        <w:overflowPunct/>
        <w:topLinePunct w:val="0"/>
        <w:autoSpaceDE w:val="0"/>
        <w:autoSpaceDN w:val="0"/>
        <w:bidi w:val="0"/>
        <w:adjustRightInd/>
        <w:snapToGrid/>
        <w:spacing w:before="157" w:beforeLines="50" w:after="157" w:afterLines="50"/>
        <w:ind w:left="0" w:leftChars="0" w:firstLine="0" w:firstLineChars="0"/>
        <w:textAlignment w:val="auto"/>
        <w:rPr>
          <w:rFonts w:hint="default"/>
          <w:color w:val="auto"/>
          <w:highlight w:val="none"/>
          <w:lang w:val="en-US" w:eastAsia="zh-CN"/>
        </w:rPr>
      </w:pPr>
      <w:r>
        <w:rPr>
          <w:rFonts w:hint="eastAsia"/>
          <w:color w:val="auto"/>
          <w:highlight w:val="none"/>
          <w:lang w:val="en-US" w:eastAsia="zh-CN"/>
        </w:rPr>
        <w:t>揭摸时间</w:t>
      </w:r>
    </w:p>
    <w:p>
      <w:pPr>
        <w:pStyle w:val="240"/>
        <w:keepNext w:val="0"/>
        <w:keepLines w:val="0"/>
        <w:pageBreakBefore w:val="0"/>
        <w:widowControl/>
        <w:numPr>
          <w:ilvl w:val="0"/>
          <w:numId w:val="0"/>
        </w:numPr>
        <w:kinsoku/>
        <w:wordWrap/>
        <w:overflowPunct/>
        <w:topLinePunct w:val="0"/>
        <w:autoSpaceDE w:val="0"/>
        <w:autoSpaceDN w:val="0"/>
        <w:bidi w:val="0"/>
        <w:adjustRightInd/>
        <w:snapToGrid/>
        <w:spacing w:before="157" w:beforeLines="50" w:after="157" w:afterLines="50"/>
        <w:ind w:leftChars="0" w:firstLine="420" w:firstLineChars="200"/>
        <w:textAlignment w:val="auto"/>
        <w:rPr>
          <w:rFonts w:hint="default"/>
          <w:color w:val="auto"/>
          <w:highlight w:val="none"/>
          <w:lang w:val="en-US" w:eastAsia="zh-CN"/>
        </w:rPr>
      </w:pPr>
      <w:r>
        <w:rPr>
          <w:rFonts w:hint="eastAsia"/>
          <w:color w:val="auto"/>
          <w:highlight w:val="none"/>
          <w:lang w:val="en-US" w:eastAsia="zh-CN"/>
        </w:rPr>
        <w:t>棚内树冠上50 cm处空气温度≥35℃时，或夏季土壤过干、pH值偏高需要雨水浇淋时，可</w:t>
      </w:r>
      <w:r>
        <w:rPr>
          <w:rFonts w:hint="default"/>
          <w:color w:val="auto"/>
          <w:highlight w:val="none"/>
          <w:lang w:val="en-US" w:eastAsia="zh-CN"/>
        </w:rPr>
        <w:t>揭膜降温</w:t>
      </w:r>
      <w:r>
        <w:rPr>
          <w:rFonts w:hint="eastAsia"/>
          <w:color w:val="auto"/>
          <w:highlight w:val="none"/>
          <w:lang w:val="en-US" w:eastAsia="zh-CN"/>
        </w:rPr>
        <w:t>和减轻土壤盐渍化</w:t>
      </w:r>
      <w:r>
        <w:rPr>
          <w:rFonts w:hint="default"/>
          <w:color w:val="auto"/>
          <w:highlight w:val="none"/>
          <w:lang w:val="en-US" w:eastAsia="zh-CN"/>
        </w:rPr>
        <w:t>。</w:t>
      </w:r>
      <w:r>
        <w:rPr>
          <w:rFonts w:hint="eastAsia"/>
          <w:color w:val="auto"/>
          <w:highlight w:val="none"/>
          <w:lang w:val="en-US" w:eastAsia="zh-CN"/>
        </w:rPr>
        <w:t>有条件的园区尽量选择安装自动卷膜+屋脊式牵引棚</w:t>
      </w:r>
      <w:r>
        <w:rPr>
          <w:rFonts w:hint="default"/>
          <w:color w:val="auto"/>
          <w:highlight w:val="none"/>
          <w:lang w:val="en-US" w:eastAsia="zh-CN"/>
        </w:rPr>
        <w:t>，</w:t>
      </w:r>
      <w:r>
        <w:rPr>
          <w:rFonts w:hint="eastAsia"/>
          <w:color w:val="auto"/>
          <w:highlight w:val="none"/>
          <w:lang w:val="en-US" w:eastAsia="zh-CN"/>
        </w:rPr>
        <w:t>或在老棚结构上</w:t>
      </w:r>
      <w:r>
        <w:rPr>
          <w:rFonts w:hint="default"/>
          <w:color w:val="auto"/>
          <w:highlight w:val="none"/>
          <w:lang w:val="en-US" w:eastAsia="zh-CN"/>
        </w:rPr>
        <w:t>加</w:t>
      </w:r>
      <w:r>
        <w:rPr>
          <w:rFonts w:hint="eastAsia"/>
          <w:color w:val="auto"/>
          <w:highlight w:val="none"/>
          <w:lang w:val="en-US" w:eastAsia="zh-CN"/>
        </w:rPr>
        <w:t>装</w:t>
      </w:r>
      <w:r>
        <w:rPr>
          <w:rFonts w:hint="default"/>
          <w:color w:val="auto"/>
          <w:highlight w:val="none"/>
          <w:lang w:val="en-US" w:eastAsia="zh-CN"/>
        </w:rPr>
        <w:t>卷膜开窗系统或棚膜自动收缩功能，</w:t>
      </w:r>
      <w:r>
        <w:rPr>
          <w:rFonts w:hint="eastAsia"/>
          <w:color w:val="auto"/>
          <w:highlight w:val="none"/>
          <w:lang w:val="en-US" w:eastAsia="zh-CN"/>
        </w:rPr>
        <w:t>以利于随时调节果园小气候</w:t>
      </w:r>
      <w:r>
        <w:rPr>
          <w:rFonts w:hint="default"/>
          <w:color w:val="auto"/>
          <w:highlight w:val="none"/>
          <w:lang w:val="en-US" w:eastAsia="zh-CN"/>
        </w:rPr>
        <w:t>。</w:t>
      </w:r>
    </w:p>
    <w:bookmarkEnd w:id="63"/>
    <w:bookmarkEnd w:id="64"/>
    <w:p>
      <w:pPr>
        <w:pStyle w:val="242"/>
        <w:spacing w:before="156" w:after="156"/>
        <w:outlineLvl w:val="1"/>
        <w:rPr>
          <w:rFonts w:hint="eastAsia"/>
          <w:color w:val="auto"/>
          <w:highlight w:val="none"/>
          <w:lang w:val="en-US" w:eastAsia="zh-CN"/>
        </w:rPr>
      </w:pPr>
      <w:bookmarkStart w:id="67" w:name="_Toc74747627"/>
      <w:bookmarkStart w:id="68" w:name="_Toc20732"/>
      <w:bookmarkStart w:id="69" w:name="_Toc26486"/>
      <w:bookmarkStart w:id="70" w:name="_Toc11468"/>
      <w:r>
        <w:rPr>
          <w:rFonts w:hint="eastAsia"/>
          <w:color w:val="auto"/>
          <w:highlight w:val="none"/>
          <w:lang w:val="en-US" w:eastAsia="zh-CN"/>
        </w:rPr>
        <w:t>整形修剪</w:t>
      </w:r>
      <w:bookmarkEnd w:id="67"/>
      <w:bookmarkEnd w:id="68"/>
      <w:r>
        <w:rPr>
          <w:rFonts w:hint="eastAsia"/>
          <w:color w:val="auto"/>
          <w:highlight w:val="none"/>
          <w:lang w:val="en-US" w:eastAsia="zh-CN"/>
        </w:rPr>
        <w:t>要求</w:t>
      </w:r>
      <w:bookmarkEnd w:id="69"/>
      <w:bookmarkEnd w:id="70"/>
    </w:p>
    <w:p>
      <w:pPr>
        <w:pStyle w:val="252"/>
        <w:numPr>
          <w:ilvl w:val="2"/>
          <w:numId w:val="32"/>
        </w:numPr>
        <w:tabs>
          <w:tab w:val="clear" w:pos="1260"/>
        </w:tabs>
        <w:spacing w:before="156" w:after="156"/>
        <w:ind w:left="0" w:firstLine="0"/>
        <w:outlineLvl w:val="9"/>
        <w:rPr>
          <w:rFonts w:hint="eastAsia" w:hAnsi="宋体" w:cs="宋体"/>
          <w:color w:val="auto"/>
          <w:highlight w:val="none"/>
          <w:lang w:val="en-US" w:eastAsia="zh-CN"/>
        </w:rPr>
      </w:pPr>
      <w:bookmarkStart w:id="71" w:name="_Toc4638"/>
      <w:bookmarkStart w:id="72" w:name="OLE_LINK3"/>
      <w:r>
        <w:rPr>
          <w:rFonts w:hint="eastAsia" w:hAnsi="黑体" w:cs="黑体"/>
          <w:color w:val="auto"/>
          <w:szCs w:val="20"/>
          <w:highlight w:val="none"/>
          <w:lang w:val="en-US" w:eastAsia="zh-CN"/>
        </w:rPr>
        <w:t>单主干双主蔓八侧枝树</w:t>
      </w:r>
      <w:r>
        <w:rPr>
          <w:rFonts w:hint="eastAsia" w:hAnsi="黑体" w:cs="黑体"/>
          <w:color w:val="auto"/>
          <w:szCs w:val="20"/>
          <w:highlight w:val="none"/>
        </w:rPr>
        <w:t>形</w:t>
      </w:r>
      <w:bookmarkEnd w:id="71"/>
      <w:bookmarkEnd w:id="72"/>
    </w:p>
    <w:p>
      <w:pPr>
        <w:pStyle w:val="240"/>
        <w:ind w:left="0" w:leftChars="0" w:firstLine="420" w:firstLineChars="200"/>
        <w:rPr>
          <w:rFonts w:hint="eastAsia"/>
          <w:color w:val="auto"/>
          <w:highlight w:val="none"/>
          <w:lang w:val="en-US" w:eastAsia="zh-CN"/>
        </w:rPr>
      </w:pPr>
      <w:r>
        <w:rPr>
          <w:rFonts w:hint="eastAsia"/>
          <w:color w:val="auto"/>
          <w:highlight w:val="none"/>
          <w:lang w:val="en-US" w:eastAsia="zh-CN"/>
        </w:rPr>
        <w:t>树形参数：1个直立粗壮主干（嫁接口离地面≥20 cm、愈合良好）、2个强壮平直主蔓（长度≥1/2株距，分杈处粗度≥2/3干粗）、16个左右优良侧枝或结果母枝（长度≥1/2株距，基部粗度1.2</w:t>
      </w:r>
      <w:bookmarkStart w:id="73" w:name="OLE_LINK5"/>
      <w:r>
        <w:rPr>
          <w:rFonts w:hint="eastAsia"/>
          <w:color w:val="auto"/>
          <w:highlight w:val="none"/>
          <w:lang w:val="en-US" w:eastAsia="zh-CN"/>
        </w:rPr>
        <w:t>～</w:t>
      </w:r>
      <w:bookmarkEnd w:id="73"/>
      <w:r>
        <w:rPr>
          <w:rFonts w:hint="eastAsia"/>
          <w:color w:val="auto"/>
          <w:highlight w:val="none"/>
          <w:lang w:val="en-US" w:eastAsia="zh-CN"/>
        </w:rPr>
        <w:t>1.8 cm）。</w:t>
      </w:r>
    </w:p>
    <w:p>
      <w:pPr>
        <w:pStyle w:val="240"/>
        <w:ind w:left="0" w:leftChars="0" w:firstLine="420" w:firstLineChars="200"/>
        <w:rPr>
          <w:rFonts w:hint="eastAsia"/>
          <w:color w:val="auto"/>
          <w:highlight w:val="none"/>
          <w:lang w:val="en-US" w:eastAsia="zh-CN"/>
        </w:rPr>
      </w:pPr>
      <w:r>
        <w:rPr>
          <w:rFonts w:hint="eastAsia"/>
          <w:color w:val="auto"/>
          <w:highlight w:val="none"/>
          <w:lang w:val="en-US" w:eastAsia="zh-CN"/>
        </w:rPr>
        <w:t>适宜果园：株距≥2 m且还未大面积发生溃疡病的红心猕猴桃避雨设施栽培果园。</w:t>
      </w:r>
    </w:p>
    <w:p>
      <w:pPr>
        <w:pStyle w:val="240"/>
        <w:ind w:left="0" w:leftChars="0" w:firstLine="420" w:firstLineChars="200"/>
        <w:rPr>
          <w:rFonts w:hint="eastAsia" w:eastAsia="宋体"/>
          <w:color w:val="auto"/>
          <w:highlight w:val="none"/>
          <w:lang w:val="en-US" w:eastAsia="zh-CN"/>
        </w:rPr>
      </w:pPr>
      <w:r>
        <w:rPr>
          <w:rFonts w:hint="eastAsia" w:hAnsi="宋体" w:cs="宋体"/>
          <w:b w:val="0"/>
          <w:bCs w:val="0"/>
          <w:color w:val="auto"/>
          <w:sz w:val="21"/>
          <w:szCs w:val="21"/>
          <w:highlight w:val="none"/>
          <w:lang w:val="en-US" w:eastAsia="zh-CN"/>
        </w:rPr>
        <w:t>树形具体培养方法参照</w:t>
      </w:r>
      <w:r>
        <w:rPr>
          <w:rFonts w:hint="eastAsia" w:ascii="宋体" w:hAnsi="宋体" w:eastAsia="宋体" w:cs="宋体"/>
          <w:b w:val="0"/>
          <w:bCs w:val="0"/>
          <w:color w:val="auto"/>
          <w:sz w:val="21"/>
          <w:szCs w:val="21"/>
          <w:highlight w:val="none"/>
        </w:rPr>
        <w:t>DB51/T 2096</w:t>
      </w:r>
      <w:r>
        <w:rPr>
          <w:rFonts w:hint="eastAsia" w:hAnsi="宋体" w:cs="宋体"/>
          <w:b w:val="0"/>
          <w:bCs w:val="0"/>
          <w:color w:val="auto"/>
          <w:sz w:val="21"/>
          <w:szCs w:val="21"/>
          <w:highlight w:val="none"/>
          <w:lang w:val="en-US" w:eastAsia="zh-CN"/>
        </w:rPr>
        <w:t>执行。</w:t>
      </w:r>
    </w:p>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单主干无主蔓多侧枝树</w:t>
      </w:r>
      <w:r>
        <w:rPr>
          <w:rFonts w:hint="eastAsia" w:hAnsi="黑体" w:cs="黑体"/>
          <w:color w:val="auto"/>
          <w:szCs w:val="20"/>
          <w:highlight w:val="none"/>
        </w:rPr>
        <w:t>形</w:t>
      </w:r>
    </w:p>
    <w:p>
      <w:pPr>
        <w:pStyle w:val="240"/>
        <w:ind w:left="0" w:leftChars="0" w:firstLine="420" w:firstLineChars="200"/>
        <w:rPr>
          <w:rFonts w:hint="eastAsia"/>
          <w:color w:val="auto"/>
          <w:highlight w:val="none"/>
          <w:lang w:val="en-US" w:eastAsia="zh-CN"/>
        </w:rPr>
      </w:pPr>
      <w:r>
        <w:rPr>
          <w:rFonts w:hint="eastAsia"/>
          <w:color w:val="auto"/>
          <w:highlight w:val="none"/>
          <w:lang w:val="en-US" w:eastAsia="zh-CN"/>
        </w:rPr>
        <w:t>树形参数：1个直立粗壮主干（嫁接口离地面≥20 cm、愈合良好）、无明显主蔓，由主干上直接抽发的8</w:t>
      </w:r>
      <w:bookmarkStart w:id="74" w:name="OLE_LINK6"/>
      <w:r>
        <w:rPr>
          <w:rFonts w:hint="eastAsia"/>
          <w:color w:val="auto"/>
          <w:highlight w:val="none"/>
          <w:lang w:val="en-US" w:eastAsia="zh-CN"/>
        </w:rPr>
        <w:t>～</w:t>
      </w:r>
      <w:bookmarkEnd w:id="74"/>
      <w:r>
        <w:rPr>
          <w:rFonts w:hint="eastAsia"/>
          <w:color w:val="auto"/>
          <w:highlight w:val="none"/>
          <w:lang w:val="en-US" w:eastAsia="zh-CN"/>
        </w:rPr>
        <w:t>12个结果母枝直接上架形成的“伞形”或“扇形”树形结构。</w:t>
      </w:r>
    </w:p>
    <w:p>
      <w:pPr>
        <w:pStyle w:val="240"/>
        <w:ind w:left="0" w:leftChars="0" w:firstLine="420" w:firstLineChars="200"/>
        <w:rPr>
          <w:rFonts w:hint="default"/>
          <w:color w:val="auto"/>
          <w:highlight w:val="none"/>
          <w:lang w:val="en-US" w:eastAsia="zh-CN"/>
        </w:rPr>
      </w:pPr>
      <w:r>
        <w:rPr>
          <w:rFonts w:hint="eastAsia"/>
          <w:color w:val="auto"/>
          <w:highlight w:val="none"/>
          <w:lang w:val="en-US" w:eastAsia="zh-CN"/>
        </w:rPr>
        <w:t>适宜果园：株距≥1.5 m且还未大面积发生溃疡病的红心猕猴桃避雨设施栽培果园。</w:t>
      </w:r>
    </w:p>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多</w:t>
      </w:r>
      <w:r>
        <w:rPr>
          <w:rFonts w:hint="eastAsia" w:hAnsi="黑体" w:cs="黑体"/>
          <w:color w:val="auto"/>
          <w:szCs w:val="20"/>
          <w:highlight w:val="none"/>
        </w:rPr>
        <w:t>主干</w:t>
      </w:r>
      <w:r>
        <w:rPr>
          <w:rFonts w:hint="eastAsia" w:hAnsi="黑体" w:cs="黑体"/>
          <w:color w:val="auto"/>
          <w:szCs w:val="20"/>
          <w:highlight w:val="none"/>
          <w:lang w:val="en-US" w:eastAsia="zh-CN"/>
        </w:rPr>
        <w:t>树</w:t>
      </w:r>
      <w:r>
        <w:rPr>
          <w:rFonts w:hint="eastAsia" w:hAnsi="黑体" w:cs="黑体"/>
          <w:color w:val="auto"/>
          <w:szCs w:val="20"/>
          <w:highlight w:val="none"/>
        </w:rPr>
        <w:t>形</w:t>
      </w:r>
    </w:p>
    <w:p>
      <w:pPr>
        <w:pStyle w:val="240"/>
        <w:rPr>
          <w:rFonts w:hint="eastAsia"/>
          <w:color w:val="auto"/>
          <w:highlight w:val="none"/>
          <w:lang w:val="en-US" w:eastAsia="zh-CN"/>
        </w:rPr>
      </w:pPr>
      <w:r>
        <w:rPr>
          <w:rFonts w:hint="eastAsia"/>
          <w:color w:val="auto"/>
          <w:highlight w:val="none"/>
          <w:lang w:val="en-US" w:eastAsia="zh-CN"/>
        </w:rPr>
        <w:t>树形参数：在嫁接口以上60 cm范围内培养2个以上主蔓直接上架结果或抽发二次枝后结果的树形。</w:t>
      </w:r>
    </w:p>
    <w:p>
      <w:pPr>
        <w:pStyle w:val="240"/>
        <w:rPr>
          <w:rFonts w:hint="eastAsia" w:eastAsia="宋体"/>
          <w:color w:val="auto"/>
          <w:highlight w:val="none"/>
          <w:lang w:val="en-US" w:eastAsia="zh-CN"/>
        </w:rPr>
      </w:pPr>
      <w:r>
        <w:rPr>
          <w:rFonts w:hint="eastAsia"/>
          <w:color w:val="auto"/>
          <w:highlight w:val="none"/>
          <w:lang w:val="en-US" w:eastAsia="zh-CN"/>
        </w:rPr>
        <w:t>适宜果园：已大面积发生溃疡病危害的红心猕猴桃避雨设施栽培果园。可在溃疡病稳定后，采取逐年减少主干数量方式逐步恢复至单主干双主蔓八侧枝树形或</w:t>
      </w:r>
      <w:r>
        <w:rPr>
          <w:rFonts w:hint="eastAsia" w:hAnsi="黑体" w:cs="黑体"/>
          <w:color w:val="auto"/>
          <w:szCs w:val="20"/>
          <w:highlight w:val="none"/>
          <w:lang w:val="en-US" w:eastAsia="zh-CN"/>
        </w:rPr>
        <w:t>单主干无主蔓多侧枝树</w:t>
      </w:r>
      <w:r>
        <w:rPr>
          <w:rFonts w:hint="eastAsia" w:hAnsi="黑体" w:cs="黑体"/>
          <w:color w:val="auto"/>
          <w:szCs w:val="20"/>
          <w:highlight w:val="none"/>
        </w:rPr>
        <w:t>形</w:t>
      </w:r>
      <w:r>
        <w:rPr>
          <w:rFonts w:hint="eastAsia" w:hAnsi="黑体" w:cs="黑体"/>
          <w:color w:val="auto"/>
          <w:szCs w:val="20"/>
          <w:highlight w:val="none"/>
          <w:lang w:eastAsia="zh-CN"/>
        </w:rPr>
        <w:t>。</w:t>
      </w:r>
    </w:p>
    <w:p>
      <w:pPr>
        <w:pStyle w:val="242"/>
        <w:spacing w:before="156" w:after="156"/>
        <w:outlineLvl w:val="1"/>
        <w:rPr>
          <w:rFonts w:hint="eastAsia"/>
          <w:color w:val="auto"/>
          <w:highlight w:val="none"/>
          <w:lang w:val="en-US" w:eastAsia="zh-CN"/>
        </w:rPr>
      </w:pPr>
      <w:bookmarkStart w:id="75" w:name="_Toc24676"/>
      <w:bookmarkStart w:id="76" w:name="_Toc74747631"/>
      <w:bookmarkStart w:id="77" w:name="_Toc9706"/>
      <w:bookmarkStart w:id="78" w:name="_Toc22178"/>
      <w:bookmarkStart w:id="79" w:name="_Toc17708"/>
      <w:bookmarkStart w:id="80" w:name="_Toc31839"/>
      <w:bookmarkStart w:id="81" w:name="_Toc28905"/>
      <w:r>
        <w:rPr>
          <w:rFonts w:hint="eastAsia"/>
          <w:color w:val="auto"/>
          <w:highlight w:val="none"/>
          <w:lang w:val="en-US" w:eastAsia="zh-CN"/>
        </w:rPr>
        <w:t>土肥水管理</w:t>
      </w:r>
      <w:bookmarkEnd w:id="75"/>
      <w:bookmarkEnd w:id="76"/>
      <w:r>
        <w:rPr>
          <w:rFonts w:hint="eastAsia"/>
          <w:color w:val="auto"/>
          <w:highlight w:val="none"/>
          <w:lang w:val="en-US" w:eastAsia="zh-CN"/>
        </w:rPr>
        <w:t>要求</w:t>
      </w:r>
      <w:bookmarkEnd w:id="77"/>
      <w:bookmarkEnd w:id="78"/>
    </w:p>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土壤管理</w:t>
      </w:r>
    </w:p>
    <w:p>
      <w:pPr>
        <w:pStyle w:val="240"/>
        <w:rPr>
          <w:rFonts w:hint="eastAsia"/>
          <w:color w:val="auto"/>
          <w:highlight w:val="none"/>
          <w:lang w:eastAsia="zh-CN"/>
        </w:rPr>
      </w:pPr>
      <w:r>
        <w:rPr>
          <w:rFonts w:hint="eastAsia"/>
          <w:color w:val="auto"/>
          <w:highlight w:val="none"/>
          <w:lang w:val="en-US" w:eastAsia="zh-CN"/>
        </w:rPr>
        <w:t>提倡行间生草、树盘覆盖。草种可选择耐旱性较好的白三叶草、紫花苜蓿等，每年秋施基肥后立即撒播，每亩用种1.5kg左右；树盘覆盖材料可选择</w:t>
      </w:r>
      <w:r>
        <w:rPr>
          <w:rFonts w:hint="eastAsia"/>
          <w:color w:val="auto"/>
          <w:highlight w:val="none"/>
        </w:rPr>
        <w:t>秸秆、松针、药渣、谷壳等</w:t>
      </w:r>
      <w:r>
        <w:rPr>
          <w:rFonts w:hint="eastAsia"/>
          <w:color w:val="auto"/>
          <w:highlight w:val="none"/>
          <w:lang w:eastAsia="zh-CN"/>
        </w:rPr>
        <w:t>，</w:t>
      </w:r>
      <w:r>
        <w:rPr>
          <w:rFonts w:hint="eastAsia"/>
          <w:color w:val="auto"/>
          <w:highlight w:val="none"/>
          <w:lang w:val="en-US" w:eastAsia="zh-CN"/>
        </w:rPr>
        <w:t>覆盖</w:t>
      </w:r>
      <w:r>
        <w:rPr>
          <w:rFonts w:hint="eastAsia"/>
          <w:color w:val="auto"/>
          <w:highlight w:val="none"/>
        </w:rPr>
        <w:t>厚度15</w:t>
      </w:r>
      <w:r>
        <w:rPr>
          <w:rFonts w:hint="eastAsia"/>
          <w:color w:val="auto"/>
          <w:highlight w:val="none"/>
          <w:lang w:val="en-US" w:eastAsia="zh-CN"/>
        </w:rPr>
        <w:t>～</w:t>
      </w:r>
      <w:r>
        <w:rPr>
          <w:rFonts w:hint="eastAsia"/>
          <w:color w:val="auto"/>
          <w:highlight w:val="none"/>
        </w:rPr>
        <w:t>20cm</w:t>
      </w:r>
      <w:r>
        <w:rPr>
          <w:rFonts w:hint="eastAsia"/>
          <w:color w:val="auto"/>
          <w:highlight w:val="none"/>
          <w:lang w:eastAsia="zh-CN"/>
        </w:rPr>
        <w:t>。</w:t>
      </w:r>
    </w:p>
    <w:p>
      <w:pPr>
        <w:pStyle w:val="240"/>
        <w:rPr>
          <w:rFonts w:hint="default"/>
          <w:color w:val="auto"/>
          <w:highlight w:val="none"/>
          <w:lang w:val="en-US" w:eastAsia="zh-CN"/>
        </w:rPr>
      </w:pPr>
      <w:r>
        <w:rPr>
          <w:rFonts w:hint="eastAsia"/>
          <w:color w:val="auto"/>
          <w:highlight w:val="none"/>
          <w:lang w:val="en-US" w:eastAsia="zh-CN"/>
        </w:rPr>
        <w:t>果园套种宜在秋冬季进行，可选择树盘免耕套种秋（冬）马铃薯或行间套种2</w:t>
      </w:r>
      <w:r>
        <w:rPr>
          <w:rFonts w:hint="eastAsia" w:ascii="宋体" w:hAnsi="宋体" w:eastAsia="宋体" w:cs="宋体"/>
          <w:color w:val="auto"/>
          <w:highlight w:val="none"/>
          <w:lang w:val="en-US" w:eastAsia="zh-CN"/>
        </w:rPr>
        <w:t>～</w:t>
      </w:r>
      <w:r>
        <w:rPr>
          <w:rFonts w:hint="eastAsia"/>
          <w:color w:val="auto"/>
          <w:highlight w:val="none"/>
          <w:lang w:val="en-US" w:eastAsia="zh-CN"/>
        </w:rPr>
        <w:t>4行蚕豆（豌豆）。</w:t>
      </w:r>
    </w:p>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水分管理</w:t>
      </w:r>
    </w:p>
    <w:p>
      <w:pPr>
        <w:pStyle w:val="240"/>
        <w:rPr>
          <w:rFonts w:hint="default" w:eastAsia="宋体"/>
          <w:color w:val="auto"/>
          <w:highlight w:val="none"/>
          <w:lang w:val="en-US" w:eastAsia="zh-CN"/>
        </w:rPr>
      </w:pPr>
      <w:r>
        <w:rPr>
          <w:rFonts w:hint="eastAsia"/>
          <w:color w:val="auto"/>
          <w:highlight w:val="none"/>
          <w:lang w:val="en-US" w:eastAsia="zh-CN"/>
        </w:rPr>
        <w:t>采用避雨设施栽培的红心猕猴桃园必须配套安装水肥一体化设施</w:t>
      </w:r>
      <w:r>
        <w:rPr>
          <w:rFonts w:hint="eastAsia"/>
          <w:color w:val="auto"/>
          <w:highlight w:val="none"/>
        </w:rPr>
        <w:t>。</w:t>
      </w:r>
      <w:r>
        <w:rPr>
          <w:rFonts w:hint="eastAsia"/>
          <w:color w:val="auto"/>
          <w:highlight w:val="none"/>
          <w:lang w:val="en-US" w:eastAsia="zh-CN"/>
        </w:rPr>
        <w:t>提倡使用地面喷灌带或低位吊喷，避免冬春季果园灌溉时大量水分喷至树干。</w:t>
      </w:r>
    </w:p>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周年施肥</w:t>
      </w:r>
    </w:p>
    <w:p>
      <w:pPr>
        <w:pStyle w:val="240"/>
        <w:rPr>
          <w:rFonts w:hint="default" w:eastAsia="宋体"/>
          <w:color w:val="auto"/>
          <w:highlight w:val="none"/>
          <w:lang w:val="en-US" w:eastAsia="zh-CN"/>
        </w:rPr>
      </w:pPr>
      <w:r>
        <w:rPr>
          <w:rFonts w:hint="eastAsia"/>
          <w:color w:val="auto"/>
          <w:highlight w:val="none"/>
          <w:lang w:val="en-US" w:eastAsia="zh-CN"/>
        </w:rPr>
        <w:t>盖棚第一年，</w:t>
      </w:r>
      <w:r>
        <w:rPr>
          <w:rFonts w:hint="eastAsia"/>
          <w:color w:val="auto"/>
          <w:highlight w:val="none"/>
        </w:rPr>
        <w:t>9</w:t>
      </w:r>
      <w:r>
        <w:rPr>
          <w:rFonts w:hint="eastAsia" w:ascii="宋体" w:hAnsi="宋体" w:eastAsia="宋体" w:cs="宋体"/>
          <w:color w:val="auto"/>
          <w:highlight w:val="none"/>
        </w:rPr>
        <w:t>～</w:t>
      </w:r>
      <w:r>
        <w:rPr>
          <w:rFonts w:hint="eastAsia"/>
          <w:color w:val="auto"/>
          <w:highlight w:val="none"/>
        </w:rPr>
        <w:t>10月</w:t>
      </w:r>
      <w:r>
        <w:rPr>
          <w:rFonts w:hint="eastAsia"/>
          <w:color w:val="auto"/>
          <w:highlight w:val="none"/>
          <w:lang w:val="en-US" w:eastAsia="zh-CN"/>
        </w:rPr>
        <w:t>结合秋施基肥</w:t>
      </w:r>
      <w:r>
        <w:rPr>
          <w:rFonts w:hint="eastAsia"/>
          <w:color w:val="auto"/>
          <w:highlight w:val="none"/>
        </w:rPr>
        <w:t>对</w:t>
      </w:r>
      <w:r>
        <w:rPr>
          <w:rFonts w:hint="eastAsia"/>
          <w:color w:val="auto"/>
          <w:highlight w:val="none"/>
          <w:lang w:val="en-US" w:eastAsia="zh-CN"/>
        </w:rPr>
        <w:t>溃疡病危害严重</w:t>
      </w:r>
      <w:r>
        <w:rPr>
          <w:rFonts w:hint="eastAsia"/>
          <w:color w:val="auto"/>
          <w:highlight w:val="none"/>
        </w:rPr>
        <w:t>的</w:t>
      </w:r>
      <w:r>
        <w:rPr>
          <w:rFonts w:hint="eastAsia"/>
          <w:color w:val="auto"/>
          <w:highlight w:val="none"/>
          <w:lang w:val="en-US" w:eastAsia="zh-CN"/>
        </w:rPr>
        <w:t>红心猕猴桃成龄</w:t>
      </w:r>
      <w:r>
        <w:rPr>
          <w:rFonts w:hint="eastAsia"/>
          <w:color w:val="auto"/>
          <w:highlight w:val="none"/>
        </w:rPr>
        <w:t>园进行一次修根和土壤改良。方法为：离树干20</w:t>
      </w:r>
      <w:r>
        <w:rPr>
          <w:rFonts w:hint="eastAsia"/>
          <w:color w:val="auto"/>
          <w:highlight w:val="none"/>
          <w:lang w:val="en-US" w:eastAsia="zh-CN"/>
        </w:rPr>
        <w:t xml:space="preserve"> </w:t>
      </w:r>
      <w:r>
        <w:rPr>
          <w:rFonts w:hint="eastAsia"/>
          <w:color w:val="auto"/>
          <w:highlight w:val="none"/>
        </w:rPr>
        <w:t>cm远挖4条放射状沟，沟宽20</w:t>
      </w:r>
      <w:r>
        <w:rPr>
          <w:rFonts w:hint="eastAsia"/>
          <w:color w:val="auto"/>
          <w:highlight w:val="none"/>
          <w:lang w:val="en-US" w:eastAsia="zh-CN"/>
        </w:rPr>
        <w:t>～</w:t>
      </w:r>
      <w:r>
        <w:rPr>
          <w:rFonts w:hint="eastAsia"/>
          <w:color w:val="auto"/>
          <w:highlight w:val="none"/>
        </w:rPr>
        <w:t>30</w:t>
      </w:r>
      <w:r>
        <w:rPr>
          <w:rFonts w:hint="eastAsia"/>
          <w:color w:val="auto"/>
          <w:highlight w:val="none"/>
          <w:lang w:val="en-US" w:eastAsia="zh-CN"/>
        </w:rPr>
        <w:t xml:space="preserve"> </w:t>
      </w:r>
      <w:r>
        <w:rPr>
          <w:rFonts w:hint="eastAsia"/>
          <w:color w:val="auto"/>
          <w:highlight w:val="none"/>
        </w:rPr>
        <w:t>cm,深度由浅入深（需与厢边排水沟连通)，每株加入草炭或腐熟有机肥10</w:t>
      </w:r>
      <w:r>
        <w:rPr>
          <w:rFonts w:hint="eastAsia"/>
          <w:color w:val="auto"/>
          <w:highlight w:val="none"/>
          <w:lang w:val="en-US" w:eastAsia="zh-CN"/>
        </w:rPr>
        <w:t>～</w:t>
      </w:r>
      <w:r>
        <w:rPr>
          <w:rFonts w:hint="eastAsia"/>
          <w:color w:val="auto"/>
          <w:highlight w:val="none"/>
        </w:rPr>
        <w:t>20</w:t>
      </w:r>
      <w:r>
        <w:rPr>
          <w:rFonts w:hint="eastAsia"/>
          <w:color w:val="auto"/>
          <w:highlight w:val="none"/>
          <w:lang w:val="en-US" w:eastAsia="zh-CN"/>
        </w:rPr>
        <w:t xml:space="preserve"> </w:t>
      </w:r>
      <w:r>
        <w:rPr>
          <w:rFonts w:hint="eastAsia"/>
          <w:color w:val="auto"/>
          <w:highlight w:val="none"/>
        </w:rPr>
        <w:t>kg,与土混匀后回填，再用加有少量生根剂和腐殖酸的水灌透。</w:t>
      </w:r>
      <w:r>
        <w:rPr>
          <w:rFonts w:hint="eastAsia"/>
          <w:color w:val="auto"/>
          <w:highlight w:val="none"/>
          <w:lang w:val="en-US" w:eastAsia="zh-CN"/>
        </w:rPr>
        <w:t>之后每年秋施基肥以全园撒施后浅翻为宜。</w:t>
      </w:r>
    </w:p>
    <w:p>
      <w:pPr>
        <w:pStyle w:val="240"/>
        <w:rPr>
          <w:rFonts w:hint="eastAsia"/>
          <w:color w:val="auto"/>
          <w:highlight w:val="none"/>
          <w:lang w:val="en-US" w:eastAsia="zh-CN"/>
        </w:rPr>
      </w:pPr>
      <w:r>
        <w:rPr>
          <w:rFonts w:hint="eastAsia"/>
          <w:color w:val="auto"/>
          <w:highlight w:val="none"/>
          <w:lang w:val="en-US" w:eastAsia="zh-CN"/>
        </w:rPr>
        <w:t>周年土壤追肥以水溶肥为主，萌芽后结合浇水一同进行，肥液浓度须＜1%，夏季高温干旱季节肥液浓度须＜0.5%。叶面追肥可根据植株生长需要进行，高温晴朗天气肥液浓度须＜0.3%，阴天须＜0.5%。</w:t>
      </w:r>
    </w:p>
    <w:p>
      <w:pPr>
        <w:pStyle w:val="240"/>
        <w:rPr>
          <w:rFonts w:hint="eastAsia" w:eastAsia="宋体"/>
          <w:color w:val="auto"/>
          <w:highlight w:val="none"/>
          <w:lang w:val="en-US" w:eastAsia="zh-CN"/>
        </w:rPr>
      </w:pPr>
      <w:r>
        <w:rPr>
          <w:rFonts w:hint="eastAsia"/>
          <w:color w:val="auto"/>
          <w:highlight w:val="none"/>
          <w:lang w:val="en-US" w:eastAsia="zh-CN"/>
        </w:rPr>
        <w:t>肥料种类及其他施肥事项需符合</w:t>
      </w:r>
      <w:r>
        <w:rPr>
          <w:rFonts w:hint="eastAsia"/>
          <w:color w:val="auto"/>
          <w:highlight w:val="none"/>
        </w:rPr>
        <w:t>NY/T 496</w:t>
      </w:r>
      <w:r>
        <w:rPr>
          <w:rFonts w:hint="eastAsia"/>
          <w:color w:val="auto"/>
          <w:highlight w:val="none"/>
          <w:lang w:val="en-US" w:eastAsia="zh-CN"/>
        </w:rPr>
        <w:t>规定。</w:t>
      </w:r>
    </w:p>
    <w:p>
      <w:pPr>
        <w:pStyle w:val="242"/>
        <w:spacing w:before="156" w:after="156"/>
        <w:outlineLvl w:val="1"/>
        <w:rPr>
          <w:rFonts w:hint="eastAsia"/>
          <w:color w:val="auto"/>
          <w:highlight w:val="none"/>
          <w:lang w:val="en-US" w:eastAsia="zh-CN"/>
        </w:rPr>
      </w:pPr>
      <w:bookmarkStart w:id="82" w:name="_Toc74747635"/>
      <w:bookmarkStart w:id="83" w:name="_Toc3723"/>
      <w:bookmarkStart w:id="84" w:name="_Toc20329"/>
      <w:bookmarkStart w:id="85" w:name="_Toc23218"/>
      <w:r>
        <w:rPr>
          <w:rFonts w:hint="eastAsia"/>
          <w:color w:val="auto"/>
          <w:highlight w:val="none"/>
          <w:lang w:val="en-US" w:eastAsia="zh-CN"/>
        </w:rPr>
        <w:t>花果管理</w:t>
      </w:r>
      <w:bookmarkEnd w:id="82"/>
      <w:bookmarkEnd w:id="83"/>
      <w:r>
        <w:rPr>
          <w:rFonts w:hint="eastAsia"/>
          <w:color w:val="auto"/>
          <w:highlight w:val="none"/>
          <w:lang w:val="en-US" w:eastAsia="zh-CN"/>
        </w:rPr>
        <w:t>要求</w:t>
      </w:r>
      <w:bookmarkEnd w:id="84"/>
      <w:bookmarkEnd w:id="85"/>
    </w:p>
    <w:p>
      <w:pPr>
        <w:pStyle w:val="252"/>
        <w:numPr>
          <w:ilvl w:val="2"/>
          <w:numId w:val="32"/>
        </w:numPr>
        <w:tabs>
          <w:tab w:val="clear" w:pos="1260"/>
        </w:tabs>
        <w:spacing w:before="156" w:after="156"/>
        <w:ind w:left="0" w:firstLine="0"/>
        <w:outlineLvl w:val="9"/>
        <w:rPr>
          <w:rFonts w:hint="eastAsia" w:hAnsi="黑体" w:cs="黑体"/>
          <w:color w:val="auto"/>
          <w:szCs w:val="20"/>
          <w:highlight w:val="none"/>
          <w:lang w:val="en-US" w:eastAsia="zh-CN"/>
        </w:rPr>
      </w:pPr>
      <w:bookmarkStart w:id="86" w:name="_Toc29878"/>
      <w:r>
        <w:rPr>
          <w:rFonts w:hint="eastAsia" w:hAnsi="黑体" w:cs="黑体"/>
          <w:color w:val="auto"/>
          <w:szCs w:val="20"/>
          <w:highlight w:val="none"/>
          <w:lang w:val="en-US" w:eastAsia="zh-CN"/>
        </w:rPr>
        <w:t>时间调整</w:t>
      </w:r>
    </w:p>
    <w:p>
      <w:pPr>
        <w:pStyle w:val="240"/>
        <w:rPr>
          <w:rFonts w:hint="default"/>
          <w:color w:val="auto"/>
          <w:highlight w:val="none"/>
          <w:lang w:val="en-US" w:eastAsia="zh-CN"/>
        </w:rPr>
      </w:pPr>
      <w:r>
        <w:rPr>
          <w:rFonts w:hint="eastAsia"/>
          <w:color w:val="auto"/>
          <w:highlight w:val="none"/>
          <w:lang w:val="en-US" w:eastAsia="zh-CN"/>
        </w:rPr>
        <w:t>避雨栽培第1</w:t>
      </w:r>
      <w:r>
        <w:rPr>
          <w:rFonts w:hint="eastAsia" w:ascii="宋体" w:hAnsi="宋体" w:eastAsia="宋体" w:cs="宋体"/>
          <w:color w:val="auto"/>
          <w:highlight w:val="none"/>
          <w:lang w:val="en-US" w:eastAsia="zh-CN"/>
        </w:rPr>
        <w:t>～</w:t>
      </w:r>
      <w:r>
        <w:rPr>
          <w:rFonts w:hint="eastAsia"/>
          <w:color w:val="auto"/>
          <w:highlight w:val="none"/>
          <w:lang w:val="en-US" w:eastAsia="zh-CN"/>
        </w:rPr>
        <w:t>2年，红心猕猴桃物候期通常比露地提早2</w:t>
      </w:r>
      <w:r>
        <w:rPr>
          <w:rFonts w:hint="eastAsia" w:ascii="宋体" w:hAnsi="宋体" w:eastAsia="宋体" w:cs="宋体"/>
          <w:color w:val="auto"/>
          <w:highlight w:val="none"/>
          <w:lang w:val="en-US" w:eastAsia="zh-CN"/>
        </w:rPr>
        <w:t>～</w:t>
      </w:r>
      <w:r>
        <w:rPr>
          <w:rFonts w:hint="eastAsia"/>
          <w:color w:val="auto"/>
          <w:highlight w:val="none"/>
          <w:lang w:val="en-US" w:eastAsia="zh-CN"/>
        </w:rPr>
        <w:t>3天，第3年以后随着薄膜透光率下降，物候期比露地会延迟1</w:t>
      </w:r>
      <w:r>
        <w:rPr>
          <w:rFonts w:hint="eastAsia" w:ascii="宋体" w:hAnsi="宋体" w:eastAsia="宋体" w:cs="宋体"/>
          <w:color w:val="auto"/>
          <w:highlight w:val="none"/>
          <w:lang w:val="en-US" w:eastAsia="zh-CN"/>
        </w:rPr>
        <w:t>～</w:t>
      </w:r>
      <w:r>
        <w:rPr>
          <w:rFonts w:hint="eastAsia"/>
          <w:color w:val="auto"/>
          <w:highlight w:val="none"/>
          <w:lang w:val="en-US" w:eastAsia="zh-CN"/>
        </w:rPr>
        <w:t>2天，需根据当年实际情况适当提早或延后授粉、疏花、疏果、浸果、采收等农事操作时间。</w:t>
      </w:r>
    </w:p>
    <w:p>
      <w:pPr>
        <w:pStyle w:val="252"/>
        <w:numPr>
          <w:ilvl w:val="2"/>
          <w:numId w:val="32"/>
        </w:numPr>
        <w:tabs>
          <w:tab w:val="clear" w:pos="1260"/>
        </w:tabs>
        <w:spacing w:before="156" w:after="156"/>
        <w:ind w:left="0" w:firstLine="0"/>
        <w:outlineLvl w:val="9"/>
        <w:rPr>
          <w:rFonts w:hint="eastAsia" w:hAnsi="黑体" w:cs="黑体"/>
          <w:color w:val="auto"/>
          <w:szCs w:val="20"/>
          <w:highlight w:val="none"/>
          <w:lang w:val="en-US" w:eastAsia="zh-CN"/>
        </w:rPr>
      </w:pPr>
      <w:r>
        <w:rPr>
          <w:rFonts w:hint="eastAsia" w:hAnsi="黑体" w:cs="黑体"/>
          <w:color w:val="auto"/>
          <w:szCs w:val="20"/>
          <w:highlight w:val="none"/>
          <w:lang w:val="en-US" w:eastAsia="zh-CN"/>
        </w:rPr>
        <w:t>授粉</w:t>
      </w:r>
      <w:bookmarkEnd w:id="86"/>
      <w:r>
        <w:rPr>
          <w:rFonts w:hint="eastAsia" w:hAnsi="黑体" w:cs="黑体"/>
          <w:color w:val="auto"/>
          <w:szCs w:val="20"/>
          <w:highlight w:val="none"/>
          <w:lang w:val="en-US" w:eastAsia="zh-CN"/>
        </w:rPr>
        <w:t>方法</w:t>
      </w:r>
    </w:p>
    <w:p>
      <w:pPr>
        <w:pStyle w:val="240"/>
        <w:rPr>
          <w:rFonts w:hint="default"/>
          <w:color w:val="auto"/>
          <w:highlight w:val="none"/>
          <w:lang w:val="en-US" w:eastAsia="zh-CN"/>
        </w:rPr>
      </w:pPr>
      <w:bookmarkStart w:id="87" w:name="_Toc29445"/>
      <w:r>
        <w:rPr>
          <w:rFonts w:hint="eastAsia"/>
          <w:color w:val="auto"/>
          <w:highlight w:val="none"/>
          <w:lang w:val="en-US" w:eastAsia="zh-CN"/>
        </w:rPr>
        <w:t>避雨栽培后因棚内风力小，自然授粉和蜜蜂授粉效果较差，需充分做好人工辅助授粉工作。授粉方式有风力吹授、液体喷授、干粉点授、干粉喷授等。</w:t>
      </w:r>
    </w:p>
    <w:p>
      <w:pPr>
        <w:pStyle w:val="240"/>
        <w:rPr>
          <w:rFonts w:hint="default"/>
          <w:color w:val="auto"/>
          <w:highlight w:val="none"/>
          <w:lang w:val="en-US" w:eastAsia="zh-CN"/>
        </w:rPr>
      </w:pPr>
      <w:r>
        <w:rPr>
          <w:rFonts w:hint="eastAsia"/>
          <w:color w:val="auto"/>
          <w:highlight w:val="none"/>
          <w:lang w:val="en-US" w:eastAsia="zh-CN"/>
        </w:rPr>
        <w:t>雌雄株配置比例达到4</w:t>
      </w:r>
      <w:r>
        <w:rPr>
          <w:rFonts w:hint="eastAsia" w:ascii="宋体" w:hAnsi="宋体" w:eastAsia="宋体" w:cs="宋体"/>
          <w:color w:val="auto"/>
          <w:highlight w:val="none"/>
          <w:lang w:val="en-US" w:eastAsia="zh-CN"/>
        </w:rPr>
        <w:t>～</w:t>
      </w:r>
      <w:r>
        <w:rPr>
          <w:rFonts w:hint="eastAsia"/>
          <w:color w:val="auto"/>
          <w:highlight w:val="none"/>
          <w:lang w:val="en-US" w:eastAsia="zh-CN"/>
        </w:rPr>
        <w:t>5:1的园区，可分别于初花期、盛花期、末花期用鼓风机将雄株花粉吹散至雌株花朵上，提高授粉效率和效果；雄株配置比例较低的园区，需分别在初花期、盛花期、末花期使用商品花粉或自制花粉进行液体或干粉授粉，丰产园每亩纯粉用量30g左右，幼园根据产量适当减量。</w:t>
      </w:r>
    </w:p>
    <w:bookmarkEnd w:id="87"/>
    <w:p>
      <w:pPr>
        <w:pStyle w:val="252"/>
        <w:numPr>
          <w:ilvl w:val="2"/>
          <w:numId w:val="32"/>
        </w:numPr>
        <w:tabs>
          <w:tab w:val="clear" w:pos="1260"/>
        </w:tabs>
        <w:spacing w:before="156" w:after="156"/>
        <w:ind w:left="0" w:firstLine="0"/>
        <w:outlineLvl w:val="9"/>
        <w:rPr>
          <w:rFonts w:hAnsi="黑体" w:cs="黑体"/>
          <w:color w:val="auto"/>
          <w:szCs w:val="20"/>
          <w:highlight w:val="none"/>
        </w:rPr>
      </w:pPr>
      <w:r>
        <w:rPr>
          <w:rFonts w:hint="eastAsia" w:hAnsi="黑体" w:cs="黑体"/>
          <w:color w:val="auto"/>
          <w:szCs w:val="20"/>
          <w:highlight w:val="none"/>
          <w:lang w:val="en-US" w:eastAsia="zh-CN"/>
        </w:rPr>
        <w:t>免袋栽培</w:t>
      </w:r>
    </w:p>
    <w:p>
      <w:pPr>
        <w:pStyle w:val="240"/>
        <w:rPr>
          <w:rFonts w:hint="eastAsia"/>
          <w:color w:val="auto"/>
          <w:highlight w:val="none"/>
          <w:lang w:val="en-US" w:eastAsia="zh-CN"/>
        </w:rPr>
      </w:pPr>
      <w:r>
        <w:rPr>
          <w:rFonts w:hint="eastAsia"/>
          <w:color w:val="auto"/>
          <w:highlight w:val="none"/>
          <w:lang w:val="en-US" w:eastAsia="zh-CN"/>
        </w:rPr>
        <w:t>避雨后红心猕猴桃长势较好，叶幕层厚，提倡采取免袋栽培。</w:t>
      </w:r>
    </w:p>
    <w:p>
      <w:pPr>
        <w:pStyle w:val="242"/>
        <w:spacing w:before="156" w:after="156"/>
        <w:outlineLvl w:val="1"/>
        <w:rPr>
          <w:rFonts w:hint="eastAsia"/>
          <w:color w:val="auto"/>
          <w:highlight w:val="none"/>
          <w:lang w:val="en-US" w:eastAsia="zh-CN"/>
        </w:rPr>
      </w:pPr>
      <w:bookmarkStart w:id="88" w:name="_Toc74747639"/>
      <w:bookmarkStart w:id="89" w:name="_Toc18146"/>
      <w:bookmarkStart w:id="90" w:name="_Toc15583"/>
      <w:bookmarkStart w:id="91" w:name="_Toc20259"/>
      <w:r>
        <w:rPr>
          <w:rFonts w:hint="eastAsia"/>
          <w:color w:val="auto"/>
          <w:highlight w:val="none"/>
          <w:lang w:val="en-US" w:eastAsia="zh-CN"/>
        </w:rPr>
        <w:t>病虫害防控</w:t>
      </w:r>
      <w:bookmarkEnd w:id="79"/>
      <w:bookmarkEnd w:id="80"/>
      <w:bookmarkEnd w:id="81"/>
      <w:bookmarkEnd w:id="88"/>
      <w:bookmarkEnd w:id="89"/>
      <w:r>
        <w:rPr>
          <w:rFonts w:hint="eastAsia"/>
          <w:color w:val="auto"/>
          <w:highlight w:val="none"/>
          <w:lang w:val="en-US" w:eastAsia="zh-CN"/>
        </w:rPr>
        <w:t>要求</w:t>
      </w:r>
      <w:bookmarkEnd w:id="90"/>
      <w:bookmarkEnd w:id="91"/>
    </w:p>
    <w:p>
      <w:pPr>
        <w:pStyle w:val="252"/>
        <w:numPr>
          <w:ilvl w:val="2"/>
          <w:numId w:val="32"/>
        </w:numPr>
        <w:tabs>
          <w:tab w:val="clear" w:pos="1260"/>
        </w:tabs>
        <w:spacing w:before="156" w:after="156"/>
        <w:ind w:left="0" w:firstLine="0"/>
        <w:outlineLvl w:val="9"/>
        <w:rPr>
          <w:rFonts w:hint="eastAsia" w:hAnsi="黑体" w:cs="黑体"/>
          <w:color w:val="auto"/>
          <w:szCs w:val="20"/>
          <w:highlight w:val="none"/>
          <w:lang w:val="en-US" w:eastAsia="zh-CN"/>
        </w:rPr>
      </w:pPr>
      <w:bookmarkStart w:id="92" w:name="_Toc26570"/>
      <w:bookmarkStart w:id="93" w:name="_Toc16890"/>
      <w:bookmarkStart w:id="94" w:name="_Toc32064"/>
      <w:bookmarkStart w:id="95" w:name="_Toc74747640"/>
      <w:r>
        <w:rPr>
          <w:rFonts w:hint="eastAsia" w:hAnsi="黑体" w:cs="黑体"/>
          <w:color w:val="auto"/>
          <w:szCs w:val="20"/>
          <w:highlight w:val="none"/>
          <w:lang w:val="en-US" w:eastAsia="zh-CN"/>
        </w:rPr>
        <w:t>防治原则</w:t>
      </w:r>
      <w:bookmarkEnd w:id="92"/>
      <w:bookmarkEnd w:id="93"/>
      <w:bookmarkEnd w:id="94"/>
      <w:bookmarkEnd w:id="95"/>
      <w:r>
        <w:rPr>
          <w:rFonts w:hint="eastAsia" w:hAnsi="黑体" w:cs="黑体"/>
          <w:color w:val="auto"/>
          <w:szCs w:val="20"/>
          <w:highlight w:val="none"/>
          <w:lang w:val="en-US" w:eastAsia="zh-CN"/>
        </w:rPr>
        <w:t xml:space="preserve"> </w:t>
      </w:r>
    </w:p>
    <w:p>
      <w:pPr>
        <w:pStyle w:val="240"/>
        <w:rPr>
          <w:color w:val="auto"/>
          <w:highlight w:val="none"/>
        </w:rPr>
      </w:pPr>
      <w:r>
        <w:rPr>
          <w:rFonts w:hint="eastAsia"/>
          <w:color w:val="auto"/>
          <w:highlight w:val="none"/>
        </w:rPr>
        <w:t>坚持“预防为主，综合防治”的方针。按照病虫害发生特点，坚持以</w:t>
      </w:r>
      <w:r>
        <w:rPr>
          <w:rFonts w:hint="eastAsia"/>
          <w:color w:val="auto"/>
          <w:highlight w:val="none"/>
          <w:lang w:val="en-US" w:eastAsia="zh-CN"/>
        </w:rPr>
        <w:t>农</w:t>
      </w:r>
      <w:r>
        <w:rPr>
          <w:rFonts w:hint="eastAsia"/>
          <w:color w:val="auto"/>
          <w:highlight w:val="none"/>
        </w:rPr>
        <w:t>业防治为基础、充分采用生物、物理防治措施，可以有限度地使用低毒低残留农药进行化学防治。</w:t>
      </w:r>
      <w:r>
        <w:rPr>
          <w:color w:val="auto"/>
          <w:highlight w:val="none"/>
        </w:rPr>
        <w:t xml:space="preserve"> </w:t>
      </w:r>
    </w:p>
    <w:p>
      <w:pPr>
        <w:pStyle w:val="252"/>
        <w:numPr>
          <w:ilvl w:val="2"/>
          <w:numId w:val="32"/>
        </w:numPr>
        <w:tabs>
          <w:tab w:val="clear" w:pos="1260"/>
        </w:tabs>
        <w:spacing w:before="156" w:after="156"/>
        <w:ind w:left="0" w:firstLine="0"/>
        <w:outlineLvl w:val="9"/>
        <w:rPr>
          <w:rFonts w:hint="eastAsia" w:hAnsi="黑体" w:cs="黑体"/>
          <w:color w:val="auto"/>
          <w:szCs w:val="20"/>
          <w:highlight w:val="none"/>
          <w:lang w:val="en-US" w:eastAsia="zh-CN"/>
        </w:rPr>
      </w:pPr>
      <w:r>
        <w:rPr>
          <w:rFonts w:hint="eastAsia" w:hAnsi="黑体" w:cs="黑体"/>
          <w:color w:val="auto"/>
          <w:szCs w:val="20"/>
          <w:highlight w:val="none"/>
          <w:lang w:val="en-US" w:eastAsia="zh-CN"/>
        </w:rPr>
        <w:t>病虫种类</w:t>
      </w:r>
    </w:p>
    <w:p>
      <w:pPr>
        <w:pStyle w:val="240"/>
        <w:rPr>
          <w:rFonts w:hint="default" w:eastAsia="宋体"/>
          <w:color w:val="auto"/>
          <w:highlight w:val="none"/>
          <w:lang w:val="en-US" w:eastAsia="zh-CN"/>
        </w:rPr>
      </w:pPr>
      <w:r>
        <w:rPr>
          <w:rFonts w:hint="eastAsia"/>
          <w:color w:val="auto"/>
          <w:highlight w:val="none"/>
          <w:lang w:val="en-US" w:eastAsia="zh-CN"/>
        </w:rPr>
        <w:t>避雨后溃疡病、褐斑病、根腐病、斜纹夜蛾、金龟子等病虫危害明显减轻，但灰霉病、红（黄）蜘蛛、叶婵、蚧壳虫等病虫危害较重，且蚧壳虫第一代孵化时间较露地有所提前，需做好防控时期和用药种类调整。</w:t>
      </w:r>
    </w:p>
    <w:p>
      <w:pPr>
        <w:pStyle w:val="252"/>
        <w:numPr>
          <w:ilvl w:val="2"/>
          <w:numId w:val="32"/>
        </w:numPr>
        <w:tabs>
          <w:tab w:val="clear" w:pos="1260"/>
        </w:tabs>
        <w:spacing w:before="156" w:after="156"/>
        <w:ind w:left="0" w:firstLine="0"/>
        <w:outlineLvl w:val="9"/>
        <w:rPr>
          <w:rFonts w:hint="eastAsia" w:hAnsi="黑体" w:cs="黑体"/>
          <w:color w:val="auto"/>
          <w:szCs w:val="20"/>
          <w:highlight w:val="none"/>
          <w:lang w:val="en-US" w:eastAsia="zh-CN"/>
        </w:rPr>
      </w:pPr>
      <w:r>
        <w:rPr>
          <w:rFonts w:hint="eastAsia" w:hAnsi="黑体" w:cs="黑体"/>
          <w:color w:val="auto"/>
          <w:szCs w:val="20"/>
          <w:highlight w:val="none"/>
          <w:lang w:val="en-US" w:eastAsia="zh-CN"/>
        </w:rPr>
        <w:t>农业防治</w:t>
      </w:r>
    </w:p>
    <w:p>
      <w:pPr>
        <w:pStyle w:val="240"/>
        <w:rPr>
          <w:color w:val="auto"/>
          <w:highlight w:val="none"/>
        </w:rPr>
      </w:pPr>
      <w:r>
        <w:rPr>
          <w:rFonts w:hint="eastAsia"/>
          <w:color w:val="auto"/>
          <w:highlight w:val="none"/>
        </w:rPr>
        <w:t>因地制宜，选择抗性砧木，科学施肥，合理负载，增强树势；科学整形，合理修剪，保持树冠通风透光良好。冬季清园，剪除并销毁病虫枝，清除枯枝落叶，不能移除果园的残体建议粉碎后腐熟还田。土壤改良，地面覆盖，促进树体健壮生长，增强树体抗性。</w:t>
      </w:r>
    </w:p>
    <w:p>
      <w:pPr>
        <w:pStyle w:val="252"/>
        <w:numPr>
          <w:ilvl w:val="2"/>
          <w:numId w:val="32"/>
        </w:numPr>
        <w:tabs>
          <w:tab w:val="clear" w:pos="1260"/>
        </w:tabs>
        <w:spacing w:before="156" w:after="156"/>
        <w:ind w:left="0" w:firstLine="0"/>
        <w:outlineLvl w:val="9"/>
        <w:rPr>
          <w:rFonts w:hAnsi="黑体" w:cs="黑体"/>
          <w:color w:val="auto"/>
          <w:szCs w:val="20"/>
          <w:highlight w:val="none"/>
        </w:rPr>
      </w:pPr>
      <w:bookmarkStart w:id="96" w:name="_Toc23011"/>
      <w:r>
        <w:rPr>
          <w:rFonts w:hint="eastAsia" w:hAnsi="黑体" w:cs="黑体"/>
          <w:color w:val="auto"/>
          <w:szCs w:val="20"/>
          <w:highlight w:val="none"/>
        </w:rPr>
        <w:t>物理防治</w:t>
      </w:r>
      <w:bookmarkEnd w:id="96"/>
      <w:r>
        <w:rPr>
          <w:rFonts w:hAnsi="黑体" w:cs="黑体"/>
          <w:color w:val="auto"/>
          <w:szCs w:val="20"/>
          <w:highlight w:val="none"/>
        </w:rPr>
        <w:t xml:space="preserve"> </w:t>
      </w:r>
    </w:p>
    <w:p>
      <w:pPr>
        <w:pStyle w:val="240"/>
        <w:rPr>
          <w:rFonts w:hint="default"/>
          <w:color w:val="auto"/>
          <w:highlight w:val="none"/>
          <w:lang w:val="en-US"/>
        </w:rPr>
      </w:pPr>
      <w:r>
        <w:rPr>
          <w:rFonts w:hint="eastAsia"/>
          <w:color w:val="auto"/>
          <w:highlight w:val="none"/>
        </w:rPr>
        <w:t>根据病虫生物学特性，采取安装诱捕器、糖醋液、色板以</w:t>
      </w:r>
      <w:r>
        <w:rPr>
          <w:rFonts w:hint="eastAsia"/>
          <w:color w:val="auto"/>
          <w:highlight w:val="none"/>
          <w:lang w:val="en-US" w:eastAsia="zh-CN"/>
        </w:rPr>
        <w:t>及树干缠草绳等方法诱杀害虫。着色板需在授粉前3</w:t>
      </w:r>
      <w:r>
        <w:rPr>
          <w:rFonts w:hint="eastAsia"/>
          <w:color w:val="auto"/>
          <w:highlight w:val="none"/>
        </w:rPr>
        <w:t>～</w:t>
      </w:r>
      <w:r>
        <w:rPr>
          <w:rFonts w:hint="eastAsia"/>
          <w:color w:val="auto"/>
          <w:highlight w:val="none"/>
          <w:lang w:val="en-US" w:eastAsia="zh-CN"/>
        </w:rPr>
        <w:t>5 d及时去除，防治影响昆虫授粉。</w:t>
      </w:r>
    </w:p>
    <w:p>
      <w:pPr>
        <w:pStyle w:val="252"/>
        <w:numPr>
          <w:ilvl w:val="2"/>
          <w:numId w:val="32"/>
        </w:numPr>
        <w:tabs>
          <w:tab w:val="clear" w:pos="1260"/>
        </w:tabs>
        <w:spacing w:before="156" w:after="156"/>
        <w:ind w:left="0" w:firstLine="0"/>
        <w:outlineLvl w:val="9"/>
        <w:rPr>
          <w:rFonts w:hAnsi="黑体" w:cs="黑体"/>
          <w:color w:val="auto"/>
          <w:szCs w:val="20"/>
          <w:highlight w:val="none"/>
        </w:rPr>
      </w:pPr>
      <w:bookmarkStart w:id="97" w:name="_Toc29806"/>
      <w:r>
        <w:rPr>
          <w:rFonts w:hint="eastAsia" w:hAnsi="黑体" w:cs="黑体"/>
          <w:color w:val="auto"/>
          <w:szCs w:val="20"/>
          <w:highlight w:val="none"/>
        </w:rPr>
        <w:t>生物防治</w:t>
      </w:r>
      <w:bookmarkEnd w:id="97"/>
      <w:r>
        <w:rPr>
          <w:rFonts w:hAnsi="黑体" w:cs="黑体"/>
          <w:color w:val="auto"/>
          <w:szCs w:val="20"/>
          <w:highlight w:val="none"/>
        </w:rPr>
        <w:t xml:space="preserve"> </w:t>
      </w:r>
    </w:p>
    <w:p>
      <w:pPr>
        <w:pStyle w:val="240"/>
        <w:rPr>
          <w:color w:val="auto"/>
          <w:highlight w:val="none"/>
        </w:rPr>
      </w:pPr>
      <w:r>
        <w:rPr>
          <w:rFonts w:hint="eastAsia"/>
          <w:color w:val="auto"/>
          <w:highlight w:val="none"/>
        </w:rPr>
        <w:t>保护或释放瓢虫、草蛉、捕食螨等天敌，为其创造有利的栖息条件；利用有益微生物和生物源农药防控病虫。当害螨基数在平均每叶1.5头</w:t>
      </w:r>
      <w:bookmarkStart w:id="98" w:name="OLE_LINK15"/>
      <w:r>
        <w:rPr>
          <w:rFonts w:hint="eastAsia"/>
          <w:color w:val="auto"/>
          <w:highlight w:val="none"/>
        </w:rPr>
        <w:t>～</w:t>
      </w:r>
      <w:bookmarkEnd w:id="98"/>
      <w:r>
        <w:rPr>
          <w:rFonts w:hint="eastAsia"/>
          <w:color w:val="auto"/>
          <w:highlight w:val="none"/>
        </w:rPr>
        <w:t>2头时按每株2袋挂捕食螨：在捕食螨纸袋上方一侧斜线剪开2 cm～4 cm长的细缝，开口稍向下倾斜，用图钉或细铁丝将纸袋固定在</w:t>
      </w:r>
      <w:r>
        <w:rPr>
          <w:rFonts w:hint="eastAsia"/>
          <w:color w:val="auto"/>
          <w:highlight w:val="none"/>
          <w:lang w:val="en-US" w:eastAsia="zh-CN"/>
        </w:rPr>
        <w:t>主蔓分叉处</w:t>
      </w:r>
      <w:r>
        <w:rPr>
          <w:rFonts w:hint="eastAsia"/>
          <w:color w:val="auto"/>
          <w:highlight w:val="none"/>
        </w:rPr>
        <w:t>，与枝干充分接触。</w:t>
      </w:r>
    </w:p>
    <w:p>
      <w:pPr>
        <w:pStyle w:val="252"/>
        <w:numPr>
          <w:ilvl w:val="2"/>
          <w:numId w:val="32"/>
        </w:numPr>
        <w:tabs>
          <w:tab w:val="clear" w:pos="1260"/>
        </w:tabs>
        <w:spacing w:before="156" w:after="156"/>
        <w:ind w:left="0" w:firstLine="0"/>
        <w:outlineLvl w:val="9"/>
        <w:rPr>
          <w:rFonts w:hAnsi="黑体" w:cs="黑体"/>
          <w:color w:val="auto"/>
          <w:szCs w:val="20"/>
          <w:highlight w:val="none"/>
        </w:rPr>
      </w:pPr>
      <w:bookmarkStart w:id="99" w:name="_Toc15594"/>
      <w:r>
        <w:rPr>
          <w:rFonts w:hint="eastAsia" w:hAnsi="黑体" w:cs="黑体"/>
          <w:color w:val="auto"/>
          <w:szCs w:val="20"/>
          <w:highlight w:val="none"/>
        </w:rPr>
        <w:t>化学防治</w:t>
      </w:r>
      <w:bookmarkEnd w:id="99"/>
      <w:r>
        <w:rPr>
          <w:rFonts w:hAnsi="黑体" w:cs="黑体"/>
          <w:color w:val="auto"/>
          <w:szCs w:val="20"/>
          <w:highlight w:val="none"/>
        </w:rPr>
        <w:t xml:space="preserve">  </w:t>
      </w:r>
    </w:p>
    <w:p>
      <w:pPr>
        <w:pStyle w:val="240"/>
        <w:numPr>
          <w:ilvl w:val="1"/>
          <w:numId w:val="0"/>
        </w:numPr>
        <w:ind w:firstLine="420" w:firstLineChars="200"/>
        <w:rPr>
          <w:rFonts w:hint="default" w:eastAsia="宋体"/>
          <w:color w:val="auto"/>
          <w:highlight w:val="none"/>
          <w:lang w:val="en-US" w:eastAsia="zh-CN"/>
        </w:rPr>
      </w:pPr>
      <w:bookmarkStart w:id="100" w:name="_Toc17122"/>
      <w:r>
        <w:rPr>
          <w:rFonts w:hint="eastAsia"/>
          <w:color w:val="auto"/>
          <w:highlight w:val="none"/>
        </w:rPr>
        <w:t>提倡使用生物源农药、矿物源农药，禁止使用剧毒、高毒、高残留和致畸、致癌、致突变农药，不同类型的农药应交替使用和合理混用。使用化学农药时应符合GB 4285规定。</w:t>
      </w:r>
      <w:r>
        <w:rPr>
          <w:rFonts w:hint="eastAsia"/>
          <w:color w:val="auto"/>
          <w:highlight w:val="none"/>
          <w:lang w:val="en-US" w:eastAsia="zh-CN"/>
        </w:rPr>
        <w:t>夏季高温期棚内用药浓度宜比露地降低10%，</w:t>
      </w:r>
      <w:bookmarkEnd w:id="100"/>
      <w:r>
        <w:rPr>
          <w:rFonts w:hint="eastAsia"/>
          <w:color w:val="auto"/>
          <w:highlight w:val="none"/>
          <w:lang w:val="en-US" w:eastAsia="zh-CN"/>
        </w:rPr>
        <w:t>谢花后60 d内严禁使用乳油类农药，以防造成叶片或果实药害。</w:t>
      </w:r>
    </w:p>
    <w:p>
      <w:pPr>
        <w:pStyle w:val="242"/>
        <w:spacing w:before="156" w:after="156"/>
        <w:outlineLvl w:val="1"/>
        <w:rPr>
          <w:rFonts w:hint="eastAsia"/>
          <w:color w:val="auto"/>
          <w:highlight w:val="none"/>
          <w:lang w:val="en-US" w:eastAsia="zh-CN"/>
        </w:rPr>
      </w:pPr>
      <w:bookmarkStart w:id="101" w:name="_Toc74747642"/>
      <w:bookmarkStart w:id="102" w:name="_Toc12793"/>
      <w:bookmarkStart w:id="103" w:name="_Toc6898"/>
      <w:r>
        <w:rPr>
          <w:rFonts w:hint="eastAsia"/>
          <w:color w:val="auto"/>
          <w:highlight w:val="none"/>
          <w:lang w:val="en-US" w:eastAsia="zh-CN"/>
        </w:rPr>
        <w:t>采收</w:t>
      </w:r>
      <w:bookmarkEnd w:id="101"/>
      <w:r>
        <w:rPr>
          <w:rFonts w:hint="eastAsia"/>
          <w:color w:val="auto"/>
          <w:highlight w:val="none"/>
          <w:lang w:val="en-US" w:eastAsia="zh-CN"/>
        </w:rPr>
        <w:t>要求</w:t>
      </w:r>
      <w:bookmarkEnd w:id="102"/>
      <w:bookmarkEnd w:id="103"/>
    </w:p>
    <w:p>
      <w:pPr>
        <w:pStyle w:val="240"/>
        <w:rPr>
          <w:rFonts w:hint="eastAsia"/>
          <w:color w:val="auto"/>
          <w:highlight w:val="none"/>
          <w:lang w:val="en-US" w:eastAsia="zh-CN"/>
        </w:rPr>
      </w:pPr>
      <w:r>
        <w:rPr>
          <w:rFonts w:hint="eastAsia"/>
          <w:color w:val="auto"/>
          <w:szCs w:val="22"/>
          <w:highlight w:val="none"/>
          <w:lang w:val="en-US" w:eastAsia="zh-CN"/>
        </w:rPr>
        <w:t>可溶性固形物达7.0</w:t>
      </w:r>
      <w:r>
        <w:rPr>
          <w:rFonts w:hint="eastAsia"/>
          <w:color w:val="auto"/>
          <w:highlight w:val="none"/>
        </w:rPr>
        <w:t>～</w:t>
      </w:r>
      <w:r>
        <w:rPr>
          <w:rFonts w:hint="eastAsia"/>
          <w:color w:val="auto"/>
          <w:highlight w:val="none"/>
          <w:lang w:val="en-US" w:eastAsia="zh-CN"/>
        </w:rPr>
        <w:t>9.0%，干物质含量≥18.0%，果实去皮硬度≥9.0 kg/c㎡时可进行采收。</w:t>
      </w:r>
    </w:p>
    <w:p>
      <w:pPr>
        <w:pStyle w:val="240"/>
        <w:rPr>
          <w:rFonts w:hint="eastAsia"/>
          <w:color w:val="auto"/>
          <w:szCs w:val="22"/>
          <w:highlight w:val="none"/>
          <w:lang w:eastAsia="zh-CN"/>
        </w:rPr>
      </w:pPr>
      <w:r>
        <w:rPr>
          <w:rFonts w:hint="eastAsia"/>
          <w:color w:val="auto"/>
          <w:szCs w:val="22"/>
          <w:highlight w:val="none"/>
          <w:lang w:val="en-US" w:eastAsia="zh-CN"/>
        </w:rPr>
        <w:t>未使用氯吡脲浸果的园区，果实采收期较浸果园区需延后30 d以上</w:t>
      </w:r>
      <w:r>
        <w:rPr>
          <w:rFonts w:hint="eastAsia"/>
          <w:color w:val="auto"/>
          <w:szCs w:val="22"/>
          <w:highlight w:val="none"/>
          <w:lang w:eastAsia="zh-CN"/>
        </w:rPr>
        <w:t>。</w:t>
      </w:r>
      <w:bookmarkStart w:id="104" w:name="BookMark8"/>
    </w:p>
    <w:p>
      <w:pPr>
        <w:pStyle w:val="240"/>
        <w:keepNext w:val="0"/>
        <w:keepLines w:val="0"/>
        <w:pageBreakBefore w:val="0"/>
        <w:widowControl/>
        <w:kinsoku/>
        <w:wordWrap/>
        <w:overflowPunct/>
        <w:topLinePunct w:val="0"/>
        <w:autoSpaceDE w:val="0"/>
        <w:autoSpaceDN w:val="0"/>
        <w:bidi w:val="0"/>
        <w:adjustRightInd w:val="0"/>
        <w:snapToGrid w:val="0"/>
        <w:jc w:val="center"/>
        <w:textAlignment w:val="auto"/>
        <w:rPr>
          <w:color w:val="auto"/>
          <w:highlight w:val="none"/>
        </w:rPr>
      </w:pPr>
      <w:r>
        <w:rPr>
          <w:color w:val="auto"/>
          <w:highlight w:val="none"/>
        </w:rPr>
        <w:drawing>
          <wp:inline distT="0" distB="0" distL="114300" distR="114300">
            <wp:extent cx="1487805" cy="76200"/>
            <wp:effectExtent l="0" t="0" r="17145"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14"/>
                    <a:stretch>
                      <a:fillRect/>
                    </a:stretch>
                  </pic:blipFill>
                  <pic:spPr>
                    <a:xfrm>
                      <a:off x="0" y="0"/>
                      <a:ext cx="1487805" cy="76200"/>
                    </a:xfrm>
                    <a:prstGeom prst="rect">
                      <a:avLst/>
                    </a:prstGeom>
                    <a:noFill/>
                    <a:ln>
                      <a:noFill/>
                    </a:ln>
                  </pic:spPr>
                </pic:pic>
              </a:graphicData>
            </a:graphic>
          </wp:inline>
        </w:drawing>
      </w:r>
      <w:bookmarkEnd w:id="13"/>
      <w:bookmarkEnd w:id="23"/>
      <w:bookmarkEnd w:id="24"/>
      <w:bookmarkEnd w:id="25"/>
      <w:bookmarkEnd w:id="26"/>
      <w:bookmarkEnd w:id="104"/>
    </w:p>
    <w:p>
      <w:pPr>
        <w:rPr>
          <w:color w:val="auto"/>
          <w:highlight w:val="none"/>
        </w:rPr>
      </w:pPr>
      <w:r>
        <w:rPr>
          <w:color w:val="auto"/>
          <w:highlight w:val="none"/>
        </w:rPr>
        <w:br w:type="page"/>
      </w:r>
    </w:p>
    <w:p>
      <w:pPr>
        <w:pStyle w:val="241"/>
        <w:keepNext w:val="0"/>
        <w:keepLines w:val="0"/>
        <w:pageBreakBefore w:val="0"/>
        <w:widowControl/>
        <w:numPr>
          <w:ilvl w:val="0"/>
          <w:numId w:val="0"/>
        </w:numPr>
        <w:kinsoku/>
        <w:wordWrap/>
        <w:overflowPunct/>
        <w:topLinePunct w:val="0"/>
        <w:autoSpaceDE/>
        <w:autoSpaceDN/>
        <w:bidi w:val="0"/>
        <w:adjustRightInd w:val="0"/>
        <w:snapToGrid w:val="0"/>
        <w:spacing w:beforeLines="0" w:afterLines="0"/>
        <w:jc w:val="center"/>
        <w:textAlignment w:val="auto"/>
        <w:outlineLvl w:val="0"/>
        <w:rPr>
          <w:rFonts w:hint="eastAsia"/>
          <w:color w:val="auto"/>
          <w:highlight w:val="none"/>
          <w:lang w:val="en-US" w:eastAsia="zh-CN"/>
        </w:rPr>
      </w:pPr>
      <w:bookmarkStart w:id="105" w:name="_Toc31483"/>
      <w:r>
        <w:rPr>
          <w:rFonts w:hint="eastAsia"/>
          <w:color w:val="auto"/>
          <w:highlight w:val="none"/>
          <w:lang w:val="en-US" w:eastAsia="zh-CN"/>
        </w:rPr>
        <w:t>附 录 A</w:t>
      </w:r>
      <w:bookmarkEnd w:id="105"/>
    </w:p>
    <w:p>
      <w:pPr>
        <w:pStyle w:val="241"/>
        <w:keepNext w:val="0"/>
        <w:keepLines w:val="0"/>
        <w:pageBreakBefore w:val="0"/>
        <w:widowControl/>
        <w:numPr>
          <w:ilvl w:val="0"/>
          <w:numId w:val="0"/>
        </w:numPr>
        <w:kinsoku/>
        <w:wordWrap/>
        <w:overflowPunct/>
        <w:topLinePunct w:val="0"/>
        <w:autoSpaceDE/>
        <w:autoSpaceDN/>
        <w:bidi w:val="0"/>
        <w:adjustRightInd w:val="0"/>
        <w:snapToGrid w:val="0"/>
        <w:spacing w:beforeLines="0" w:afterLines="0"/>
        <w:jc w:val="center"/>
        <w:textAlignment w:val="auto"/>
        <w:outlineLvl w:val="0"/>
        <w:rPr>
          <w:rFonts w:hint="eastAsia"/>
          <w:color w:val="auto"/>
          <w:highlight w:val="none"/>
          <w:lang w:val="en-US" w:eastAsia="zh-CN"/>
        </w:rPr>
      </w:pPr>
      <w:bookmarkStart w:id="106" w:name="_Toc25393"/>
      <w:r>
        <w:rPr>
          <w:rFonts w:hint="eastAsia"/>
          <w:color w:val="auto"/>
          <w:highlight w:val="none"/>
          <w:lang w:val="en-US" w:eastAsia="zh-CN"/>
        </w:rPr>
        <w:t>（资料性）</w:t>
      </w:r>
      <w:bookmarkEnd w:id="106"/>
    </w:p>
    <w:p>
      <w:pPr>
        <w:pStyle w:val="241"/>
        <w:keepNext w:val="0"/>
        <w:keepLines w:val="0"/>
        <w:pageBreakBefore w:val="0"/>
        <w:widowControl/>
        <w:numPr>
          <w:ilvl w:val="0"/>
          <w:numId w:val="0"/>
        </w:numPr>
        <w:kinsoku/>
        <w:wordWrap/>
        <w:overflowPunct/>
        <w:topLinePunct w:val="0"/>
        <w:autoSpaceDE/>
        <w:autoSpaceDN/>
        <w:bidi w:val="0"/>
        <w:adjustRightInd w:val="0"/>
        <w:snapToGrid w:val="0"/>
        <w:spacing w:beforeLines="0" w:afterLines="0"/>
        <w:jc w:val="center"/>
        <w:textAlignment w:val="auto"/>
        <w:outlineLvl w:val="0"/>
        <w:rPr>
          <w:rFonts w:hint="default"/>
          <w:color w:val="auto"/>
          <w:highlight w:val="none"/>
          <w:lang w:val="en-US" w:eastAsia="zh-CN"/>
        </w:rPr>
      </w:pPr>
      <w:bookmarkStart w:id="107" w:name="_Toc22923"/>
      <w:r>
        <w:rPr>
          <w:rFonts w:hint="eastAsia"/>
          <w:color w:val="auto"/>
          <w:highlight w:val="none"/>
          <w:lang w:val="en-US" w:eastAsia="zh-CN"/>
        </w:rPr>
        <w:t>猕猴桃避雨设施大棚主要类型设计图</w:t>
      </w:r>
      <w:bookmarkEnd w:id="107"/>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both"/>
        <w:textAlignment w:val="auto"/>
        <w:outlineLvl w:val="9"/>
        <w:rPr>
          <w:rFonts w:hint="eastAsia"/>
          <w:color w:val="auto"/>
          <w:highlight w:val="none"/>
          <w:lang w:val="en-US" w:eastAsia="zh-CN"/>
        </w:rPr>
      </w:pPr>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both"/>
        <w:textAlignment w:val="auto"/>
        <w:outlineLvl w:val="9"/>
        <w:rPr>
          <w:rFonts w:hint="default"/>
          <w:color w:val="auto"/>
          <w:highlight w:val="none"/>
          <w:lang w:val="en-US" w:eastAsia="zh-CN"/>
        </w:rPr>
      </w:pPr>
      <w:r>
        <w:rPr>
          <w:rFonts w:hint="eastAsia"/>
          <w:color w:val="auto"/>
          <w:highlight w:val="none"/>
          <w:lang w:val="en-US" w:eastAsia="zh-CN"/>
        </w:rPr>
        <w:t>A.1 猕猴桃简易避雨拱棚设计图</w:t>
      </w:r>
    </w:p>
    <w:p>
      <w:pPr>
        <w:pStyle w:val="240"/>
        <w:rPr>
          <w:rFonts w:hint="eastAsia"/>
          <w:color w:val="auto"/>
          <w:highlight w:val="none"/>
          <w:lang w:val="en-US" w:eastAsia="zh-CN"/>
        </w:rPr>
      </w:pPr>
      <w:r>
        <w:rPr>
          <w:rFonts w:hint="eastAsia"/>
          <w:color w:val="auto"/>
          <w:highlight w:val="none"/>
          <w:lang w:val="en-US" w:eastAsia="zh-CN"/>
        </w:rPr>
        <w:t>具体见图A.1</w:t>
      </w:r>
    </w:p>
    <w:p>
      <w:pPr>
        <w:pStyle w:val="240"/>
        <w:ind w:left="0" w:leftChars="0" w:firstLine="0" w:firstLineChars="0"/>
        <w:rPr>
          <w:rFonts w:hint="eastAsia"/>
          <w:color w:val="auto"/>
          <w:highlight w:val="none"/>
          <w:lang w:val="en-US" w:eastAsia="zh-CN"/>
        </w:rPr>
      </w:pPr>
      <w:r>
        <w:rPr>
          <w:rFonts w:hint="eastAsia"/>
          <w:color w:val="auto"/>
          <w:highlight w:val="none"/>
          <w:lang w:val="en-US" w:eastAsia="zh-CN"/>
        </w:rPr>
        <w:drawing>
          <wp:inline distT="0" distB="0" distL="114300" distR="114300">
            <wp:extent cx="5694045" cy="7226300"/>
            <wp:effectExtent l="12700" t="12700" r="27305" b="19050"/>
            <wp:docPr id="4" name="图片 4" descr="猕猴桃大棚方案（2023.11.8改 初稿）-07 Model (1)_0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猕猴桃大棚方案（2023.11.8改 初稿）-07 Model (1)_00"/>
                    <pic:cNvPicPr>
                      <a:picLocks noChangeAspect="true"/>
                    </pic:cNvPicPr>
                  </pic:nvPicPr>
                  <pic:blipFill>
                    <a:blip r:embed="rId15"/>
                    <a:srcRect l="1862" t="7784" r="2204" b="6128"/>
                    <a:stretch>
                      <a:fillRect/>
                    </a:stretch>
                  </pic:blipFill>
                  <pic:spPr>
                    <a:xfrm>
                      <a:off x="0" y="0"/>
                      <a:ext cx="5694045" cy="7226300"/>
                    </a:xfrm>
                    <a:prstGeom prst="rect">
                      <a:avLst/>
                    </a:prstGeom>
                    <a:ln w="12700" cmpd="sng">
                      <a:solidFill>
                        <a:schemeClr val="tx1"/>
                      </a:solidFill>
                      <a:prstDash val="solid"/>
                    </a:ln>
                  </pic:spPr>
                </pic:pic>
              </a:graphicData>
            </a:graphic>
          </wp:inline>
        </w:drawing>
      </w:r>
    </w:p>
    <w:p>
      <w:pPr>
        <w:rPr>
          <w:rFonts w:hint="eastAsia"/>
          <w:color w:val="auto"/>
          <w:highlight w:val="none"/>
          <w:lang w:val="en-US" w:eastAsia="zh-CN"/>
        </w:rPr>
      </w:pPr>
      <w:r>
        <w:rPr>
          <w:rFonts w:hint="eastAsia"/>
          <w:color w:val="auto"/>
          <w:highlight w:val="none"/>
          <w:lang w:val="en-US" w:eastAsia="zh-CN"/>
        </w:rPr>
        <w:br w:type="page"/>
      </w:r>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both"/>
        <w:textAlignment w:val="auto"/>
        <w:outlineLvl w:val="9"/>
        <w:rPr>
          <w:rFonts w:hint="default"/>
          <w:color w:val="auto"/>
          <w:highlight w:val="none"/>
          <w:lang w:val="en-US" w:eastAsia="zh-CN"/>
        </w:rPr>
      </w:pPr>
      <w:r>
        <w:rPr>
          <w:rFonts w:hint="eastAsia"/>
          <w:color w:val="auto"/>
          <w:highlight w:val="none"/>
          <w:lang w:val="en-US" w:eastAsia="zh-CN"/>
        </w:rPr>
        <w:t>A.2 猕猴桃简易钢架拱棚设计图</w:t>
      </w:r>
    </w:p>
    <w:p>
      <w:pPr>
        <w:pStyle w:val="240"/>
        <w:rPr>
          <w:rFonts w:hint="default"/>
          <w:color w:val="auto"/>
          <w:highlight w:val="none"/>
          <w:lang w:val="en-US" w:eastAsia="zh-CN"/>
        </w:rPr>
      </w:pPr>
      <w:r>
        <w:rPr>
          <w:rFonts w:hint="eastAsia"/>
          <w:color w:val="auto"/>
          <w:highlight w:val="none"/>
          <w:lang w:val="en-US" w:eastAsia="zh-CN"/>
        </w:rPr>
        <w:t>具体见图A.2</w:t>
      </w:r>
    </w:p>
    <w:p>
      <w:pPr>
        <w:pStyle w:val="240"/>
        <w:ind w:left="0" w:leftChars="0" w:firstLine="0" w:firstLineChars="0"/>
        <w:jc w:val="center"/>
        <w:rPr>
          <w:rFonts w:hint="eastAsia"/>
          <w:color w:val="auto"/>
          <w:highlight w:val="none"/>
          <w:lang w:val="en-US" w:eastAsia="zh-CN"/>
        </w:rPr>
      </w:pPr>
      <w:r>
        <w:rPr>
          <w:rFonts w:hint="eastAsia"/>
          <w:color w:val="auto"/>
          <w:highlight w:val="none"/>
          <w:lang w:val="en-US" w:eastAsia="zh-CN"/>
        </w:rPr>
        <w:drawing>
          <wp:inline distT="0" distB="0" distL="114300" distR="114300">
            <wp:extent cx="5604510" cy="8050530"/>
            <wp:effectExtent l="12700" t="12700" r="21590" b="13970"/>
            <wp:docPr id="6" name="图片 6" descr="猕猴桃大棚方案（2023.11.8改 初稿）-07 Model (1)_0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猕猴桃大棚方案（2023.11.8改 初稿）-07 Model (1)_01"/>
                    <pic:cNvPicPr>
                      <a:picLocks noChangeAspect="true"/>
                    </pic:cNvPicPr>
                  </pic:nvPicPr>
                  <pic:blipFill>
                    <a:blip r:embed="rId16"/>
                    <a:srcRect l="2857" t="1286" r="1690" b="1770"/>
                    <a:stretch>
                      <a:fillRect/>
                    </a:stretch>
                  </pic:blipFill>
                  <pic:spPr>
                    <a:xfrm rot="10800000">
                      <a:off x="0" y="0"/>
                      <a:ext cx="5604510" cy="8050530"/>
                    </a:xfrm>
                    <a:prstGeom prst="rect">
                      <a:avLst/>
                    </a:prstGeom>
                    <a:ln w="12700" cmpd="sng">
                      <a:solidFill>
                        <a:schemeClr val="tx1"/>
                      </a:solidFill>
                      <a:prstDash val="solid"/>
                    </a:ln>
                  </pic:spPr>
                </pic:pic>
              </a:graphicData>
            </a:graphic>
          </wp:inline>
        </w:drawing>
      </w:r>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both"/>
        <w:textAlignment w:val="auto"/>
        <w:outlineLvl w:val="9"/>
        <w:rPr>
          <w:rFonts w:hint="eastAsia"/>
          <w:color w:val="auto"/>
          <w:highlight w:val="none"/>
          <w:lang w:val="en-US" w:eastAsia="zh-CN"/>
        </w:rPr>
      </w:pPr>
      <w:r>
        <w:rPr>
          <w:rFonts w:hint="eastAsia"/>
          <w:color w:val="auto"/>
          <w:highlight w:val="none"/>
          <w:lang w:val="en-US" w:eastAsia="zh-CN"/>
        </w:rPr>
        <w:t>A.3 猕猴桃高标准钢架连栋拱棚设计图</w:t>
      </w:r>
    </w:p>
    <w:p>
      <w:pPr>
        <w:pStyle w:val="240"/>
        <w:rPr>
          <w:rFonts w:hint="default"/>
          <w:color w:val="auto"/>
          <w:highlight w:val="none"/>
          <w:lang w:val="en-US" w:eastAsia="zh-CN"/>
        </w:rPr>
      </w:pPr>
      <w:r>
        <w:rPr>
          <w:rFonts w:hint="eastAsia"/>
          <w:color w:val="auto"/>
          <w:highlight w:val="none"/>
          <w:lang w:val="en-US" w:eastAsia="zh-CN"/>
        </w:rPr>
        <w:t>具体见图A.3</w:t>
      </w:r>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center"/>
        <w:textAlignment w:val="auto"/>
        <w:outlineLvl w:val="9"/>
        <w:rPr>
          <w:rFonts w:hint="default"/>
          <w:color w:val="auto"/>
          <w:highlight w:val="none"/>
          <w:lang w:val="en-US" w:eastAsia="zh-CN"/>
        </w:rPr>
      </w:pPr>
      <w:r>
        <w:rPr>
          <w:rFonts w:hint="default"/>
          <w:color w:val="auto"/>
          <w:highlight w:val="none"/>
          <w:lang w:val="en-US" w:eastAsia="zh-CN"/>
        </w:rPr>
        <w:drawing>
          <wp:inline distT="0" distB="0" distL="114300" distR="114300">
            <wp:extent cx="5842000" cy="7804785"/>
            <wp:effectExtent l="12700" t="12700" r="12700" b="31115"/>
            <wp:docPr id="7" name="图片 7" descr="猕猴桃大棚方案（2023.11.8改 初稿）-07 Model (1)_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猕猴桃大棚方案（2023.11.8改 初稿）-07 Model (1)_02"/>
                    <pic:cNvPicPr>
                      <a:picLocks noChangeAspect="true"/>
                    </pic:cNvPicPr>
                  </pic:nvPicPr>
                  <pic:blipFill>
                    <a:blip r:embed="rId17"/>
                    <a:srcRect l="3113" t="5923" r="2022" b="4463"/>
                    <a:stretch>
                      <a:fillRect/>
                    </a:stretch>
                  </pic:blipFill>
                  <pic:spPr>
                    <a:xfrm>
                      <a:off x="0" y="0"/>
                      <a:ext cx="5842000" cy="7804785"/>
                    </a:xfrm>
                    <a:prstGeom prst="rect">
                      <a:avLst/>
                    </a:prstGeom>
                    <a:ln w="12700" cmpd="sng">
                      <a:solidFill>
                        <a:schemeClr val="tx1"/>
                      </a:solidFill>
                      <a:prstDash val="solid"/>
                    </a:ln>
                  </pic:spPr>
                </pic:pic>
              </a:graphicData>
            </a:graphic>
          </wp:inline>
        </w:drawing>
      </w:r>
    </w:p>
    <w:p>
      <w:pPr>
        <w:rPr>
          <w:rFonts w:hint="default"/>
          <w:color w:val="auto"/>
          <w:highlight w:val="none"/>
          <w:lang w:val="en-US" w:eastAsia="zh-CN"/>
        </w:rPr>
      </w:pPr>
      <w:r>
        <w:rPr>
          <w:rFonts w:hint="default"/>
          <w:color w:val="auto"/>
          <w:highlight w:val="none"/>
          <w:lang w:val="en-US" w:eastAsia="zh-CN"/>
        </w:rPr>
        <w:br w:type="page"/>
      </w:r>
    </w:p>
    <w:p>
      <w:pPr>
        <w:pStyle w:val="253"/>
        <w:keepNext w:val="0"/>
        <w:keepLines w:val="0"/>
        <w:pageBreakBefore w:val="0"/>
        <w:widowControl/>
        <w:numPr>
          <w:ilvl w:val="0"/>
          <w:numId w:val="0"/>
        </w:numPr>
        <w:kinsoku/>
        <w:wordWrap/>
        <w:overflowPunct/>
        <w:topLinePunct w:val="0"/>
        <w:autoSpaceDE/>
        <w:autoSpaceDN/>
        <w:bidi w:val="0"/>
        <w:adjustRightInd w:val="0"/>
        <w:snapToGrid w:val="0"/>
        <w:spacing w:before="0" w:beforeLines="0" w:after="0" w:afterLines="0"/>
        <w:jc w:val="both"/>
        <w:textAlignment w:val="auto"/>
        <w:outlineLvl w:val="9"/>
        <w:rPr>
          <w:rFonts w:hint="default"/>
          <w:color w:val="auto"/>
          <w:highlight w:val="none"/>
          <w:lang w:val="en-US" w:eastAsia="zh-CN"/>
        </w:rPr>
      </w:pPr>
      <w:r>
        <w:rPr>
          <w:rFonts w:hint="eastAsia"/>
          <w:color w:val="auto"/>
          <w:highlight w:val="none"/>
          <w:lang w:val="en-US" w:eastAsia="zh-CN"/>
        </w:rPr>
        <w:t>A.4.1 全开式屋脊钢架棚（夯链纵向复膜收缩式）设计图</w:t>
      </w:r>
    </w:p>
    <w:p>
      <w:pPr>
        <w:pStyle w:val="240"/>
        <w:rPr>
          <w:rFonts w:hint="default"/>
          <w:color w:val="auto"/>
          <w:highlight w:val="none"/>
          <w:lang w:val="en-US" w:eastAsia="zh-CN"/>
        </w:rPr>
      </w:pPr>
      <w:r>
        <w:rPr>
          <w:rFonts w:hint="eastAsia"/>
          <w:color w:val="auto"/>
          <w:highlight w:val="none"/>
          <w:lang w:val="en-US" w:eastAsia="zh-CN"/>
        </w:rPr>
        <w:t>具体见图A.4.1</w:t>
      </w:r>
    </w:p>
    <w:p>
      <w:pPr>
        <w:pStyle w:val="240"/>
        <w:ind w:left="0" w:leftChars="0" w:firstLine="0" w:firstLineChars="0"/>
        <w:rPr>
          <w:rFonts w:hint="eastAsia"/>
          <w:color w:val="auto"/>
          <w:highlight w:val="none"/>
          <w:lang w:val="en-US" w:eastAsia="zh-CN"/>
        </w:rPr>
      </w:pPr>
      <w:r>
        <w:rPr>
          <w:rFonts w:hint="eastAsia"/>
          <w:color w:val="auto"/>
          <w:highlight w:val="none"/>
          <w:lang w:val="en-US" w:eastAsia="zh-CN"/>
        </w:rPr>
        <w:drawing>
          <wp:inline distT="0" distB="0" distL="114300" distR="114300">
            <wp:extent cx="5848350" cy="7957820"/>
            <wp:effectExtent l="12700" t="12700" r="25400" b="30480"/>
            <wp:docPr id="8" name="图片 8" descr="猕猴桃大棚方案（2023.11.8改 初稿）-07 Model (1)_0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猕猴桃大棚方案（2023.11.8改 初稿）-07 Model (1)_03"/>
                    <pic:cNvPicPr>
                      <a:picLocks noChangeAspect="true"/>
                    </pic:cNvPicPr>
                  </pic:nvPicPr>
                  <pic:blipFill>
                    <a:blip r:embed="rId18"/>
                    <a:srcRect l="706" t="4448" r="1701" b="1657"/>
                    <a:stretch>
                      <a:fillRect/>
                    </a:stretch>
                  </pic:blipFill>
                  <pic:spPr>
                    <a:xfrm rot="10800000">
                      <a:off x="0" y="0"/>
                      <a:ext cx="5848350" cy="7957820"/>
                    </a:xfrm>
                    <a:prstGeom prst="rect">
                      <a:avLst/>
                    </a:prstGeom>
                    <a:ln w="12700" cmpd="sng">
                      <a:solidFill>
                        <a:schemeClr val="tx1"/>
                      </a:solidFill>
                      <a:prstDash val="solid"/>
                    </a:ln>
                  </pic:spPr>
                </pic:pic>
              </a:graphicData>
            </a:graphic>
          </wp:inline>
        </w:drawing>
      </w:r>
    </w:p>
    <w:p>
      <w:pPr>
        <w:rPr>
          <w:rFonts w:hint="default"/>
          <w:color w:val="auto"/>
          <w:highlight w:val="none"/>
          <w:lang w:val="en-US" w:eastAsia="zh-CN"/>
        </w:rPr>
      </w:pPr>
      <w:r>
        <w:rPr>
          <w:rFonts w:hint="eastAsia"/>
          <w:color w:val="auto"/>
          <w:highlight w:val="none"/>
          <w:lang w:val="en-US" w:eastAsia="zh-CN"/>
        </w:rPr>
        <w:t>A.4.2 全开式屋脊钢架棚（全钢架横向卷膜式）设计图</w:t>
      </w:r>
    </w:p>
    <w:p>
      <w:pPr>
        <w:pStyle w:val="240"/>
        <w:rPr>
          <w:rFonts w:hint="default"/>
          <w:color w:val="auto"/>
          <w:highlight w:val="none"/>
          <w:lang w:val="en-US" w:eastAsia="zh-CN"/>
        </w:rPr>
      </w:pPr>
      <w:r>
        <w:rPr>
          <w:rFonts w:hint="eastAsia"/>
          <w:color w:val="auto"/>
          <w:highlight w:val="none"/>
          <w:lang w:val="en-US" w:eastAsia="zh-CN"/>
        </w:rPr>
        <w:t>具体见图A.4.2</w:t>
      </w:r>
    </w:p>
    <w:p>
      <w:pPr>
        <w:pStyle w:val="240"/>
        <w:ind w:left="0" w:leftChars="0" w:firstLine="0" w:firstLineChars="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608320" cy="7898765"/>
            <wp:effectExtent l="12700" t="12700" r="17780" b="13335"/>
            <wp:docPr id="9" name="图片 9" descr="猕猴桃大棚方案（2023.11.8改 初稿）-07 Model (1)_0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猕猴桃大棚方案（2023.11.8改 初稿）-07 Model (1)_04"/>
                    <pic:cNvPicPr>
                      <a:picLocks noChangeAspect="true"/>
                    </pic:cNvPicPr>
                  </pic:nvPicPr>
                  <pic:blipFill>
                    <a:blip r:embed="rId19"/>
                    <a:srcRect l="920" t="2050" r="2290" b="1581"/>
                    <a:stretch>
                      <a:fillRect/>
                    </a:stretch>
                  </pic:blipFill>
                  <pic:spPr>
                    <a:xfrm rot="10800000">
                      <a:off x="0" y="0"/>
                      <a:ext cx="5608320" cy="7898765"/>
                    </a:xfrm>
                    <a:prstGeom prst="rect">
                      <a:avLst/>
                    </a:prstGeom>
                    <a:ln w="12700" cmpd="sng">
                      <a:solidFill>
                        <a:schemeClr val="tx1"/>
                      </a:solidFill>
                      <a:prstDash val="solid"/>
                    </a:ln>
                  </pic:spPr>
                </pic:pic>
              </a:graphicData>
            </a:graphic>
          </wp:inline>
        </w:drawing>
      </w:r>
    </w:p>
    <w:sectPr>
      <w:footerReference r:id="rId12" w:type="default"/>
      <w:pgSz w:w="11906" w:h="16838"/>
      <w:pgMar w:top="1871"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serif">
    <w:altName w:val="Mangal"/>
    <w:panose1 w:val="00000000000000000000"/>
    <w:charset w:val="00"/>
    <w:family w:val="auto"/>
    <w:pitch w:val="default"/>
    <w:sig w:usb0="00000000" w:usb1="00000000" w:usb2="00000000" w:usb3="00000000" w:csb0="0000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思源宋体 CN">
    <w:panose1 w:val="02020500000000000000"/>
    <w:charset w:val="86"/>
    <w:family w:val="auto"/>
    <w:pitch w:val="default"/>
    <w:sig w:usb0="20000083" w:usb1="2ADF3C10" w:usb2="00000016" w:usb3="00000000" w:csb0="60060107" w:csb1="00000000"/>
  </w:font>
  <w:font w:name="Lucida Sans">
    <w:panose1 w:val="020B0602030504020204"/>
    <w:charset w:val="00"/>
    <w:family w:val="auto"/>
    <w:pitch w:val="default"/>
    <w:sig w:usb0="00000000" w:usb1="00000000" w:usb2="00000000" w:usb3="00000000" w:csb0="00000000" w:csb1="00000000"/>
  </w:font>
  <w:font w:name="方正北魏楷书_Yolan">
    <w:panose1 w:val="02000000000000000000"/>
    <w:charset w:val="86"/>
    <w:family w:val="auto"/>
    <w:pitch w:val="default"/>
    <w:sig w:usb0="800002FF" w:usb1="F8DFFFFF" w:usb2="00040037" w:usb3="00000000" w:csb0="E01E019F" w:csb1="9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PAGE   \* MERGEFORMAT</w:instrText>
    </w:r>
    <w:r>
      <w:fldChar w:fldCharType="separate"/>
    </w:r>
    <w:r>
      <w:rPr>
        <w:lang w:val="zh-CN"/>
      </w:rPr>
      <w:t>II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7</w:t>
    </w:r>
    <w:r>
      <w:fldChar w:fldCharType="end"/>
    </w:r>
  </w:p>
  <w:p>
    <w:pPr>
      <w:pStyle w:val="6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hint="eastAsia" w:ascii="黑体" w:hAnsi="黑体" w:eastAsia="黑体"/>
        <w:lang w:eastAsia="zh-CN"/>
      </w:rPr>
    </w:pPr>
    <w:r>
      <w:rPr>
        <w:rFonts w:ascii="黑体" w:hAnsi="黑体" w:eastAsia="黑体"/>
      </w:rPr>
      <w:t>Q/LB.</w:t>
    </w:r>
    <w:r>
      <w:rPr>
        <w:rFonts w:hint="eastAsia" w:ascii="黑体" w:hAnsi="黑体" w:eastAsia="黑体"/>
      </w:rPr>
      <w:t>□</w:t>
    </w:r>
    <w:r>
      <w:rPr>
        <w:rFonts w:hint="eastAsia" w:ascii="黑体" w:hAnsi="黑体" w:eastAsia="黑体"/>
        <w:lang w:eastAsia="zh-CN"/>
      </w:rPr>
      <w:t>×××××</w:t>
    </w:r>
    <w:r>
      <w:rPr>
        <w:rFonts w:ascii="黑体" w:hAnsi="黑体" w:eastAsia="黑体"/>
      </w:rPr>
      <w:t>-</w:t>
    </w:r>
    <w:r>
      <w:rPr>
        <w:rFonts w:hint="eastAsia" w:ascii="黑体" w:hAnsi="黑体" w:eastAsia="黑体"/>
        <w:lang w:eastAsia="zh-CN"/>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3"/>
    </w:pPr>
    <w:r>
      <w:fldChar w:fldCharType="begin"/>
    </w:r>
    <w:r>
      <w:instrText xml:space="preserve"> STYLEREF  标准文件_文件编号  \* MERGEFORMAT </w:instrText>
    </w:r>
    <w:r>
      <w:fldChar w:fldCharType="separate"/>
    </w:r>
    <w:r>
      <w:t>DB5108/T ××××—2023</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DB5108/T ××××—2023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76"/>
      <w:lvlText w:val="[%1]"/>
      <w:lvlJc w:val="left"/>
      <w:pPr>
        <w:tabs>
          <w:tab w:val="left" w:pos="1646"/>
        </w:tabs>
        <w:ind w:left="1646" w:hanging="648"/>
      </w:pPr>
      <w:rPr>
        <w:rFonts w:cs="Times New Roman"/>
      </w:rPr>
    </w:lvl>
    <w:lvl w:ilvl="1" w:tentative="0">
      <w:start w:val="1"/>
      <w:numFmt w:val="lowerLetter"/>
      <w:lvlText w:val="%2)"/>
      <w:lvlJc w:val="left"/>
      <w:pPr>
        <w:tabs>
          <w:tab w:val="left" w:pos="1838"/>
        </w:tabs>
        <w:ind w:left="1838" w:hanging="420"/>
      </w:pPr>
      <w:rPr>
        <w:rFonts w:cs="Times New Roman"/>
      </w:rPr>
    </w:lvl>
    <w:lvl w:ilvl="2" w:tentative="0">
      <w:start w:val="1"/>
      <w:numFmt w:val="lowerRoman"/>
      <w:lvlText w:val="%3."/>
      <w:lvlJc w:val="right"/>
      <w:pPr>
        <w:tabs>
          <w:tab w:val="left" w:pos="2258"/>
        </w:tabs>
        <w:ind w:left="2258" w:hanging="420"/>
      </w:pPr>
      <w:rPr>
        <w:rFonts w:cs="Times New Roman"/>
      </w:rPr>
    </w:lvl>
    <w:lvl w:ilvl="3" w:tentative="0">
      <w:start w:val="1"/>
      <w:numFmt w:val="decimal"/>
      <w:lvlText w:val="%4."/>
      <w:lvlJc w:val="left"/>
      <w:pPr>
        <w:tabs>
          <w:tab w:val="left" w:pos="2678"/>
        </w:tabs>
        <w:ind w:left="2678" w:hanging="420"/>
      </w:pPr>
      <w:rPr>
        <w:rFonts w:cs="Times New Roman"/>
      </w:rPr>
    </w:lvl>
    <w:lvl w:ilvl="4" w:tentative="0">
      <w:start w:val="1"/>
      <w:numFmt w:val="lowerLetter"/>
      <w:lvlText w:val="%5)"/>
      <w:lvlJc w:val="left"/>
      <w:pPr>
        <w:tabs>
          <w:tab w:val="left" w:pos="3098"/>
        </w:tabs>
        <w:ind w:left="3098" w:hanging="420"/>
      </w:pPr>
      <w:rPr>
        <w:rFonts w:cs="Times New Roman"/>
      </w:rPr>
    </w:lvl>
    <w:lvl w:ilvl="5" w:tentative="0">
      <w:start w:val="1"/>
      <w:numFmt w:val="lowerRoman"/>
      <w:lvlText w:val="%6."/>
      <w:lvlJc w:val="right"/>
      <w:pPr>
        <w:tabs>
          <w:tab w:val="left" w:pos="3518"/>
        </w:tabs>
        <w:ind w:left="3518" w:hanging="420"/>
      </w:pPr>
      <w:rPr>
        <w:rFonts w:cs="Times New Roman"/>
      </w:rPr>
    </w:lvl>
    <w:lvl w:ilvl="6" w:tentative="0">
      <w:start w:val="1"/>
      <w:numFmt w:val="decimal"/>
      <w:lvlText w:val="%7."/>
      <w:lvlJc w:val="left"/>
      <w:pPr>
        <w:tabs>
          <w:tab w:val="left" w:pos="3938"/>
        </w:tabs>
        <w:ind w:left="3938" w:hanging="420"/>
      </w:pPr>
      <w:rPr>
        <w:rFonts w:cs="Times New Roman"/>
      </w:rPr>
    </w:lvl>
    <w:lvl w:ilvl="7" w:tentative="0">
      <w:start w:val="1"/>
      <w:numFmt w:val="lowerLetter"/>
      <w:lvlText w:val="%8)"/>
      <w:lvlJc w:val="left"/>
      <w:pPr>
        <w:tabs>
          <w:tab w:val="left" w:pos="4358"/>
        </w:tabs>
        <w:ind w:left="4358" w:hanging="420"/>
      </w:pPr>
      <w:rPr>
        <w:rFonts w:cs="Times New Roman"/>
      </w:rPr>
    </w:lvl>
    <w:lvl w:ilvl="8" w:tentative="0">
      <w:start w:val="1"/>
      <w:numFmt w:val="lowerRoman"/>
      <w:lvlText w:val="%9."/>
      <w:lvlJc w:val="right"/>
      <w:pPr>
        <w:tabs>
          <w:tab w:val="left" w:pos="4778"/>
        </w:tabs>
        <w:ind w:left="4778" w:hanging="420"/>
      </w:pPr>
      <w:rPr>
        <w:rFonts w:cs="Times New Roman"/>
      </w:rPr>
    </w:lvl>
  </w:abstractNum>
  <w:abstractNum w:abstractNumId="1">
    <w:nsid w:val="040A15CD"/>
    <w:multiLevelType w:val="multilevel"/>
    <w:tmpl w:val="040A15CD"/>
    <w:lvl w:ilvl="0" w:tentative="0">
      <w:start w:val="1"/>
      <w:numFmt w:val="none"/>
      <w:suff w:val="nothing"/>
      <w:lvlText w:val="　"/>
      <w:lvlJc w:val="left"/>
      <w:rPr>
        <w:rFonts w:cs="Times New Roman"/>
      </w:rPr>
    </w:lvl>
    <w:lvl w:ilvl="1" w:tentative="0">
      <w:start w:val="1"/>
      <w:numFmt w:val="decimal"/>
      <w:isLgl/>
      <w:suff w:val="nothing"/>
      <w:lvlText w:val="%2　"/>
      <w:lvlJc w:val="left"/>
      <w:rPr>
        <w:rFonts w:cs="Times New Roman"/>
      </w:rPr>
    </w:lvl>
    <w:lvl w:ilvl="2" w:tentative="0">
      <w:start w:val="1"/>
      <w:numFmt w:val="decimal"/>
      <w:pStyle w:val="169"/>
      <w:suff w:val="nothing"/>
      <w:lvlText w:val="%1%2.%3　"/>
      <w:lvlJc w:val="left"/>
      <w:rPr>
        <w:rFonts w:cs="Times New Roman"/>
      </w:rPr>
    </w:lvl>
    <w:lvl w:ilvl="3" w:tentative="0">
      <w:start w:val="1"/>
      <w:numFmt w:val="decimal"/>
      <w:pStyle w:val="128"/>
      <w:suff w:val="nothing"/>
      <w:lvlText w:val="%1%2.%3.%4　"/>
      <w:lvlJc w:val="left"/>
      <w:rPr>
        <w:rFonts w:cs="Times New Roman"/>
      </w:rPr>
    </w:lvl>
    <w:lvl w:ilvl="4" w:tentative="0">
      <w:start w:val="1"/>
      <w:numFmt w:val="decimal"/>
      <w:pStyle w:val="163"/>
      <w:suff w:val="nothing"/>
      <w:lvlText w:val="%1%2.%3.%4.%5　"/>
      <w:lvlJc w:val="left"/>
      <w:rPr>
        <w:rFonts w:cs="Times New Roman"/>
      </w:rPr>
    </w:lvl>
    <w:lvl w:ilvl="5" w:tentative="0">
      <w:start w:val="1"/>
      <w:numFmt w:val="decimal"/>
      <w:pStyle w:val="165"/>
      <w:suff w:val="nothing"/>
      <w:lvlText w:val="%1%2.%3.%4.%5.%6　"/>
      <w:lvlJc w:val="left"/>
      <w:rPr>
        <w:rFonts w:cs="Times New Roman"/>
      </w:rPr>
    </w:lvl>
    <w:lvl w:ilvl="6" w:tentative="0">
      <w:start w:val="1"/>
      <w:numFmt w:val="decimal"/>
      <w:pStyle w:val="168"/>
      <w:suff w:val="nothing"/>
      <w:lvlText w:val="%1%2.%3.%4.%5.%6.%7　"/>
      <w:lvlJc w:val="left"/>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2">
    <w:nsid w:val="079102AD"/>
    <w:multiLevelType w:val="multilevel"/>
    <w:tmpl w:val="079102AD"/>
    <w:lvl w:ilvl="0" w:tentative="0">
      <w:start w:val="1"/>
      <w:numFmt w:val="decimal"/>
      <w:pStyle w:val="190"/>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3">
    <w:nsid w:val="07ED3FEA"/>
    <w:multiLevelType w:val="multilevel"/>
    <w:tmpl w:val="07ED3FEA"/>
    <w:lvl w:ilvl="0" w:tentative="0">
      <w:start w:val="1"/>
      <w:numFmt w:val="none"/>
      <w:pStyle w:val="100"/>
      <w:lvlText w:val="%1"/>
      <w:lvlJc w:val="left"/>
      <w:pPr>
        <w:ind w:left="425" w:hanging="425"/>
      </w:pPr>
      <w:rPr>
        <w:rFonts w:hint="eastAsia" w:cs="Times New Roman"/>
      </w:rPr>
    </w:lvl>
    <w:lvl w:ilvl="1" w:tentative="0">
      <w:start w:val="1"/>
      <w:numFmt w:val="decimal"/>
      <w:pStyle w:val="250"/>
      <w:suff w:val="nothing"/>
      <w:lvlText w:val="%10.%2 "/>
      <w:lvlJc w:val="left"/>
      <w:rPr>
        <w:rFonts w:hint="eastAsia" w:ascii="黑体" w:hAnsi="等线" w:eastAsia="黑体" w:cs="Times New Roman"/>
        <w:b w:val="0"/>
        <w:i w:val="0"/>
        <w:sz w:val="21"/>
      </w:rPr>
    </w:lvl>
    <w:lvl w:ilvl="2" w:tentative="0">
      <w:start w:val="1"/>
      <w:numFmt w:val="decimal"/>
      <w:pStyle w:val="211"/>
      <w:suff w:val="nothing"/>
      <w:lvlText w:val="%10.%2.%3 "/>
      <w:lvlJc w:val="left"/>
      <w:rPr>
        <w:rFonts w:hint="eastAsia" w:ascii="黑体" w:hAnsi="等线" w:eastAsia="黑体" w:cs="Times New Roman"/>
        <w:b w:val="0"/>
        <w:i w:val="0"/>
        <w:sz w:val="21"/>
      </w:rPr>
    </w:lvl>
    <w:lvl w:ilvl="3" w:tentative="0">
      <w:start w:val="1"/>
      <w:numFmt w:val="decimal"/>
      <w:pStyle w:val="212"/>
      <w:suff w:val="nothing"/>
      <w:lvlText w:val="%10.%2.%3.%4 "/>
      <w:lvlJc w:val="left"/>
      <w:rPr>
        <w:rFonts w:hint="eastAsia" w:ascii="黑体" w:hAnsi="等线" w:eastAsia="黑体" w:cs="Times New Roman"/>
        <w:b w:val="0"/>
        <w:i w:val="0"/>
        <w:sz w:val="21"/>
      </w:rPr>
    </w:lvl>
    <w:lvl w:ilvl="4" w:tentative="0">
      <w:start w:val="1"/>
      <w:numFmt w:val="decimal"/>
      <w:pStyle w:val="213"/>
      <w:suff w:val="nothing"/>
      <w:lvlText w:val="%10.%2.%3.%4.%5 "/>
      <w:lvlJc w:val="left"/>
      <w:rPr>
        <w:rFonts w:hint="eastAsia" w:ascii="黑体" w:hAnsi="等线" w:eastAsia="黑体" w:cs="Times New Roman"/>
        <w:b w:val="0"/>
        <w:i w:val="0"/>
        <w:sz w:val="21"/>
      </w:rPr>
    </w:lvl>
    <w:lvl w:ilvl="5" w:tentative="0">
      <w:start w:val="1"/>
      <w:numFmt w:val="decimal"/>
      <w:pStyle w:val="214"/>
      <w:suff w:val="nothing"/>
      <w:lvlText w:val="%10.%2.%3.%4.%5.%6 "/>
      <w:lvlJc w:val="left"/>
      <w:rPr>
        <w:rFonts w:hint="eastAsia" w:ascii="黑体" w:hAnsi="等线" w:eastAsia="黑体" w:cs="Times New Roman"/>
        <w:b w:val="0"/>
        <w:i w:val="0"/>
        <w:sz w:val="21"/>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4">
    <w:nsid w:val="0AE367E9"/>
    <w:multiLevelType w:val="multilevel"/>
    <w:tmpl w:val="0AE367E9"/>
    <w:lvl w:ilvl="0" w:tentative="0">
      <w:start w:val="1"/>
      <w:numFmt w:val="none"/>
      <w:pStyle w:val="191"/>
      <w:suff w:val="nothing"/>
      <w:lvlText w:val="%1示例："/>
      <w:lvlJc w:val="left"/>
      <w:pPr>
        <w:ind w:firstLine="363"/>
      </w:pPr>
      <w:rPr>
        <w:rFonts w:hint="eastAsia" w:ascii="黑体" w:eastAsia="黑体" w:cs="Times New Roman"/>
        <w:b w:val="0"/>
        <w:i w:val="0"/>
        <w:sz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5">
    <w:nsid w:val="0BDC1670"/>
    <w:multiLevelType w:val="multilevel"/>
    <w:tmpl w:val="0BDC1670"/>
    <w:lvl w:ilvl="0" w:tentative="0">
      <w:start w:val="1"/>
      <w:numFmt w:val="decimal"/>
      <w:pStyle w:val="79"/>
      <w:lvlText w:val="[%1]"/>
      <w:lvlJc w:val="left"/>
      <w:pPr>
        <w:ind w:left="823"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pStyle w:val="252"/>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D051F45"/>
    <w:multiLevelType w:val="multilevel"/>
    <w:tmpl w:val="0D051F45"/>
    <w:lvl w:ilvl="0" w:tentative="0">
      <w:start w:val="1"/>
      <w:numFmt w:val="lowerRoman"/>
      <w:pStyle w:val="179"/>
      <w:lvlText w:val="%1)"/>
      <w:lvlJc w:val="left"/>
      <w:pPr>
        <w:tabs>
          <w:tab w:val="left" w:pos="851"/>
        </w:tabs>
        <w:ind w:left="851" w:hanging="426"/>
      </w:pPr>
      <w:rPr>
        <w:rFonts w:hint="eastAsia" w:ascii="宋体" w:hAnsi="Times New Roman" w:eastAsia="宋体" w:cs="Times New Roman"/>
        <w:sz w:val="21"/>
      </w:rPr>
    </w:lvl>
    <w:lvl w:ilvl="1" w:tentative="0">
      <w:start w:val="1"/>
      <w:numFmt w:val="lowerLetter"/>
      <w:lvlText w:val="%2)"/>
      <w:lvlJc w:val="left"/>
      <w:pPr>
        <w:tabs>
          <w:tab w:val="left" w:pos="1543"/>
        </w:tabs>
        <w:ind w:left="1543" w:hanging="420"/>
      </w:pPr>
      <w:rPr>
        <w:rFonts w:hint="eastAsia" w:cs="Times New Roman"/>
      </w:rPr>
    </w:lvl>
    <w:lvl w:ilvl="2" w:tentative="0">
      <w:start w:val="1"/>
      <w:numFmt w:val="lowerRoman"/>
      <w:lvlText w:val="%3."/>
      <w:lvlJc w:val="right"/>
      <w:pPr>
        <w:tabs>
          <w:tab w:val="left" w:pos="1963"/>
        </w:tabs>
        <w:ind w:left="1963" w:hanging="420"/>
      </w:pPr>
      <w:rPr>
        <w:rFonts w:hint="eastAsia" w:cs="Times New Roman"/>
      </w:rPr>
    </w:lvl>
    <w:lvl w:ilvl="3" w:tentative="0">
      <w:start w:val="1"/>
      <w:numFmt w:val="decimal"/>
      <w:lvlText w:val="%4."/>
      <w:lvlJc w:val="left"/>
      <w:pPr>
        <w:tabs>
          <w:tab w:val="left" w:pos="2383"/>
        </w:tabs>
        <w:ind w:left="2383" w:hanging="420"/>
      </w:pPr>
      <w:rPr>
        <w:rFonts w:hint="eastAsia" w:cs="Times New Roman"/>
      </w:rPr>
    </w:lvl>
    <w:lvl w:ilvl="4" w:tentative="0">
      <w:start w:val="1"/>
      <w:numFmt w:val="lowerLetter"/>
      <w:lvlText w:val="%5)"/>
      <w:lvlJc w:val="left"/>
      <w:pPr>
        <w:tabs>
          <w:tab w:val="left" w:pos="2803"/>
        </w:tabs>
        <w:ind w:left="2803" w:hanging="420"/>
      </w:pPr>
      <w:rPr>
        <w:rFonts w:hint="eastAsia" w:cs="Times New Roman"/>
      </w:rPr>
    </w:lvl>
    <w:lvl w:ilvl="5" w:tentative="0">
      <w:start w:val="1"/>
      <w:numFmt w:val="lowerRoman"/>
      <w:lvlText w:val="%6."/>
      <w:lvlJc w:val="right"/>
      <w:pPr>
        <w:tabs>
          <w:tab w:val="left" w:pos="3223"/>
        </w:tabs>
        <w:ind w:left="3223" w:hanging="420"/>
      </w:pPr>
      <w:rPr>
        <w:rFonts w:hint="eastAsia" w:cs="Times New Roman"/>
      </w:rPr>
    </w:lvl>
    <w:lvl w:ilvl="6" w:tentative="0">
      <w:start w:val="1"/>
      <w:numFmt w:val="decimal"/>
      <w:lvlText w:val="%7."/>
      <w:lvlJc w:val="left"/>
      <w:pPr>
        <w:tabs>
          <w:tab w:val="left" w:pos="3643"/>
        </w:tabs>
        <w:ind w:left="3643" w:hanging="420"/>
      </w:pPr>
      <w:rPr>
        <w:rFonts w:hint="eastAsia" w:cs="Times New Roman"/>
      </w:rPr>
    </w:lvl>
    <w:lvl w:ilvl="7" w:tentative="0">
      <w:start w:val="1"/>
      <w:numFmt w:val="lowerLetter"/>
      <w:lvlText w:val="%8)"/>
      <w:lvlJc w:val="left"/>
      <w:pPr>
        <w:tabs>
          <w:tab w:val="left" w:pos="4063"/>
        </w:tabs>
        <w:ind w:left="4063" w:hanging="420"/>
      </w:pPr>
      <w:rPr>
        <w:rFonts w:hint="eastAsia" w:cs="Times New Roman"/>
      </w:rPr>
    </w:lvl>
    <w:lvl w:ilvl="8" w:tentative="0">
      <w:start w:val="1"/>
      <w:numFmt w:val="lowerRoman"/>
      <w:lvlText w:val="%9."/>
      <w:lvlJc w:val="right"/>
      <w:pPr>
        <w:tabs>
          <w:tab w:val="left" w:pos="4483"/>
        </w:tabs>
        <w:ind w:left="4483" w:hanging="420"/>
      </w:pPr>
      <w:rPr>
        <w:rFonts w:hint="eastAsia" w:cs="Times New Roman"/>
      </w:rPr>
    </w:lvl>
  </w:abstractNum>
  <w:abstractNum w:abstractNumId="7">
    <w:nsid w:val="1AD20F90"/>
    <w:multiLevelType w:val="multilevel"/>
    <w:tmpl w:val="1AD20F90"/>
    <w:lvl w:ilvl="0" w:tentative="0">
      <w:start w:val="1"/>
      <w:numFmt w:val="none"/>
      <w:pStyle w:val="120"/>
      <w:lvlText w:val="%1注："/>
      <w:lvlJc w:val="left"/>
      <w:pPr>
        <w:tabs>
          <w:tab w:val="left" w:pos="845"/>
        </w:tabs>
        <w:ind w:left="-102" w:firstLine="419"/>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8">
    <w:nsid w:val="1AF15012"/>
    <w:multiLevelType w:val="multilevel"/>
    <w:tmpl w:val="1AF15012"/>
    <w:lvl w:ilvl="0" w:tentative="0">
      <w:start w:val="1"/>
      <w:numFmt w:val="upperLetter"/>
      <w:pStyle w:val="97"/>
      <w:suff w:val="nothing"/>
      <w:lvlText w:val="附 录(Annex) %1"/>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9">
    <w:nsid w:val="1EAA1992"/>
    <w:multiLevelType w:val="multilevel"/>
    <w:tmpl w:val="1EAA1992"/>
    <w:lvl w:ilvl="0" w:tentative="0">
      <w:start w:val="1"/>
      <w:numFmt w:val="none"/>
      <w:pStyle w:val="103"/>
      <w:suff w:val="nothing"/>
      <w:lvlText w:val="——"/>
      <w:lvlJc w:val="left"/>
      <w:pPr>
        <w:ind w:left="794" w:hanging="397"/>
      </w:pPr>
      <w:rPr>
        <w:rFonts w:cs="Times New Roman"/>
      </w:rPr>
    </w:lvl>
    <w:lvl w:ilvl="1" w:tentative="0">
      <w:start w:val="1"/>
      <w:numFmt w:val="decimal"/>
      <w:suff w:val="nothing"/>
      <w:lvlText w:val="%1.%2　"/>
      <w:lvlJc w:val="left"/>
      <w:pPr>
        <w:ind w:left="397"/>
      </w:pPr>
      <w:rPr>
        <w:rFonts w:cs="Times New Roman"/>
      </w:rPr>
    </w:lvl>
    <w:lvl w:ilvl="2" w:tentative="0">
      <w:start w:val="1"/>
      <w:numFmt w:val="decimal"/>
      <w:suff w:val="nothing"/>
      <w:lvlText w:val="%1.%2.%3　"/>
      <w:lvlJc w:val="left"/>
      <w:pPr>
        <w:ind w:left="397"/>
      </w:pPr>
      <w:rPr>
        <w:rFonts w:cs="Times New Roman"/>
      </w:rPr>
    </w:lvl>
    <w:lvl w:ilvl="3" w:tentative="0">
      <w:start w:val="1"/>
      <w:numFmt w:val="decimal"/>
      <w:suff w:val="nothing"/>
      <w:lvlText w:val="%1.%2.%3.%4　"/>
      <w:lvlJc w:val="left"/>
      <w:pPr>
        <w:ind w:left="397"/>
      </w:pPr>
      <w:rPr>
        <w:rFonts w:cs="Times New Roman"/>
      </w:rPr>
    </w:lvl>
    <w:lvl w:ilvl="4" w:tentative="0">
      <w:start w:val="1"/>
      <w:numFmt w:val="decimal"/>
      <w:suff w:val="nothing"/>
      <w:lvlText w:val="%1.%2.%3.%4.%5　"/>
      <w:lvlJc w:val="left"/>
      <w:pPr>
        <w:ind w:left="397"/>
      </w:pPr>
      <w:rPr>
        <w:rFonts w:cs="Times New Roman"/>
      </w:rPr>
    </w:lvl>
    <w:lvl w:ilvl="5" w:tentative="0">
      <w:start w:val="1"/>
      <w:numFmt w:val="decimal"/>
      <w:suff w:val="nothing"/>
      <w:lvlText w:val="%1.%2.%3.%4.%5.%6　"/>
      <w:lvlJc w:val="left"/>
      <w:pPr>
        <w:ind w:left="397"/>
      </w:pPr>
      <w:rPr>
        <w:rFonts w:cs="Times New Roman"/>
      </w:rPr>
    </w:lvl>
    <w:lvl w:ilvl="6" w:tentative="0">
      <w:start w:val="1"/>
      <w:numFmt w:val="decimal"/>
      <w:suff w:val="nothing"/>
      <w:lvlText w:val="%1.%2.%3.%4.%5.%6.%7　"/>
      <w:lvlJc w:val="left"/>
      <w:pPr>
        <w:ind w:left="397"/>
      </w:pPr>
      <w:rPr>
        <w:rFonts w:cs="Times New Roman"/>
      </w:rPr>
    </w:lvl>
    <w:lvl w:ilvl="7" w:tentative="0">
      <w:start w:val="1"/>
      <w:numFmt w:val="decimal"/>
      <w:lvlText w:val="%1.%2.%3.%4.%5.%6.%7.%8"/>
      <w:lvlJc w:val="left"/>
      <w:pPr>
        <w:tabs>
          <w:tab w:val="left" w:pos="4791"/>
        </w:tabs>
        <w:ind w:left="4791" w:hanging="1418"/>
      </w:pPr>
      <w:rPr>
        <w:rFonts w:cs="Times New Roman"/>
      </w:rPr>
    </w:lvl>
    <w:lvl w:ilvl="8" w:tentative="0">
      <w:start w:val="1"/>
      <w:numFmt w:val="decimal"/>
      <w:lvlText w:val="%1.%2.%3.%4.%5.%6.%7.%8.%9"/>
      <w:lvlJc w:val="left"/>
      <w:pPr>
        <w:tabs>
          <w:tab w:val="left" w:pos="5499"/>
        </w:tabs>
        <w:ind w:left="5499" w:hanging="1700"/>
      </w:pPr>
      <w:rPr>
        <w:rFonts w:cs="Times New Roman"/>
      </w:rPr>
    </w:lvl>
  </w:abstractNum>
  <w:abstractNum w:abstractNumId="10">
    <w:nsid w:val="1FC91163"/>
    <w:multiLevelType w:val="multilevel"/>
    <w:tmpl w:val="1FC91163"/>
    <w:lvl w:ilvl="0" w:tentative="0">
      <w:start w:val="1"/>
      <w:numFmt w:val="decimal"/>
      <w:pStyle w:val="241"/>
      <w:suff w:val="nothing"/>
      <w:lvlText w:val="%1　"/>
      <w:lvlJc w:val="left"/>
      <w:rPr>
        <w:rFonts w:hint="eastAsia" w:ascii="黑体" w:hAnsi="Times New Roman" w:eastAsia="黑体" w:cs="Times New Roman"/>
        <w:b w:val="0"/>
        <w:i w:val="0"/>
        <w:sz w:val="21"/>
        <w:szCs w:val="21"/>
      </w:rPr>
    </w:lvl>
    <w:lvl w:ilvl="1" w:tentative="0">
      <w:start w:val="1"/>
      <w:numFmt w:val="decimal"/>
      <w:pStyle w:val="242"/>
      <w:suff w:val="nothing"/>
      <w:lvlText w:val="%1.%2　"/>
      <w:lvlJc w:val="left"/>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default" w:ascii="宋体" w:hAnsi="宋体" w:eastAsia="宋体" w:cs="宋体"/>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1">
    <w:nsid w:val="2C5917C3"/>
    <w:multiLevelType w:val="multilevel"/>
    <w:tmpl w:val="2C5917C3"/>
    <w:lvl w:ilvl="0" w:tentative="0">
      <w:start w:val="1"/>
      <w:numFmt w:val="none"/>
      <w:pStyle w:val="142"/>
      <w:lvlText w:val="%1——"/>
      <w:lvlJc w:val="left"/>
      <w:pPr>
        <w:tabs>
          <w:tab w:val="left" w:pos="851"/>
        </w:tabs>
        <w:ind w:left="851" w:hanging="426"/>
      </w:pPr>
      <w:rPr>
        <w:rFonts w:hint="eastAsia" w:ascii="宋体" w:hAnsi="Times New Roman" w:eastAsia="宋体" w:cs="Times New Roman"/>
        <w:b w:val="0"/>
        <w:i w:val="0"/>
        <w:sz w:val="21"/>
      </w:rPr>
    </w:lvl>
    <w:lvl w:ilvl="1" w:tentative="0">
      <w:start w:val="1"/>
      <w:numFmt w:val="none"/>
      <w:pStyle w:val="197"/>
      <w:lvlText w:val=""/>
      <w:lvlJc w:val="left"/>
      <w:pPr>
        <w:ind w:left="851" w:hanging="431"/>
      </w:pPr>
      <w:rPr>
        <w:rFonts w:hint="default" w:ascii="Symbol" w:hAnsi="Symbol" w:cs="Times New Roman"/>
        <w:sz w:val="21"/>
      </w:rPr>
    </w:lvl>
    <w:lvl w:ilvl="2" w:tentative="0">
      <w:start w:val="1"/>
      <w:numFmt w:val="bullet"/>
      <w:pStyle w:val="18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12">
    <w:nsid w:val="32F04FB2"/>
    <w:multiLevelType w:val="multilevel"/>
    <w:tmpl w:val="32F04FB2"/>
    <w:lvl w:ilvl="0" w:tentative="0">
      <w:start w:val="1"/>
      <w:numFmt w:val="lowerLetter"/>
      <w:pStyle w:val="111"/>
      <w:lvlText w:val="%1"/>
      <w:lvlJc w:val="left"/>
      <w:pPr>
        <w:tabs>
          <w:tab w:val="left" w:pos="539"/>
        </w:tabs>
        <w:ind w:left="539" w:hanging="119"/>
      </w:pPr>
      <w:rPr>
        <w:rFonts w:hint="eastAsia" w:cs="Times New Roman"/>
        <w:caps w:val="0"/>
        <w:strike w:val="0"/>
        <w:dstrike w:val="0"/>
        <w:vanish w:val="0"/>
        <w:vertAlign w:val="superscript"/>
      </w:rPr>
    </w:lvl>
    <w:lvl w:ilvl="1" w:tentative="0">
      <w:start w:val="1"/>
      <w:numFmt w:val="lowerLetter"/>
      <w:lvlText w:val="%2)"/>
      <w:lvlJc w:val="left"/>
      <w:pPr>
        <w:ind w:left="1040" w:hanging="420"/>
      </w:pPr>
      <w:rPr>
        <w:rFonts w:hint="eastAsia" w:cs="Times New Roman"/>
      </w:rPr>
    </w:lvl>
    <w:lvl w:ilvl="2" w:tentative="0">
      <w:start w:val="1"/>
      <w:numFmt w:val="lowerRoman"/>
      <w:lvlText w:val="%3."/>
      <w:lvlJc w:val="right"/>
      <w:pPr>
        <w:ind w:left="1460" w:hanging="420"/>
      </w:pPr>
      <w:rPr>
        <w:rFonts w:hint="eastAsia" w:cs="Times New Roman"/>
      </w:rPr>
    </w:lvl>
    <w:lvl w:ilvl="3" w:tentative="0">
      <w:start w:val="1"/>
      <w:numFmt w:val="decimal"/>
      <w:lvlText w:val="%4."/>
      <w:lvlJc w:val="left"/>
      <w:pPr>
        <w:ind w:left="1880" w:hanging="420"/>
      </w:pPr>
      <w:rPr>
        <w:rFonts w:hint="eastAsia" w:cs="Times New Roman"/>
      </w:rPr>
    </w:lvl>
    <w:lvl w:ilvl="4" w:tentative="0">
      <w:start w:val="1"/>
      <w:numFmt w:val="lowerLetter"/>
      <w:lvlText w:val="%5)"/>
      <w:lvlJc w:val="left"/>
      <w:pPr>
        <w:ind w:left="2300" w:hanging="420"/>
      </w:pPr>
      <w:rPr>
        <w:rFonts w:hint="eastAsia" w:cs="Times New Roman"/>
      </w:rPr>
    </w:lvl>
    <w:lvl w:ilvl="5" w:tentative="0">
      <w:start w:val="1"/>
      <w:numFmt w:val="lowerRoman"/>
      <w:lvlText w:val="%6."/>
      <w:lvlJc w:val="right"/>
      <w:pPr>
        <w:ind w:left="2720" w:hanging="420"/>
      </w:pPr>
      <w:rPr>
        <w:rFonts w:hint="eastAsia" w:cs="Times New Roman"/>
      </w:rPr>
    </w:lvl>
    <w:lvl w:ilvl="6" w:tentative="0">
      <w:start w:val="1"/>
      <w:numFmt w:val="decimal"/>
      <w:lvlText w:val="%7."/>
      <w:lvlJc w:val="left"/>
      <w:pPr>
        <w:ind w:left="3140" w:hanging="420"/>
      </w:pPr>
      <w:rPr>
        <w:rFonts w:hint="eastAsia" w:cs="Times New Roman"/>
      </w:rPr>
    </w:lvl>
    <w:lvl w:ilvl="7" w:tentative="0">
      <w:start w:val="1"/>
      <w:numFmt w:val="lowerLetter"/>
      <w:lvlText w:val="%8)"/>
      <w:lvlJc w:val="left"/>
      <w:pPr>
        <w:ind w:left="3560" w:hanging="420"/>
      </w:pPr>
      <w:rPr>
        <w:rFonts w:hint="eastAsia" w:cs="Times New Roman"/>
      </w:rPr>
    </w:lvl>
    <w:lvl w:ilvl="8" w:tentative="0">
      <w:start w:val="1"/>
      <w:numFmt w:val="lowerRoman"/>
      <w:lvlText w:val="%9."/>
      <w:lvlJc w:val="right"/>
      <w:pPr>
        <w:ind w:left="3980" w:hanging="420"/>
      </w:pPr>
      <w:rPr>
        <w:rFonts w:hint="eastAsia" w:cs="Times New Roman"/>
      </w:rPr>
    </w:lvl>
  </w:abstractNum>
  <w:abstractNum w:abstractNumId="13">
    <w:nsid w:val="44C50F90"/>
    <w:multiLevelType w:val="multilevel"/>
    <w:tmpl w:val="44C50F90"/>
    <w:lvl w:ilvl="0" w:tentative="0">
      <w:start w:val="1"/>
      <w:numFmt w:val="lowerLetter"/>
      <w:pStyle w:val="184"/>
      <w:lvlText w:val="%1)"/>
      <w:lvlJc w:val="left"/>
      <w:pPr>
        <w:tabs>
          <w:tab w:val="left" w:pos="851"/>
        </w:tabs>
        <w:ind w:left="851" w:hanging="426"/>
      </w:pPr>
      <w:rPr>
        <w:rFonts w:hint="eastAsia" w:ascii="宋体" w:hAnsi="Times New Roman" w:eastAsia="宋体" w:cs="Times New Roman"/>
        <w:sz w:val="21"/>
      </w:rPr>
    </w:lvl>
    <w:lvl w:ilvl="1" w:tentative="0">
      <w:start w:val="1"/>
      <w:numFmt w:val="decimal"/>
      <w:pStyle w:val="119"/>
      <w:lvlText w:val="%2)"/>
      <w:lvlJc w:val="left"/>
      <w:pPr>
        <w:tabs>
          <w:tab w:val="left" w:pos="1276"/>
        </w:tabs>
        <w:ind w:left="1276" w:hanging="425"/>
      </w:pPr>
      <w:rPr>
        <w:rFonts w:hint="eastAsia" w:ascii="宋体" w:hAnsi="Times New Roman" w:eastAsia="宋体" w:cs="Times New Roman"/>
        <w:sz w:val="21"/>
      </w:rPr>
    </w:lvl>
    <w:lvl w:ilvl="2" w:tentative="0">
      <w:start w:val="1"/>
      <w:numFmt w:val="decimal"/>
      <w:pStyle w:val="127"/>
      <w:lvlText w:val="(%3)"/>
      <w:lvlJc w:val="left"/>
      <w:pPr>
        <w:ind w:left="1701" w:hanging="425"/>
      </w:pPr>
      <w:rPr>
        <w:rFonts w:hint="eastAsia" w:ascii="宋体" w:hAnsi="Times New Roman" w:eastAsia="宋体" w:cs="Times New Roman"/>
        <w:sz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4">
    <w:nsid w:val="48802D1C"/>
    <w:multiLevelType w:val="multilevel"/>
    <w:tmpl w:val="48802D1C"/>
    <w:lvl w:ilvl="0" w:tentative="0">
      <w:start w:val="1"/>
      <w:numFmt w:val="upperLetter"/>
      <w:pStyle w:val="208"/>
      <w:lvlText w:val="%1"/>
      <w:lvlJc w:val="left"/>
      <w:pPr>
        <w:ind w:left="420" w:hanging="420"/>
      </w:pPr>
      <w:rPr>
        <w:rFonts w:hint="eastAsia" w:cs="Times New Roman"/>
      </w:rPr>
    </w:lvl>
    <w:lvl w:ilvl="1" w:tentative="0">
      <w:start w:val="1"/>
      <w:numFmt w:val="decimal"/>
      <w:pStyle w:val="95"/>
      <w:suff w:val="space"/>
      <w:lvlText w:val="图%1.%2"/>
      <w:lvlJc w:val="cente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15">
    <w:nsid w:val="4B733A5F"/>
    <w:multiLevelType w:val="multilevel"/>
    <w:tmpl w:val="4B733A5F"/>
    <w:lvl w:ilvl="0" w:tentative="0">
      <w:start w:val="1"/>
      <w:numFmt w:val="decimal"/>
      <w:pStyle w:val="193"/>
      <w:suff w:val="nothing"/>
      <w:lvlText w:val="示例%1："/>
      <w:lvlJc w:val="left"/>
      <w:pPr>
        <w:ind w:firstLine="363"/>
      </w:pPr>
      <w:rPr>
        <w:rFonts w:hint="eastAsia" w:ascii="黑体" w:eastAsia="黑体" w:cs="Times New Roman"/>
        <w:b w:val="0"/>
        <w:i w:val="0"/>
        <w:sz w:val="18"/>
      </w:rPr>
    </w:lvl>
    <w:lvl w:ilvl="1" w:tentative="0">
      <w:start w:val="1"/>
      <w:numFmt w:val="none"/>
      <w:suff w:val="space"/>
      <w:lvlText w:val=""/>
      <w:lvlJc w:val="left"/>
      <w:rPr>
        <w:rFonts w:hint="eastAsia" w:cs="Times New Roman"/>
      </w:rPr>
    </w:lvl>
    <w:lvl w:ilvl="2" w:tentative="0">
      <w:start w:val="1"/>
      <w:numFmt w:val="decimal"/>
      <w:suff w:val="space"/>
      <w:lvlText w:val="2.2.%3"/>
      <w:lvlJc w:val="left"/>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6">
    <w:nsid w:val="4E5D0534"/>
    <w:multiLevelType w:val="multilevel"/>
    <w:tmpl w:val="4E5D0534"/>
    <w:lvl w:ilvl="0" w:tentative="0">
      <w:start w:val="1"/>
      <w:numFmt w:val="decimal"/>
      <w:pStyle w:val="126"/>
      <w:suff w:val="nothing"/>
      <w:lvlText w:val="Figure %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17">
    <w:nsid w:val="54632751"/>
    <w:multiLevelType w:val="multilevel"/>
    <w:tmpl w:val="54632751"/>
    <w:lvl w:ilvl="0" w:tentative="0">
      <w:start w:val="1"/>
      <w:numFmt w:val="none"/>
      <w:pStyle w:val="104"/>
      <w:suff w:val="nothing"/>
      <w:lvlText w:val="——"/>
      <w:lvlJc w:val="left"/>
      <w:pPr>
        <w:ind w:left="1588"/>
      </w:pPr>
      <w:rPr>
        <w:rFonts w:cs="Times New Roman"/>
      </w:rPr>
    </w:lvl>
    <w:lvl w:ilvl="1" w:tentative="0">
      <w:start w:val="1"/>
      <w:numFmt w:val="decimal"/>
      <w:suff w:val="nothing"/>
      <w:lvlText w:val="%1.%2　"/>
      <w:lvlJc w:val="left"/>
      <w:pPr>
        <w:ind w:left="1588"/>
      </w:pPr>
      <w:rPr>
        <w:rFonts w:cs="Times New Roman"/>
      </w:rPr>
    </w:lvl>
    <w:lvl w:ilvl="2" w:tentative="0">
      <w:start w:val="1"/>
      <w:numFmt w:val="decimal"/>
      <w:suff w:val="nothing"/>
      <w:lvlText w:val="%1.%2.%3　"/>
      <w:lvlJc w:val="left"/>
      <w:pPr>
        <w:ind w:left="1588"/>
      </w:pPr>
      <w:rPr>
        <w:rFonts w:cs="Times New Roman"/>
      </w:rPr>
    </w:lvl>
    <w:lvl w:ilvl="3" w:tentative="0">
      <w:start w:val="1"/>
      <w:numFmt w:val="decimal"/>
      <w:suff w:val="nothing"/>
      <w:lvlText w:val="%1.%2.%3.%4　"/>
      <w:lvlJc w:val="left"/>
      <w:pPr>
        <w:ind w:left="1588"/>
      </w:pPr>
      <w:rPr>
        <w:rFonts w:cs="Times New Roman"/>
      </w:rPr>
    </w:lvl>
    <w:lvl w:ilvl="4" w:tentative="0">
      <w:start w:val="1"/>
      <w:numFmt w:val="decimal"/>
      <w:suff w:val="nothing"/>
      <w:lvlText w:val="%1.%2.%3.%4.%5　"/>
      <w:lvlJc w:val="left"/>
      <w:pPr>
        <w:ind w:left="1588"/>
      </w:pPr>
      <w:rPr>
        <w:rFonts w:cs="Times New Roman"/>
      </w:rPr>
    </w:lvl>
    <w:lvl w:ilvl="5" w:tentative="0">
      <w:start w:val="1"/>
      <w:numFmt w:val="decimal"/>
      <w:suff w:val="nothing"/>
      <w:lvlText w:val="%1.%2.%3.%4.%5.%6　"/>
      <w:lvlJc w:val="left"/>
      <w:pPr>
        <w:ind w:left="1588"/>
      </w:pPr>
      <w:rPr>
        <w:rFonts w:cs="Times New Roman"/>
      </w:rPr>
    </w:lvl>
    <w:lvl w:ilvl="6" w:tentative="0">
      <w:start w:val="1"/>
      <w:numFmt w:val="decimal"/>
      <w:suff w:val="nothing"/>
      <w:lvlText w:val="%1.%2.%3.%4.%5.%6.%7　"/>
      <w:lvlJc w:val="left"/>
      <w:pPr>
        <w:ind w:left="1588"/>
      </w:pPr>
      <w:rPr>
        <w:rFonts w:cs="Times New Roman"/>
      </w:rPr>
    </w:lvl>
    <w:lvl w:ilvl="7" w:tentative="0">
      <w:start w:val="1"/>
      <w:numFmt w:val="decimal"/>
      <w:lvlText w:val="%1.%2.%3.%4.%5.%6.%7.%8"/>
      <w:lvlJc w:val="left"/>
      <w:pPr>
        <w:tabs>
          <w:tab w:val="left" w:pos="5982"/>
        </w:tabs>
        <w:ind w:left="5982" w:hanging="1418"/>
      </w:pPr>
      <w:rPr>
        <w:rFonts w:cs="Times New Roman"/>
      </w:rPr>
    </w:lvl>
    <w:lvl w:ilvl="8" w:tentative="0">
      <w:start w:val="1"/>
      <w:numFmt w:val="decimal"/>
      <w:lvlText w:val="%1.%2.%3.%4.%5.%6.%7.%8.%9"/>
      <w:lvlJc w:val="left"/>
      <w:pPr>
        <w:tabs>
          <w:tab w:val="left" w:pos="6690"/>
        </w:tabs>
        <w:ind w:left="6690" w:hanging="1700"/>
      </w:pPr>
      <w:rPr>
        <w:rFonts w:cs="Times New Roman"/>
      </w:rPr>
    </w:lvl>
  </w:abstractNum>
  <w:abstractNum w:abstractNumId="18">
    <w:nsid w:val="557C2AF5"/>
    <w:multiLevelType w:val="multilevel"/>
    <w:tmpl w:val="557C2AF5"/>
    <w:lvl w:ilvl="0" w:tentative="0">
      <w:start w:val="1"/>
      <w:numFmt w:val="decimal"/>
      <w:pStyle w:val="124"/>
      <w:suff w:val="nothing"/>
      <w:lvlText w:val="图%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19">
    <w:nsid w:val="5603797C"/>
    <w:multiLevelType w:val="multilevel"/>
    <w:tmpl w:val="5603797C"/>
    <w:lvl w:ilvl="0" w:tentative="0">
      <w:start w:val="1"/>
      <w:numFmt w:val="upperLetter"/>
      <w:pStyle w:val="209"/>
      <w:suff w:val="space"/>
      <w:lvlText w:val="%1"/>
      <w:lvlJc w:val="left"/>
      <w:pPr>
        <w:ind w:left="425" w:hanging="425"/>
      </w:pPr>
      <w:rPr>
        <w:rFonts w:hint="eastAsia" w:cs="Times New Roman"/>
      </w:rPr>
    </w:lvl>
    <w:lvl w:ilvl="1" w:tentative="0">
      <w:start w:val="1"/>
      <w:numFmt w:val="decimal"/>
      <w:pStyle w:val="89"/>
      <w:suff w:val="space"/>
      <w:lvlText w:val="表%1.%2"/>
      <w:lvlJc w:val="center"/>
      <w:rPr>
        <w:rFonts w:hint="eastAsia" w:ascii="黑体" w:eastAsia="黑体" w:cs="Times New Roman"/>
        <w:sz w:val="21"/>
      </w:rPr>
    </w:lvl>
    <w:lvl w:ilvl="2" w:tentative="0">
      <w:start w:val="1"/>
      <w:numFmt w:val="decimal"/>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20">
    <w:nsid w:val="564D2089"/>
    <w:multiLevelType w:val="multilevel"/>
    <w:tmpl w:val="564D2089"/>
    <w:lvl w:ilvl="0" w:tentative="0">
      <w:start w:val="1"/>
      <w:numFmt w:val="none"/>
      <w:pStyle w:val="121"/>
      <w:lvlText w:val="%1注"/>
      <w:lvlJc w:val="left"/>
      <w:pPr>
        <w:tabs>
          <w:tab w:val="left" w:pos="760"/>
        </w:tabs>
        <w:ind w:left="760" w:hanging="284"/>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1">
    <w:nsid w:val="644622F9"/>
    <w:multiLevelType w:val="multilevel"/>
    <w:tmpl w:val="644622F9"/>
    <w:lvl w:ilvl="0" w:tentative="0">
      <w:start w:val="1"/>
      <w:numFmt w:val="upperRoman"/>
      <w:pStyle w:val="178"/>
      <w:lvlText w:val="%1)"/>
      <w:lvlJc w:val="left"/>
      <w:pPr>
        <w:tabs>
          <w:tab w:val="left" w:pos="851"/>
        </w:tabs>
        <w:ind w:left="851" w:hanging="426"/>
      </w:pPr>
      <w:rPr>
        <w:rFonts w:hint="eastAsia" w:ascii="宋体" w:hAnsi="Times New Roman" w:eastAsia="宋体" w:cs="Times New Roman"/>
        <w:sz w:val="21"/>
      </w:rPr>
    </w:lvl>
    <w:lvl w:ilvl="1" w:tentative="0">
      <w:start w:val="1"/>
      <w:numFmt w:val="lowerLetter"/>
      <w:lvlText w:val="%2)"/>
      <w:lvlJc w:val="left"/>
      <w:pPr>
        <w:tabs>
          <w:tab w:val="left" w:pos="1310"/>
        </w:tabs>
        <w:ind w:left="1310" w:hanging="420"/>
      </w:pPr>
      <w:rPr>
        <w:rFonts w:hint="eastAsia" w:cs="Times New Roman"/>
      </w:rPr>
    </w:lvl>
    <w:lvl w:ilvl="2" w:tentative="0">
      <w:start w:val="1"/>
      <w:numFmt w:val="lowerRoman"/>
      <w:lvlText w:val="%3."/>
      <w:lvlJc w:val="right"/>
      <w:pPr>
        <w:tabs>
          <w:tab w:val="left" w:pos="1730"/>
        </w:tabs>
        <w:ind w:left="1730" w:hanging="420"/>
      </w:pPr>
      <w:rPr>
        <w:rFonts w:hint="eastAsia" w:cs="Times New Roman"/>
      </w:rPr>
    </w:lvl>
    <w:lvl w:ilvl="3" w:tentative="0">
      <w:start w:val="1"/>
      <w:numFmt w:val="decimal"/>
      <w:lvlText w:val="%4."/>
      <w:lvlJc w:val="left"/>
      <w:pPr>
        <w:tabs>
          <w:tab w:val="left" w:pos="2150"/>
        </w:tabs>
        <w:ind w:left="2150" w:hanging="420"/>
      </w:pPr>
      <w:rPr>
        <w:rFonts w:hint="eastAsia" w:cs="Times New Roman"/>
      </w:rPr>
    </w:lvl>
    <w:lvl w:ilvl="4" w:tentative="0">
      <w:start w:val="1"/>
      <w:numFmt w:val="lowerLetter"/>
      <w:lvlText w:val="%5)"/>
      <w:lvlJc w:val="left"/>
      <w:pPr>
        <w:tabs>
          <w:tab w:val="left" w:pos="2570"/>
        </w:tabs>
        <w:ind w:left="2570" w:hanging="420"/>
      </w:pPr>
      <w:rPr>
        <w:rFonts w:hint="eastAsia" w:cs="Times New Roman"/>
      </w:rPr>
    </w:lvl>
    <w:lvl w:ilvl="5" w:tentative="0">
      <w:start w:val="1"/>
      <w:numFmt w:val="lowerRoman"/>
      <w:lvlText w:val="%6."/>
      <w:lvlJc w:val="right"/>
      <w:pPr>
        <w:tabs>
          <w:tab w:val="left" w:pos="2990"/>
        </w:tabs>
        <w:ind w:left="2990" w:hanging="420"/>
      </w:pPr>
      <w:rPr>
        <w:rFonts w:hint="eastAsia" w:cs="Times New Roman"/>
      </w:rPr>
    </w:lvl>
    <w:lvl w:ilvl="6" w:tentative="0">
      <w:start w:val="1"/>
      <w:numFmt w:val="decimal"/>
      <w:lvlText w:val="%7."/>
      <w:lvlJc w:val="left"/>
      <w:pPr>
        <w:tabs>
          <w:tab w:val="left" w:pos="3410"/>
        </w:tabs>
        <w:ind w:left="3410" w:hanging="420"/>
      </w:pPr>
      <w:rPr>
        <w:rFonts w:hint="eastAsia" w:cs="Times New Roman"/>
      </w:rPr>
    </w:lvl>
    <w:lvl w:ilvl="7" w:tentative="0">
      <w:start w:val="1"/>
      <w:numFmt w:val="lowerLetter"/>
      <w:lvlText w:val="%8)"/>
      <w:lvlJc w:val="left"/>
      <w:pPr>
        <w:tabs>
          <w:tab w:val="left" w:pos="3830"/>
        </w:tabs>
        <w:ind w:left="3830" w:hanging="420"/>
      </w:pPr>
      <w:rPr>
        <w:rFonts w:hint="eastAsia" w:cs="Times New Roman"/>
      </w:rPr>
    </w:lvl>
    <w:lvl w:ilvl="8" w:tentative="0">
      <w:start w:val="1"/>
      <w:numFmt w:val="lowerRoman"/>
      <w:lvlText w:val="%9."/>
      <w:lvlJc w:val="right"/>
      <w:pPr>
        <w:tabs>
          <w:tab w:val="left" w:pos="4250"/>
        </w:tabs>
        <w:ind w:left="4250" w:hanging="420"/>
      </w:pPr>
      <w:rPr>
        <w:rFonts w:hint="eastAsia" w:cs="Times New Roman"/>
      </w:rPr>
    </w:lvl>
  </w:abstractNum>
  <w:abstractNum w:abstractNumId="22">
    <w:nsid w:val="646260FA"/>
    <w:multiLevelType w:val="multilevel"/>
    <w:tmpl w:val="646260FA"/>
    <w:lvl w:ilvl="0" w:tentative="0">
      <w:start w:val="1"/>
      <w:numFmt w:val="decimal"/>
      <w:pStyle w:val="122"/>
      <w:suff w:val="nothing"/>
      <w:lvlText w:val="表%1　"/>
      <w:lvlJc w:val="left"/>
      <w:rPr>
        <w:rFonts w:cs="Times New Roman"/>
      </w:rPr>
    </w:lvl>
    <w:lvl w:ilvl="1" w:tentative="0">
      <w:start w:val="1"/>
      <w:numFmt w:val="decimal"/>
      <w:lvlText w:val="%1.%2"/>
      <w:lvlJc w:val="left"/>
      <w:pPr>
        <w:tabs>
          <w:tab w:val="left" w:pos="992"/>
        </w:tabs>
        <w:ind w:left="992" w:hanging="567"/>
      </w:pPr>
      <w:rPr>
        <w:rFonts w:cs="Times New Roman"/>
      </w:rPr>
    </w:lvl>
    <w:lvl w:ilvl="2" w:tentative="0">
      <w:start w:val="1"/>
      <w:numFmt w:val="decimal"/>
      <w:lvlText w:val="%1.%2.%3"/>
      <w:lvlJc w:val="left"/>
      <w:pPr>
        <w:tabs>
          <w:tab w:val="left" w:pos="1417"/>
        </w:tabs>
        <w:ind w:left="1417" w:hanging="567"/>
      </w:pPr>
      <w:rPr>
        <w:rFonts w:cs="Times New Roman"/>
      </w:rPr>
    </w:lvl>
    <w:lvl w:ilvl="3" w:tentative="0">
      <w:start w:val="1"/>
      <w:numFmt w:val="decimal"/>
      <w:lvlText w:val="%1.%2.%3.%4"/>
      <w:lvlJc w:val="left"/>
      <w:pPr>
        <w:tabs>
          <w:tab w:val="left" w:pos="1984"/>
        </w:tabs>
        <w:ind w:left="1984" w:hanging="708"/>
      </w:pPr>
      <w:rPr>
        <w:rFonts w:cs="Times New Roman"/>
      </w:rPr>
    </w:lvl>
    <w:lvl w:ilvl="4" w:tentative="0">
      <w:start w:val="1"/>
      <w:numFmt w:val="decimal"/>
      <w:lvlText w:val="%1.%2.%3.%4.%5"/>
      <w:lvlJc w:val="left"/>
      <w:pPr>
        <w:tabs>
          <w:tab w:val="left" w:pos="2551"/>
        </w:tabs>
        <w:ind w:left="2551" w:hanging="850"/>
      </w:pPr>
      <w:rPr>
        <w:rFonts w:cs="Times New Roman"/>
      </w:rPr>
    </w:lvl>
    <w:lvl w:ilvl="5" w:tentative="0">
      <w:start w:val="1"/>
      <w:numFmt w:val="decimal"/>
      <w:lvlText w:val="%1.%2.%3.%4.%5.%6"/>
      <w:lvlJc w:val="left"/>
      <w:pPr>
        <w:tabs>
          <w:tab w:val="left" w:pos="3260"/>
        </w:tabs>
        <w:ind w:left="3260" w:hanging="1134"/>
      </w:pPr>
      <w:rPr>
        <w:rFonts w:cs="Times New Roman"/>
      </w:rPr>
    </w:lvl>
    <w:lvl w:ilvl="6" w:tentative="0">
      <w:start w:val="1"/>
      <w:numFmt w:val="decimal"/>
      <w:lvlText w:val="%1.%2.%3.%4.%5.%6.%7"/>
      <w:lvlJc w:val="left"/>
      <w:pPr>
        <w:tabs>
          <w:tab w:val="left" w:pos="3827"/>
        </w:tabs>
        <w:ind w:left="3827" w:hanging="1276"/>
      </w:pPr>
      <w:rPr>
        <w:rFonts w:cs="Times New Roman"/>
      </w:rPr>
    </w:lvl>
    <w:lvl w:ilvl="7" w:tentative="0">
      <w:start w:val="1"/>
      <w:numFmt w:val="decimal"/>
      <w:lvlText w:val="%1.%2.%3.%4.%5.%6.%7.%8"/>
      <w:lvlJc w:val="left"/>
      <w:pPr>
        <w:tabs>
          <w:tab w:val="left" w:pos="4394"/>
        </w:tabs>
        <w:ind w:left="4394" w:hanging="1418"/>
      </w:pPr>
      <w:rPr>
        <w:rFonts w:cs="Times New Roman"/>
      </w:rPr>
    </w:lvl>
    <w:lvl w:ilvl="8" w:tentative="0">
      <w:start w:val="1"/>
      <w:numFmt w:val="decimal"/>
      <w:lvlText w:val="%1.%2.%3.%4.%5.%6.%7.%8.%9"/>
      <w:lvlJc w:val="left"/>
      <w:pPr>
        <w:tabs>
          <w:tab w:val="left" w:pos="5102"/>
        </w:tabs>
        <w:ind w:left="5102" w:hanging="1700"/>
      </w:pPr>
      <w:rPr>
        <w:rFonts w:cs="Times New Roman"/>
      </w:rPr>
    </w:lvl>
  </w:abstractNum>
  <w:abstractNum w:abstractNumId="23">
    <w:nsid w:val="654A26C9"/>
    <w:multiLevelType w:val="multilevel"/>
    <w:tmpl w:val="654A26C9"/>
    <w:lvl w:ilvl="0" w:tentative="0">
      <w:start w:val="1"/>
      <w:numFmt w:val="none"/>
      <w:pStyle w:val="199"/>
      <w:lvlText w:val="──"/>
      <w:lvlJc w:val="left"/>
      <w:pPr>
        <w:ind w:left="851"/>
      </w:pPr>
      <w:rPr>
        <w:rFonts w:hint="eastAsia" w:ascii="宋体" w:hAnsi="等线 Light" w:eastAsia="宋体" w:cs="Times New Roman"/>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249"/>
      <w:suff w:val="nothing"/>
      <w:lvlText w:val="附录%1"/>
      <w:lvlJc w:val="left"/>
      <w:rPr>
        <w:rFonts w:hint="eastAsia" w:cs="Times New Roman"/>
        <w:spacing w:val="100"/>
      </w:rPr>
    </w:lvl>
    <w:lvl w:ilvl="1" w:tentative="0">
      <w:start w:val="1"/>
      <w:numFmt w:val="decimal"/>
      <w:pStyle w:val="90"/>
      <w:suff w:val="nothing"/>
      <w:lvlText w:val="%1.%2　"/>
      <w:lvlJc w:val="left"/>
      <w:rPr>
        <w:rFonts w:hint="eastAsia" w:ascii="黑体" w:eastAsia="黑体" w:cs="Times New Roman"/>
        <w:b w:val="0"/>
        <w:i w:val="0"/>
        <w:sz w:val="21"/>
      </w:rPr>
    </w:lvl>
    <w:lvl w:ilvl="2" w:tentative="0">
      <w:start w:val="1"/>
      <w:numFmt w:val="decimal"/>
      <w:pStyle w:val="91"/>
      <w:suff w:val="nothing"/>
      <w:lvlText w:val="%1.%2.%3　"/>
      <w:lvlJc w:val="left"/>
      <w:rPr>
        <w:rFonts w:hint="eastAsia" w:ascii="黑体" w:eastAsia="黑体" w:cs="Times New Roman"/>
        <w:b w:val="0"/>
        <w:i w:val="0"/>
        <w:sz w:val="21"/>
      </w:rPr>
    </w:lvl>
    <w:lvl w:ilvl="3" w:tentative="0">
      <w:start w:val="1"/>
      <w:numFmt w:val="decimal"/>
      <w:pStyle w:val="93"/>
      <w:suff w:val="nothing"/>
      <w:lvlText w:val="%1.%2.%3.%4　"/>
      <w:lvlJc w:val="left"/>
      <w:rPr>
        <w:rFonts w:hint="eastAsia" w:ascii="黑体" w:eastAsia="黑体" w:cs="Times New Roman"/>
        <w:b w:val="0"/>
        <w:i w:val="0"/>
        <w:sz w:val="21"/>
      </w:rPr>
    </w:lvl>
    <w:lvl w:ilvl="4" w:tentative="0">
      <w:start w:val="1"/>
      <w:numFmt w:val="decimal"/>
      <w:pStyle w:val="94"/>
      <w:suff w:val="nothing"/>
      <w:lvlText w:val="%1.%2.%3.%4.%5　"/>
      <w:lvlJc w:val="left"/>
      <w:rPr>
        <w:rFonts w:hint="eastAsia" w:ascii="黑体" w:eastAsia="黑体" w:cs="Times New Roman"/>
        <w:b w:val="0"/>
        <w:i w:val="0"/>
        <w:sz w:val="21"/>
      </w:rPr>
    </w:lvl>
    <w:lvl w:ilvl="5" w:tentative="0">
      <w:start w:val="1"/>
      <w:numFmt w:val="decimal"/>
      <w:pStyle w:val="96"/>
      <w:suff w:val="nothing"/>
      <w:lvlText w:val="%1.%2.%3.%4.%5.%6　"/>
      <w:lvlJc w:val="left"/>
      <w:rPr>
        <w:rFonts w:hint="eastAsia" w:ascii="黑体" w:eastAsia="黑体" w:cs="Times New Roman"/>
        <w:b w:val="0"/>
        <w:i w:val="0"/>
        <w:sz w:val="21"/>
      </w:rPr>
    </w:lvl>
    <w:lvl w:ilvl="6" w:tentative="0">
      <w:start w:val="1"/>
      <w:numFmt w:val="decimal"/>
      <w:suff w:val="nothing"/>
      <w:lvlText w:val="%1.%2.%3.%4.%5.%6.%7　"/>
      <w:lvlJc w:val="left"/>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abstractNum w:abstractNumId="25">
    <w:nsid w:val="69506ABF"/>
    <w:multiLevelType w:val="multilevel"/>
    <w:tmpl w:val="69506ABF"/>
    <w:lvl w:ilvl="0" w:tentative="0">
      <w:start w:val="1"/>
      <w:numFmt w:val="bullet"/>
      <w:pStyle w:val="198"/>
      <w:lvlText w:val=""/>
      <w:lvlJc w:val="left"/>
      <w:pPr>
        <w:ind w:left="851"/>
      </w:pPr>
      <w:rPr>
        <w:rFonts w:hint="default" w:ascii="Wingdings" w:hAnsi="Wingdings"/>
        <w:color w:val="auto"/>
      </w:rPr>
    </w:lvl>
    <w:lvl w:ilvl="1" w:tentative="0">
      <w:start w:val="1"/>
      <w:numFmt w:val="lowerLetter"/>
      <w:lvlText w:val="%2)"/>
      <w:lvlJc w:val="left"/>
      <w:pPr>
        <w:ind w:left="1040" w:hanging="420"/>
      </w:pPr>
      <w:rPr>
        <w:rFonts w:hint="eastAsia" w:cs="Times New Roman"/>
      </w:rPr>
    </w:lvl>
    <w:lvl w:ilvl="2" w:tentative="0">
      <w:start w:val="1"/>
      <w:numFmt w:val="lowerRoman"/>
      <w:lvlText w:val="%3."/>
      <w:lvlJc w:val="right"/>
      <w:pPr>
        <w:ind w:left="1460" w:hanging="420"/>
      </w:pPr>
      <w:rPr>
        <w:rFonts w:hint="eastAsia" w:cs="Times New Roman"/>
      </w:rPr>
    </w:lvl>
    <w:lvl w:ilvl="3" w:tentative="0">
      <w:start w:val="1"/>
      <w:numFmt w:val="decimal"/>
      <w:lvlText w:val="%4."/>
      <w:lvlJc w:val="left"/>
      <w:pPr>
        <w:ind w:left="1880" w:hanging="420"/>
      </w:pPr>
      <w:rPr>
        <w:rFonts w:hint="eastAsia" w:cs="Times New Roman"/>
      </w:rPr>
    </w:lvl>
    <w:lvl w:ilvl="4" w:tentative="0">
      <w:start w:val="1"/>
      <w:numFmt w:val="lowerLetter"/>
      <w:lvlText w:val="%5)"/>
      <w:lvlJc w:val="left"/>
      <w:pPr>
        <w:ind w:left="2300" w:hanging="420"/>
      </w:pPr>
      <w:rPr>
        <w:rFonts w:hint="eastAsia" w:cs="Times New Roman"/>
      </w:rPr>
    </w:lvl>
    <w:lvl w:ilvl="5" w:tentative="0">
      <w:start w:val="1"/>
      <w:numFmt w:val="lowerRoman"/>
      <w:lvlText w:val="%6."/>
      <w:lvlJc w:val="right"/>
      <w:pPr>
        <w:ind w:left="2720" w:hanging="420"/>
      </w:pPr>
      <w:rPr>
        <w:rFonts w:hint="eastAsia" w:cs="Times New Roman"/>
      </w:rPr>
    </w:lvl>
    <w:lvl w:ilvl="6" w:tentative="0">
      <w:start w:val="1"/>
      <w:numFmt w:val="decimal"/>
      <w:lvlText w:val="%7."/>
      <w:lvlJc w:val="left"/>
      <w:pPr>
        <w:ind w:left="3140" w:hanging="420"/>
      </w:pPr>
      <w:rPr>
        <w:rFonts w:hint="eastAsia" w:cs="Times New Roman"/>
      </w:rPr>
    </w:lvl>
    <w:lvl w:ilvl="7" w:tentative="0">
      <w:start w:val="1"/>
      <w:numFmt w:val="lowerLetter"/>
      <w:lvlText w:val="%8)"/>
      <w:lvlJc w:val="left"/>
      <w:pPr>
        <w:ind w:left="3560" w:hanging="420"/>
      </w:pPr>
      <w:rPr>
        <w:rFonts w:hint="eastAsia" w:cs="Times New Roman"/>
      </w:rPr>
    </w:lvl>
    <w:lvl w:ilvl="8" w:tentative="0">
      <w:start w:val="1"/>
      <w:numFmt w:val="lowerRoman"/>
      <w:lvlText w:val="%9."/>
      <w:lvlJc w:val="right"/>
      <w:pPr>
        <w:ind w:left="3980" w:hanging="420"/>
      </w:pPr>
      <w:rPr>
        <w:rFonts w:hint="eastAsia" w:cs="Times New Roman"/>
      </w:rPr>
    </w:lvl>
  </w:abstractNum>
  <w:abstractNum w:abstractNumId="26">
    <w:nsid w:val="6CA41985"/>
    <w:multiLevelType w:val="multilevel"/>
    <w:tmpl w:val="6CA41985"/>
    <w:lvl w:ilvl="0" w:tentative="0">
      <w:start w:val="1"/>
      <w:numFmt w:val="decimal"/>
      <w:pStyle w:val="108"/>
      <w:lvlText w:val="%1)"/>
      <w:lvlJc w:val="left"/>
      <w:pPr>
        <w:tabs>
          <w:tab w:val="left" w:pos="823"/>
        </w:tabs>
        <w:ind w:left="823"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7">
    <w:nsid w:val="6CE42AC1"/>
    <w:multiLevelType w:val="multilevel"/>
    <w:tmpl w:val="6CE42AC1"/>
    <w:lvl w:ilvl="0" w:tentative="0">
      <w:start w:val="1"/>
      <w:numFmt w:val="lowerLetter"/>
      <w:pStyle w:val="183"/>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8">
    <w:nsid w:val="6CEA2025"/>
    <w:multiLevelType w:val="multilevel"/>
    <w:tmpl w:val="6CEA2025"/>
    <w:lvl w:ilvl="0" w:tentative="0">
      <w:start w:val="1"/>
      <w:numFmt w:val="none"/>
      <w:pStyle w:val="162"/>
      <w:suff w:val="nothing"/>
      <w:lvlText w:val="%1"/>
      <w:lvlJc w:val="left"/>
      <w:rPr>
        <w:rFonts w:hint="eastAsia" w:cs="Times New Roman"/>
      </w:rPr>
    </w:lvl>
    <w:lvl w:ilvl="1" w:tentative="0">
      <w:start w:val="1"/>
      <w:numFmt w:val="decimal"/>
      <w:pStyle w:val="114"/>
      <w:suff w:val="nothing"/>
      <w:lvlText w:val="%1%2　"/>
      <w:lvlJc w:val="left"/>
      <w:rPr>
        <w:rFonts w:hint="eastAsia" w:ascii="黑体" w:eastAsia="黑体" w:cs="Times New Roman"/>
        <w:b w:val="0"/>
        <w:i w:val="0"/>
        <w:sz w:val="21"/>
      </w:rPr>
    </w:lvl>
    <w:lvl w:ilvl="2" w:tentative="0">
      <w:start w:val="1"/>
      <w:numFmt w:val="decimal"/>
      <w:pStyle w:val="115"/>
      <w:suff w:val="nothing"/>
      <w:lvlText w:val="%1%2.%3　"/>
      <w:lvlJc w:val="left"/>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77"/>
      <w:suff w:val="nothing"/>
      <w:lvlText w:val="%1%2.%3.%4　"/>
      <w:lvlJc w:val="left"/>
      <w:rPr>
        <w:rFonts w:hint="eastAsia" w:ascii="黑体" w:eastAsia="黑体" w:cs="Times New Roman"/>
        <w:b w:val="0"/>
        <w:i w:val="0"/>
        <w:sz w:val="21"/>
      </w:rPr>
    </w:lvl>
    <w:lvl w:ilvl="4" w:tentative="0">
      <w:start w:val="1"/>
      <w:numFmt w:val="decimal"/>
      <w:pStyle w:val="105"/>
      <w:suff w:val="nothing"/>
      <w:lvlText w:val="%1%2.%3.%4.%5　"/>
      <w:lvlJc w:val="left"/>
      <w:rPr>
        <w:rFonts w:hint="eastAsia" w:ascii="黑体" w:eastAsia="黑体" w:cs="Times New Roman"/>
        <w:b w:val="0"/>
        <w:i w:val="0"/>
        <w:sz w:val="21"/>
      </w:rPr>
    </w:lvl>
    <w:lvl w:ilvl="5" w:tentative="0">
      <w:start w:val="1"/>
      <w:numFmt w:val="decimal"/>
      <w:pStyle w:val="109"/>
      <w:suff w:val="nothing"/>
      <w:lvlText w:val="%1%2.%3.%4.%5.%6　"/>
      <w:lvlJc w:val="left"/>
      <w:rPr>
        <w:rFonts w:hint="eastAsia" w:ascii="黑体" w:eastAsia="黑体" w:cs="Times New Roman"/>
        <w:b w:val="0"/>
        <w:i w:val="0"/>
        <w:sz w:val="21"/>
      </w:rPr>
    </w:lvl>
    <w:lvl w:ilvl="6" w:tentative="0">
      <w:start w:val="1"/>
      <w:numFmt w:val="decimal"/>
      <w:pStyle w:val="113"/>
      <w:suff w:val="nothing"/>
      <w:lvlText w:val="%1%2.%3.%4.%5.%6.%7　"/>
      <w:lvlJc w:val="left"/>
      <w:rPr>
        <w:rFonts w:hint="eastAsia" w:ascii="黑体"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9">
    <w:nsid w:val="6DBF04F4"/>
    <w:multiLevelType w:val="multilevel"/>
    <w:tmpl w:val="6DBF04F4"/>
    <w:lvl w:ilvl="0" w:tentative="0">
      <w:start w:val="1"/>
      <w:numFmt w:val="none"/>
      <w:pStyle w:val="189"/>
      <w:lvlText w:val="%1注："/>
      <w:lvlJc w:val="left"/>
      <w:pPr>
        <w:ind w:left="737" w:hanging="374"/>
      </w:pPr>
      <w:rPr>
        <w:rFonts w:hint="eastAsia" w:ascii="黑体" w:eastAsia="黑体" w:cs="Times New Roman"/>
        <w:b w:val="0"/>
        <w:i w:val="0"/>
        <w:sz w:val="18"/>
      </w:rPr>
    </w:lvl>
    <w:lvl w:ilvl="1" w:tentative="0">
      <w:start w:val="1"/>
      <w:numFmt w:val="lowerLetter"/>
      <w:lvlText w:val="%2)"/>
      <w:lvlJc w:val="left"/>
      <w:pPr>
        <w:tabs>
          <w:tab w:val="left" w:pos="1140"/>
        </w:tabs>
        <w:ind w:left="726" w:hanging="363"/>
      </w:pPr>
      <w:rPr>
        <w:rFonts w:hint="eastAsia" w:cs="Times New Roman"/>
      </w:rPr>
    </w:lvl>
    <w:lvl w:ilvl="2" w:tentative="0">
      <w:start w:val="1"/>
      <w:numFmt w:val="lowerRoman"/>
      <w:lvlText w:val="%3."/>
      <w:lvlJc w:val="right"/>
      <w:pPr>
        <w:tabs>
          <w:tab w:val="left" w:pos="1140"/>
        </w:tabs>
        <w:ind w:left="726" w:hanging="363"/>
      </w:pPr>
      <w:rPr>
        <w:rFonts w:hint="eastAsia" w:cs="Times New Roman"/>
      </w:rPr>
    </w:lvl>
    <w:lvl w:ilvl="3" w:tentative="0">
      <w:start w:val="1"/>
      <w:numFmt w:val="decimal"/>
      <w:lvlText w:val="%4."/>
      <w:lvlJc w:val="left"/>
      <w:pPr>
        <w:tabs>
          <w:tab w:val="left" w:pos="1140"/>
        </w:tabs>
        <w:ind w:left="726" w:hanging="363"/>
      </w:pPr>
      <w:rPr>
        <w:rFonts w:hint="eastAsia" w:cs="Times New Roman"/>
      </w:rPr>
    </w:lvl>
    <w:lvl w:ilvl="4" w:tentative="0">
      <w:start w:val="1"/>
      <w:numFmt w:val="lowerLetter"/>
      <w:lvlText w:val="%5)"/>
      <w:lvlJc w:val="left"/>
      <w:pPr>
        <w:tabs>
          <w:tab w:val="left" w:pos="1140"/>
        </w:tabs>
        <w:ind w:left="726" w:hanging="363"/>
      </w:pPr>
      <w:rPr>
        <w:rFonts w:hint="eastAsia" w:cs="Times New Roman"/>
      </w:rPr>
    </w:lvl>
    <w:lvl w:ilvl="5" w:tentative="0">
      <w:start w:val="1"/>
      <w:numFmt w:val="lowerRoman"/>
      <w:lvlText w:val="%6."/>
      <w:lvlJc w:val="right"/>
      <w:pPr>
        <w:tabs>
          <w:tab w:val="left" w:pos="1140"/>
        </w:tabs>
        <w:ind w:left="726" w:hanging="363"/>
      </w:pPr>
      <w:rPr>
        <w:rFonts w:hint="eastAsia" w:cs="Times New Roman"/>
      </w:rPr>
    </w:lvl>
    <w:lvl w:ilvl="6" w:tentative="0">
      <w:start w:val="1"/>
      <w:numFmt w:val="decimal"/>
      <w:lvlText w:val="%7."/>
      <w:lvlJc w:val="left"/>
      <w:pPr>
        <w:tabs>
          <w:tab w:val="left" w:pos="1140"/>
        </w:tabs>
        <w:ind w:left="726" w:hanging="363"/>
      </w:pPr>
      <w:rPr>
        <w:rFonts w:hint="eastAsia" w:cs="Times New Roman"/>
      </w:rPr>
    </w:lvl>
    <w:lvl w:ilvl="7" w:tentative="0">
      <w:start w:val="1"/>
      <w:numFmt w:val="lowerLetter"/>
      <w:lvlText w:val="%8)"/>
      <w:lvlJc w:val="left"/>
      <w:pPr>
        <w:tabs>
          <w:tab w:val="left" w:pos="1140"/>
        </w:tabs>
        <w:ind w:left="726" w:hanging="363"/>
      </w:pPr>
      <w:rPr>
        <w:rFonts w:hint="eastAsia" w:cs="Times New Roman"/>
      </w:rPr>
    </w:lvl>
    <w:lvl w:ilvl="8" w:tentative="0">
      <w:start w:val="1"/>
      <w:numFmt w:val="lowerRoman"/>
      <w:lvlText w:val="%9."/>
      <w:lvlJc w:val="right"/>
      <w:pPr>
        <w:tabs>
          <w:tab w:val="left" w:pos="1140"/>
        </w:tabs>
        <w:ind w:left="726" w:hanging="363"/>
      </w:pPr>
      <w:rPr>
        <w:rFonts w:hint="eastAsia" w:cs="Times New Roman"/>
      </w:rPr>
    </w:lvl>
  </w:abstractNum>
  <w:abstractNum w:abstractNumId="30">
    <w:nsid w:val="6DF35F19"/>
    <w:multiLevelType w:val="multilevel"/>
    <w:tmpl w:val="6DF35F19"/>
    <w:lvl w:ilvl="0" w:tentative="0">
      <w:start w:val="1"/>
      <w:numFmt w:val="decimal"/>
      <w:pStyle w:val="125"/>
      <w:suff w:val="nothing"/>
      <w:lvlText w:val="Table %1　"/>
      <w:lvlJc w:val="left"/>
      <w:rPr>
        <w:rFonts w:cs="Times New Roman"/>
      </w:rPr>
    </w:lvl>
    <w:lvl w:ilvl="1" w:tentative="0">
      <w:start w:val="1"/>
      <w:numFmt w:val="decimal"/>
      <w:suff w:val="nothing"/>
      <w:lvlText w:val="%1%2　"/>
      <w:lvlJc w:val="left"/>
      <w:rPr>
        <w:rFonts w:cs="Times New Roman"/>
      </w:rPr>
    </w:lvl>
    <w:lvl w:ilvl="2" w:tentative="0">
      <w:start w:val="1"/>
      <w:numFmt w:val="decimal"/>
      <w:suff w:val="nothing"/>
      <w:lvlText w:val="%1%2.%3　"/>
      <w:lvlJc w:val="left"/>
      <w:rPr>
        <w:rFonts w:cs="Times New Roman"/>
      </w:rPr>
    </w:lvl>
    <w:lvl w:ilvl="3" w:tentative="0">
      <w:start w:val="1"/>
      <w:numFmt w:val="decimal"/>
      <w:suff w:val="nothing"/>
      <w:lvlText w:val="%1%2.%3.%4　"/>
      <w:lvlJc w:val="left"/>
      <w:rPr>
        <w:rFonts w:cs="Times New Roman"/>
      </w:rPr>
    </w:lvl>
    <w:lvl w:ilvl="4" w:tentative="0">
      <w:start w:val="1"/>
      <w:numFmt w:val="decimal"/>
      <w:suff w:val="nothing"/>
      <w:lvlText w:val="%1%2.%3.%4.%5　"/>
      <w:lvlJc w:val="left"/>
      <w:rPr>
        <w:rFonts w:cs="Times New Roman"/>
      </w:rPr>
    </w:lvl>
    <w:lvl w:ilvl="5" w:tentative="0">
      <w:start w:val="1"/>
      <w:numFmt w:val="decimal"/>
      <w:suff w:val="nothing"/>
      <w:lvlText w:val="%1%2.%3.%4.%5.%6　"/>
      <w:lvlJc w:val="left"/>
      <w:rPr>
        <w:rFonts w:cs="Times New Roman"/>
      </w:rPr>
    </w:lvl>
    <w:lvl w:ilvl="6" w:tentative="0">
      <w:start w:val="1"/>
      <w:numFmt w:val="decimal"/>
      <w:suff w:val="nothing"/>
      <w:lvlText w:val="%1%2.%3.%4.%5.%6.%7　"/>
      <w:lvlJc w:val="left"/>
      <w:rPr>
        <w:rFonts w:cs="Times New Roman"/>
      </w:rPr>
    </w:lvl>
    <w:lvl w:ilvl="7" w:tentative="0">
      <w:start w:val="1"/>
      <w:numFmt w:val="decimal"/>
      <w:lvlText w:val="%1.%2.%3.%4.%5.%6.%7.%8"/>
      <w:lvlJc w:val="left"/>
      <w:pPr>
        <w:tabs>
          <w:tab w:val="left" w:pos="4348"/>
        </w:tabs>
        <w:ind w:left="3969" w:hanging="1418"/>
      </w:pPr>
      <w:rPr>
        <w:rFonts w:cs="Times New Roman"/>
      </w:rPr>
    </w:lvl>
    <w:lvl w:ilvl="8" w:tentative="0">
      <w:start w:val="1"/>
      <w:numFmt w:val="decimal"/>
      <w:lvlText w:val="%1.%2.%3.%4.%5.%6.%7.%8.%9"/>
      <w:lvlJc w:val="left"/>
      <w:pPr>
        <w:tabs>
          <w:tab w:val="left" w:pos="4774"/>
        </w:tabs>
        <w:ind w:left="4677" w:hanging="1701"/>
      </w:pPr>
      <w:rPr>
        <w:rFonts w:cs="Times New Roman"/>
      </w:rPr>
    </w:lvl>
  </w:abstractNum>
  <w:abstractNum w:abstractNumId="31">
    <w:nsid w:val="76933334"/>
    <w:multiLevelType w:val="multilevel"/>
    <w:tmpl w:val="76933334"/>
    <w:lvl w:ilvl="0" w:tentative="0">
      <w:start w:val="1"/>
      <w:numFmt w:val="none"/>
      <w:pStyle w:val="149"/>
      <w:lvlText w:val="%1——"/>
      <w:lvlJc w:val="left"/>
      <w:pPr>
        <w:tabs>
          <w:tab w:val="left" w:pos="330"/>
        </w:tabs>
        <w:ind w:left="948"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28"/>
  </w:num>
  <w:num w:numId="3">
    <w:abstractNumId w:val="5"/>
  </w:num>
  <w:num w:numId="4">
    <w:abstractNumId w:val="19"/>
  </w:num>
  <w:num w:numId="5">
    <w:abstractNumId w:val="24"/>
  </w:num>
  <w:num w:numId="6">
    <w:abstractNumId w:val="14"/>
  </w:num>
  <w:num w:numId="7">
    <w:abstractNumId w:val="8"/>
  </w:num>
  <w:num w:numId="8">
    <w:abstractNumId w:val="3"/>
  </w:num>
  <w:num w:numId="9">
    <w:abstractNumId w:val="9"/>
  </w:num>
  <w:num w:numId="10">
    <w:abstractNumId w:val="17"/>
  </w:num>
  <w:num w:numId="11">
    <w:abstractNumId w:val="26"/>
  </w:num>
  <w:num w:numId="12">
    <w:abstractNumId w:val="12"/>
  </w:num>
  <w:num w:numId="13">
    <w:abstractNumId w:val="13"/>
  </w:num>
  <w:num w:numId="14">
    <w:abstractNumId w:val="7"/>
  </w:num>
  <w:num w:numId="15">
    <w:abstractNumId w:val="20"/>
  </w:num>
  <w:num w:numId="16">
    <w:abstractNumId w:val="22"/>
  </w:num>
  <w:num w:numId="17">
    <w:abstractNumId w:val="18"/>
  </w:num>
  <w:num w:numId="18">
    <w:abstractNumId w:val="30"/>
  </w:num>
  <w:num w:numId="19">
    <w:abstractNumId w:val="16"/>
  </w:num>
  <w:num w:numId="20">
    <w:abstractNumId w:val="1"/>
  </w:num>
  <w:num w:numId="21">
    <w:abstractNumId w:val="11"/>
  </w:num>
  <w:num w:numId="22">
    <w:abstractNumId w:val="31"/>
  </w:num>
  <w:num w:numId="23">
    <w:abstractNumId w:val="21"/>
  </w:num>
  <w:num w:numId="24">
    <w:abstractNumId w:val="6"/>
  </w:num>
  <w:num w:numId="25">
    <w:abstractNumId w:val="27"/>
  </w:num>
  <w:num w:numId="26">
    <w:abstractNumId w:val="29"/>
  </w:num>
  <w:num w:numId="27">
    <w:abstractNumId w:val="2"/>
  </w:num>
  <w:num w:numId="28">
    <w:abstractNumId w:val="4"/>
  </w:num>
  <w:num w:numId="29">
    <w:abstractNumId w:val="15"/>
  </w:num>
  <w:num w:numId="30">
    <w:abstractNumId w:val="25"/>
  </w:num>
  <w:num w:numId="31">
    <w:abstractNumId w:val="23"/>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NotTrackMoves/>
  <w:attachedTemplate r:id="rId1"/>
  <w:documentProtection w:edit="forms" w:enforcement="0"/>
  <w:defaultTabStop w:val="420"/>
  <w:drawingGridHorizontalSpacing w:val="105"/>
  <w:drawingGridVerticalSpacing w:val="156"/>
  <w:displayHorizontalDrawingGridEvery w:val="1"/>
  <w:displayVerticalDrawingGridEvery w:val="1"/>
  <w:noPunctuationKerning w:val="true"/>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1NzFiZDQxNzcyMGY2MzhmNWFhMjgzZDVkMjc0NjQifQ=="/>
  </w:docVars>
  <w:rsids>
    <w:rsidRoot w:val="00246492"/>
    <w:rsid w:val="0000040A"/>
    <w:rsid w:val="00000A94"/>
    <w:rsid w:val="00001972"/>
    <w:rsid w:val="00001D9A"/>
    <w:rsid w:val="00005FF9"/>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249A"/>
    <w:rsid w:val="00042BAC"/>
    <w:rsid w:val="00043282"/>
    <w:rsid w:val="00044286"/>
    <w:rsid w:val="000451C1"/>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603"/>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320C"/>
    <w:rsid w:val="00104926"/>
    <w:rsid w:val="00107B25"/>
    <w:rsid w:val="00110F71"/>
    <w:rsid w:val="00113B1E"/>
    <w:rsid w:val="0011711C"/>
    <w:rsid w:val="00124E4F"/>
    <w:rsid w:val="001260B7"/>
    <w:rsid w:val="001265CB"/>
    <w:rsid w:val="0013051C"/>
    <w:rsid w:val="001321C6"/>
    <w:rsid w:val="001325C4"/>
    <w:rsid w:val="00133010"/>
    <w:rsid w:val="001338EE"/>
    <w:rsid w:val="00133AAE"/>
    <w:rsid w:val="00135323"/>
    <w:rsid w:val="001356C4"/>
    <w:rsid w:val="001369FE"/>
    <w:rsid w:val="00141114"/>
    <w:rsid w:val="00142969"/>
    <w:rsid w:val="00144A18"/>
    <w:rsid w:val="001457E7"/>
    <w:rsid w:val="00145D9D"/>
    <w:rsid w:val="00146388"/>
    <w:rsid w:val="001529E5"/>
    <w:rsid w:val="00153C7E"/>
    <w:rsid w:val="00156B25"/>
    <w:rsid w:val="00156E1A"/>
    <w:rsid w:val="0015765F"/>
    <w:rsid w:val="00157894"/>
    <w:rsid w:val="00157B55"/>
    <w:rsid w:val="00163DBA"/>
    <w:rsid w:val="001642FA"/>
    <w:rsid w:val="00164910"/>
    <w:rsid w:val="001649EB"/>
    <w:rsid w:val="00164BAF"/>
    <w:rsid w:val="00164FA8"/>
    <w:rsid w:val="00165065"/>
    <w:rsid w:val="00165434"/>
    <w:rsid w:val="0016580B"/>
    <w:rsid w:val="00165F49"/>
    <w:rsid w:val="00166B88"/>
    <w:rsid w:val="0016770A"/>
    <w:rsid w:val="00170804"/>
    <w:rsid w:val="001708E9"/>
    <w:rsid w:val="0017340B"/>
    <w:rsid w:val="00173FB1"/>
    <w:rsid w:val="001758B5"/>
    <w:rsid w:val="00176DFD"/>
    <w:rsid w:val="001852C9"/>
    <w:rsid w:val="00190087"/>
    <w:rsid w:val="001913C4"/>
    <w:rsid w:val="0019257E"/>
    <w:rsid w:val="0019348F"/>
    <w:rsid w:val="00193A07"/>
    <w:rsid w:val="00194C95"/>
    <w:rsid w:val="00195C34"/>
    <w:rsid w:val="00196251"/>
    <w:rsid w:val="00196EF5"/>
    <w:rsid w:val="001A1A53"/>
    <w:rsid w:val="001A203C"/>
    <w:rsid w:val="001A234A"/>
    <w:rsid w:val="001A4CF3"/>
    <w:rsid w:val="001B06E8"/>
    <w:rsid w:val="001B71D0"/>
    <w:rsid w:val="001B71EE"/>
    <w:rsid w:val="001C04A8"/>
    <w:rsid w:val="001C2C03"/>
    <w:rsid w:val="001C42F7"/>
    <w:rsid w:val="001C49E5"/>
    <w:rsid w:val="001C680C"/>
    <w:rsid w:val="001C74EB"/>
    <w:rsid w:val="001C7FEA"/>
    <w:rsid w:val="001D0499"/>
    <w:rsid w:val="001D0BBE"/>
    <w:rsid w:val="001D0ED4"/>
    <w:rsid w:val="001D212F"/>
    <w:rsid w:val="001D29D7"/>
    <w:rsid w:val="001D2DE7"/>
    <w:rsid w:val="001D411C"/>
    <w:rsid w:val="001E1B6A"/>
    <w:rsid w:val="001E2484"/>
    <w:rsid w:val="001E3CC4"/>
    <w:rsid w:val="001E4882"/>
    <w:rsid w:val="001E73AB"/>
    <w:rsid w:val="001E7DD8"/>
    <w:rsid w:val="001F092D"/>
    <w:rsid w:val="001F143A"/>
    <w:rsid w:val="001F1605"/>
    <w:rsid w:val="001F2508"/>
    <w:rsid w:val="001F4816"/>
    <w:rsid w:val="001F69B4"/>
    <w:rsid w:val="001F723F"/>
    <w:rsid w:val="001F77C7"/>
    <w:rsid w:val="00200183"/>
    <w:rsid w:val="00200333"/>
    <w:rsid w:val="0020107D"/>
    <w:rsid w:val="002029CD"/>
    <w:rsid w:val="00202AA4"/>
    <w:rsid w:val="002031F7"/>
    <w:rsid w:val="002040E6"/>
    <w:rsid w:val="0020527B"/>
    <w:rsid w:val="00205F2C"/>
    <w:rsid w:val="00210B15"/>
    <w:rsid w:val="0021221E"/>
    <w:rsid w:val="0021286D"/>
    <w:rsid w:val="002142EA"/>
    <w:rsid w:val="002204BB"/>
    <w:rsid w:val="00221B79"/>
    <w:rsid w:val="00221C6B"/>
    <w:rsid w:val="002253A1"/>
    <w:rsid w:val="00225CF8"/>
    <w:rsid w:val="0022794E"/>
    <w:rsid w:val="002303AF"/>
    <w:rsid w:val="00233063"/>
    <w:rsid w:val="00233D64"/>
    <w:rsid w:val="0023482A"/>
    <w:rsid w:val="002359CB"/>
    <w:rsid w:val="00235A9F"/>
    <w:rsid w:val="00243540"/>
    <w:rsid w:val="0024497B"/>
    <w:rsid w:val="0024515B"/>
    <w:rsid w:val="00246021"/>
    <w:rsid w:val="00246492"/>
    <w:rsid w:val="0024666E"/>
    <w:rsid w:val="0024726C"/>
    <w:rsid w:val="00247F52"/>
    <w:rsid w:val="00250B25"/>
    <w:rsid w:val="00250BBE"/>
    <w:rsid w:val="002515C2"/>
    <w:rsid w:val="0025194F"/>
    <w:rsid w:val="00254AAE"/>
    <w:rsid w:val="0026148A"/>
    <w:rsid w:val="00262696"/>
    <w:rsid w:val="00263D25"/>
    <w:rsid w:val="002643C3"/>
    <w:rsid w:val="00264A0C"/>
    <w:rsid w:val="00266EEB"/>
    <w:rsid w:val="00267EF4"/>
    <w:rsid w:val="00270CB8"/>
    <w:rsid w:val="00272B08"/>
    <w:rsid w:val="002819D0"/>
    <w:rsid w:val="00281BB8"/>
    <w:rsid w:val="00281E9E"/>
    <w:rsid w:val="00282405"/>
    <w:rsid w:val="00285170"/>
    <w:rsid w:val="00285361"/>
    <w:rsid w:val="00292D60"/>
    <w:rsid w:val="00294D34"/>
    <w:rsid w:val="00294E3B"/>
    <w:rsid w:val="00296193"/>
    <w:rsid w:val="00296C66"/>
    <w:rsid w:val="00296EBE"/>
    <w:rsid w:val="002974E3"/>
    <w:rsid w:val="0029772F"/>
    <w:rsid w:val="002A01D0"/>
    <w:rsid w:val="002A084B"/>
    <w:rsid w:val="002A1260"/>
    <w:rsid w:val="002A1589"/>
    <w:rsid w:val="002A1608"/>
    <w:rsid w:val="002A2219"/>
    <w:rsid w:val="002A25DC"/>
    <w:rsid w:val="002A3AAB"/>
    <w:rsid w:val="002A4CEA"/>
    <w:rsid w:val="002A5977"/>
    <w:rsid w:val="002A5A13"/>
    <w:rsid w:val="002A757F"/>
    <w:rsid w:val="002A7F44"/>
    <w:rsid w:val="002B0C40"/>
    <w:rsid w:val="002B1966"/>
    <w:rsid w:val="002B28F7"/>
    <w:rsid w:val="002B4508"/>
    <w:rsid w:val="002B5779"/>
    <w:rsid w:val="002B7332"/>
    <w:rsid w:val="002B7F51"/>
    <w:rsid w:val="002C09E7"/>
    <w:rsid w:val="002C0C07"/>
    <w:rsid w:val="002C1E06"/>
    <w:rsid w:val="002C3F07"/>
    <w:rsid w:val="002C5278"/>
    <w:rsid w:val="002C7EBB"/>
    <w:rsid w:val="002D06C1"/>
    <w:rsid w:val="002D0846"/>
    <w:rsid w:val="002D42B5"/>
    <w:rsid w:val="002D4F1A"/>
    <w:rsid w:val="002D6EC6"/>
    <w:rsid w:val="002D79AC"/>
    <w:rsid w:val="002E039D"/>
    <w:rsid w:val="002E4D5A"/>
    <w:rsid w:val="002E6326"/>
    <w:rsid w:val="002E7873"/>
    <w:rsid w:val="002F30E0"/>
    <w:rsid w:val="002F35E4"/>
    <w:rsid w:val="002F3730"/>
    <w:rsid w:val="002F376B"/>
    <w:rsid w:val="002F38E1"/>
    <w:rsid w:val="002F76CB"/>
    <w:rsid w:val="002F7AF6"/>
    <w:rsid w:val="00300E63"/>
    <w:rsid w:val="00302F5F"/>
    <w:rsid w:val="003031FF"/>
    <w:rsid w:val="0030441D"/>
    <w:rsid w:val="00306063"/>
    <w:rsid w:val="00313B85"/>
    <w:rsid w:val="0031715F"/>
    <w:rsid w:val="00317988"/>
    <w:rsid w:val="003219E8"/>
    <w:rsid w:val="003221B4"/>
    <w:rsid w:val="0032258D"/>
    <w:rsid w:val="00322DD2"/>
    <w:rsid w:val="00322E62"/>
    <w:rsid w:val="00324D13"/>
    <w:rsid w:val="00324EDD"/>
    <w:rsid w:val="00326B48"/>
    <w:rsid w:val="003331E4"/>
    <w:rsid w:val="00336C64"/>
    <w:rsid w:val="00337162"/>
    <w:rsid w:val="0034194F"/>
    <w:rsid w:val="00344605"/>
    <w:rsid w:val="003474AA"/>
    <w:rsid w:val="00350D1D"/>
    <w:rsid w:val="00350D4F"/>
    <w:rsid w:val="00352C83"/>
    <w:rsid w:val="003534B5"/>
    <w:rsid w:val="003615D2"/>
    <w:rsid w:val="0036429C"/>
    <w:rsid w:val="00364A53"/>
    <w:rsid w:val="003654CB"/>
    <w:rsid w:val="00365AA9"/>
    <w:rsid w:val="00365F86"/>
    <w:rsid w:val="00365F87"/>
    <w:rsid w:val="00366E89"/>
    <w:rsid w:val="003705F4"/>
    <w:rsid w:val="00370D58"/>
    <w:rsid w:val="00371316"/>
    <w:rsid w:val="00372C62"/>
    <w:rsid w:val="00376713"/>
    <w:rsid w:val="003813A9"/>
    <w:rsid w:val="00381815"/>
    <w:rsid w:val="003819AF"/>
    <w:rsid w:val="003820E9"/>
    <w:rsid w:val="00382DE7"/>
    <w:rsid w:val="00384FFC"/>
    <w:rsid w:val="00385A50"/>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A6BD6"/>
    <w:rsid w:val="003B0966"/>
    <w:rsid w:val="003B09AD"/>
    <w:rsid w:val="003B13E4"/>
    <w:rsid w:val="003B1F18"/>
    <w:rsid w:val="003B5BF0"/>
    <w:rsid w:val="003B60BF"/>
    <w:rsid w:val="003B6BE3"/>
    <w:rsid w:val="003C010C"/>
    <w:rsid w:val="003C0A6C"/>
    <w:rsid w:val="003C14F8"/>
    <w:rsid w:val="003C5A43"/>
    <w:rsid w:val="003D039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3F76AC"/>
    <w:rsid w:val="00400E72"/>
    <w:rsid w:val="00401400"/>
    <w:rsid w:val="00401550"/>
    <w:rsid w:val="00404869"/>
    <w:rsid w:val="00405884"/>
    <w:rsid w:val="00407712"/>
    <w:rsid w:val="00407B5B"/>
    <w:rsid w:val="00407D39"/>
    <w:rsid w:val="0041477A"/>
    <w:rsid w:val="004167A3"/>
    <w:rsid w:val="0042052B"/>
    <w:rsid w:val="00421804"/>
    <w:rsid w:val="004305C6"/>
    <w:rsid w:val="00432DAA"/>
    <w:rsid w:val="00433B87"/>
    <w:rsid w:val="00434305"/>
    <w:rsid w:val="00435DF7"/>
    <w:rsid w:val="0044083F"/>
    <w:rsid w:val="004410A7"/>
    <w:rsid w:val="00441AE7"/>
    <w:rsid w:val="00441BBC"/>
    <w:rsid w:val="00445574"/>
    <w:rsid w:val="004467FB"/>
    <w:rsid w:val="00450548"/>
    <w:rsid w:val="00452D6B"/>
    <w:rsid w:val="00454484"/>
    <w:rsid w:val="0045517B"/>
    <w:rsid w:val="00463B77"/>
    <w:rsid w:val="00463C7B"/>
    <w:rsid w:val="004644A6"/>
    <w:rsid w:val="00465598"/>
    <w:rsid w:val="004659BD"/>
    <w:rsid w:val="00470775"/>
    <w:rsid w:val="004746B1"/>
    <w:rsid w:val="0047583F"/>
    <w:rsid w:val="00475DE8"/>
    <w:rsid w:val="00477F47"/>
    <w:rsid w:val="00480664"/>
    <w:rsid w:val="00480D78"/>
    <w:rsid w:val="004814FC"/>
    <w:rsid w:val="00481C44"/>
    <w:rsid w:val="00484936"/>
    <w:rsid w:val="00485C89"/>
    <w:rsid w:val="00486BE3"/>
    <w:rsid w:val="004905E4"/>
    <w:rsid w:val="00490A89"/>
    <w:rsid w:val="00490AB4"/>
    <w:rsid w:val="00492051"/>
    <w:rsid w:val="00492F02"/>
    <w:rsid w:val="004939AE"/>
    <w:rsid w:val="00496392"/>
    <w:rsid w:val="004A12DF"/>
    <w:rsid w:val="004A1BA8"/>
    <w:rsid w:val="004A2E40"/>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386E"/>
    <w:rsid w:val="004E4AA5"/>
    <w:rsid w:val="004E4AEE"/>
    <w:rsid w:val="004E59E3"/>
    <w:rsid w:val="004E67C0"/>
    <w:rsid w:val="004F391A"/>
    <w:rsid w:val="004F3CFB"/>
    <w:rsid w:val="004F4A6E"/>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466"/>
    <w:rsid w:val="00523F95"/>
    <w:rsid w:val="00524D65"/>
    <w:rsid w:val="00525B16"/>
    <w:rsid w:val="00526E37"/>
    <w:rsid w:val="005326AF"/>
    <w:rsid w:val="00532BE2"/>
    <w:rsid w:val="00533D04"/>
    <w:rsid w:val="00534804"/>
    <w:rsid w:val="00534BDF"/>
    <w:rsid w:val="005354EA"/>
    <w:rsid w:val="0053585F"/>
    <w:rsid w:val="00535EC4"/>
    <w:rsid w:val="00535ED9"/>
    <w:rsid w:val="0053692B"/>
    <w:rsid w:val="00541853"/>
    <w:rsid w:val="00543BDA"/>
    <w:rsid w:val="005441CC"/>
    <w:rsid w:val="00547005"/>
    <w:rsid w:val="005474FF"/>
    <w:rsid w:val="005479DA"/>
    <w:rsid w:val="00547BCC"/>
    <w:rsid w:val="0055013B"/>
    <w:rsid w:val="00551F6F"/>
    <w:rsid w:val="00555044"/>
    <w:rsid w:val="00555D81"/>
    <w:rsid w:val="00561475"/>
    <w:rsid w:val="00563BCF"/>
    <w:rsid w:val="00564054"/>
    <w:rsid w:val="005643C5"/>
    <w:rsid w:val="0056487B"/>
    <w:rsid w:val="00564FB9"/>
    <w:rsid w:val="00572E37"/>
    <w:rsid w:val="00573D9E"/>
    <w:rsid w:val="005801E3"/>
    <w:rsid w:val="00581802"/>
    <w:rsid w:val="005836A8"/>
    <w:rsid w:val="0058409C"/>
    <w:rsid w:val="00584262"/>
    <w:rsid w:val="005857F9"/>
    <w:rsid w:val="00586630"/>
    <w:rsid w:val="00587ADD"/>
    <w:rsid w:val="00596160"/>
    <w:rsid w:val="005966E2"/>
    <w:rsid w:val="00597007"/>
    <w:rsid w:val="005A0966"/>
    <w:rsid w:val="005A11B7"/>
    <w:rsid w:val="005A260B"/>
    <w:rsid w:val="005A4A1B"/>
    <w:rsid w:val="005A7830"/>
    <w:rsid w:val="005A7FCE"/>
    <w:rsid w:val="005B0463"/>
    <w:rsid w:val="005B0F3F"/>
    <w:rsid w:val="005B301F"/>
    <w:rsid w:val="005B46E9"/>
    <w:rsid w:val="005B4903"/>
    <w:rsid w:val="005B51CE"/>
    <w:rsid w:val="005B5885"/>
    <w:rsid w:val="005B5CD7"/>
    <w:rsid w:val="005B6A87"/>
    <w:rsid w:val="005B6CF6"/>
    <w:rsid w:val="005B6D34"/>
    <w:rsid w:val="005B7422"/>
    <w:rsid w:val="005C29B8"/>
    <w:rsid w:val="005C5F21"/>
    <w:rsid w:val="005C6C88"/>
    <w:rsid w:val="005C7156"/>
    <w:rsid w:val="005D0C75"/>
    <w:rsid w:val="005D4171"/>
    <w:rsid w:val="005D499B"/>
    <w:rsid w:val="005D6A95"/>
    <w:rsid w:val="005D6B2C"/>
    <w:rsid w:val="005D6D9C"/>
    <w:rsid w:val="005E2335"/>
    <w:rsid w:val="005E34CA"/>
    <w:rsid w:val="005E3C18"/>
    <w:rsid w:val="005E6417"/>
    <w:rsid w:val="005E6812"/>
    <w:rsid w:val="005E7881"/>
    <w:rsid w:val="005E78E0"/>
    <w:rsid w:val="005F0D9C"/>
    <w:rsid w:val="005F284E"/>
    <w:rsid w:val="005F49ED"/>
    <w:rsid w:val="005F7BD6"/>
    <w:rsid w:val="006015CE"/>
    <w:rsid w:val="006031C0"/>
    <w:rsid w:val="00604784"/>
    <w:rsid w:val="006056CC"/>
    <w:rsid w:val="00605C3A"/>
    <w:rsid w:val="00606419"/>
    <w:rsid w:val="00607D29"/>
    <w:rsid w:val="00612952"/>
    <w:rsid w:val="00613635"/>
    <w:rsid w:val="00614CC1"/>
    <w:rsid w:val="00615A9D"/>
    <w:rsid w:val="00617387"/>
    <w:rsid w:val="006205D6"/>
    <w:rsid w:val="006252D8"/>
    <w:rsid w:val="006259BC"/>
    <w:rsid w:val="0062636B"/>
    <w:rsid w:val="00632182"/>
    <w:rsid w:val="00632AE0"/>
    <w:rsid w:val="00633C17"/>
    <w:rsid w:val="00636E3E"/>
    <w:rsid w:val="006379F7"/>
    <w:rsid w:val="00637E4D"/>
    <w:rsid w:val="00640620"/>
    <w:rsid w:val="00641A1F"/>
    <w:rsid w:val="00643DF1"/>
    <w:rsid w:val="006456A7"/>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870"/>
    <w:rsid w:val="00672060"/>
    <w:rsid w:val="00672BFD"/>
    <w:rsid w:val="00676D13"/>
    <w:rsid w:val="006770F4"/>
    <w:rsid w:val="00677A84"/>
    <w:rsid w:val="0068026D"/>
    <w:rsid w:val="00680A27"/>
    <w:rsid w:val="006816A4"/>
    <w:rsid w:val="006819B8"/>
    <w:rsid w:val="00681DE1"/>
    <w:rsid w:val="006840A6"/>
    <w:rsid w:val="006850CD"/>
    <w:rsid w:val="00685AAB"/>
    <w:rsid w:val="0068659F"/>
    <w:rsid w:val="006A07AA"/>
    <w:rsid w:val="006A25E5"/>
    <w:rsid w:val="006A2B46"/>
    <w:rsid w:val="006A336D"/>
    <w:rsid w:val="006A37B9"/>
    <w:rsid w:val="006A3ADA"/>
    <w:rsid w:val="006B2672"/>
    <w:rsid w:val="006B54BF"/>
    <w:rsid w:val="006B5F44"/>
    <w:rsid w:val="006B5F90"/>
    <w:rsid w:val="006B62E4"/>
    <w:rsid w:val="006C0F4C"/>
    <w:rsid w:val="006C1BBA"/>
    <w:rsid w:val="006C2079"/>
    <w:rsid w:val="006C5A62"/>
    <w:rsid w:val="006C5D68"/>
    <w:rsid w:val="006C6976"/>
    <w:rsid w:val="006C6DD0"/>
    <w:rsid w:val="006D04EA"/>
    <w:rsid w:val="006D16C4"/>
    <w:rsid w:val="006D3E96"/>
    <w:rsid w:val="006D4515"/>
    <w:rsid w:val="006D4BB1"/>
    <w:rsid w:val="006D6593"/>
    <w:rsid w:val="006D699D"/>
    <w:rsid w:val="006E244C"/>
    <w:rsid w:val="006F03A8"/>
    <w:rsid w:val="006F2ACA"/>
    <w:rsid w:val="006F2ADC"/>
    <w:rsid w:val="006F2BFE"/>
    <w:rsid w:val="006F31E9"/>
    <w:rsid w:val="006F327C"/>
    <w:rsid w:val="006F6284"/>
    <w:rsid w:val="007002C5"/>
    <w:rsid w:val="007040CF"/>
    <w:rsid w:val="00704387"/>
    <w:rsid w:val="00707669"/>
    <w:rsid w:val="0071169D"/>
    <w:rsid w:val="00711CBA"/>
    <w:rsid w:val="00711FB5"/>
    <w:rsid w:val="00712A01"/>
    <w:rsid w:val="00712FEB"/>
    <w:rsid w:val="00714F58"/>
    <w:rsid w:val="00722FBF"/>
    <w:rsid w:val="00722FC2"/>
    <w:rsid w:val="00725949"/>
    <w:rsid w:val="00725A19"/>
    <w:rsid w:val="00727FA2"/>
    <w:rsid w:val="007322D9"/>
    <w:rsid w:val="00732BC0"/>
    <w:rsid w:val="0073720F"/>
    <w:rsid w:val="007373EA"/>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0E6A"/>
    <w:rsid w:val="007613EA"/>
    <w:rsid w:val="00765C43"/>
    <w:rsid w:val="00765EFB"/>
    <w:rsid w:val="007671CA"/>
    <w:rsid w:val="00767C61"/>
    <w:rsid w:val="0077008A"/>
    <w:rsid w:val="00772F07"/>
    <w:rsid w:val="00773C1F"/>
    <w:rsid w:val="00773E7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10B9"/>
    <w:rsid w:val="007B53E8"/>
    <w:rsid w:val="007B5A3D"/>
    <w:rsid w:val="007B5B95"/>
    <w:rsid w:val="007B68EA"/>
    <w:rsid w:val="007B6F7B"/>
    <w:rsid w:val="007B7453"/>
    <w:rsid w:val="007C2D89"/>
    <w:rsid w:val="007C4593"/>
    <w:rsid w:val="007C5309"/>
    <w:rsid w:val="007C6069"/>
    <w:rsid w:val="007C639A"/>
    <w:rsid w:val="007D06C4"/>
    <w:rsid w:val="007D1352"/>
    <w:rsid w:val="007D1B81"/>
    <w:rsid w:val="007D2508"/>
    <w:rsid w:val="007D346A"/>
    <w:rsid w:val="007D6518"/>
    <w:rsid w:val="007D76BD"/>
    <w:rsid w:val="007E0BF1"/>
    <w:rsid w:val="007F0ED8"/>
    <w:rsid w:val="007F0F63"/>
    <w:rsid w:val="007F5B27"/>
    <w:rsid w:val="007F6ECF"/>
    <w:rsid w:val="007F75CE"/>
    <w:rsid w:val="00801398"/>
    <w:rsid w:val="008013A4"/>
    <w:rsid w:val="008027CE"/>
    <w:rsid w:val="00802F42"/>
    <w:rsid w:val="00804383"/>
    <w:rsid w:val="00804BB7"/>
    <w:rsid w:val="00804D41"/>
    <w:rsid w:val="008065A2"/>
    <w:rsid w:val="00810257"/>
    <w:rsid w:val="008104F5"/>
    <w:rsid w:val="00811072"/>
    <w:rsid w:val="00811369"/>
    <w:rsid w:val="00813535"/>
    <w:rsid w:val="00815419"/>
    <w:rsid w:val="008163C8"/>
    <w:rsid w:val="008164A1"/>
    <w:rsid w:val="00817325"/>
    <w:rsid w:val="008209E6"/>
    <w:rsid w:val="008216D4"/>
    <w:rsid w:val="00823303"/>
    <w:rsid w:val="008233B2"/>
    <w:rsid w:val="0082356C"/>
    <w:rsid w:val="00823A9F"/>
    <w:rsid w:val="00823C85"/>
    <w:rsid w:val="00825138"/>
    <w:rsid w:val="00825DFD"/>
    <w:rsid w:val="008269DD"/>
    <w:rsid w:val="00830621"/>
    <w:rsid w:val="00831250"/>
    <w:rsid w:val="00831276"/>
    <w:rsid w:val="0083348C"/>
    <w:rsid w:val="008373D3"/>
    <w:rsid w:val="00840617"/>
    <w:rsid w:val="00840F84"/>
    <w:rsid w:val="00842A47"/>
    <w:rsid w:val="00843C13"/>
    <w:rsid w:val="00844741"/>
    <w:rsid w:val="008454F8"/>
    <w:rsid w:val="008479DD"/>
    <w:rsid w:val="0085173A"/>
    <w:rsid w:val="008556E1"/>
    <w:rsid w:val="008603CE"/>
    <w:rsid w:val="0086094C"/>
    <w:rsid w:val="008620FC"/>
    <w:rsid w:val="008627A5"/>
    <w:rsid w:val="00863E05"/>
    <w:rsid w:val="00865ACA"/>
    <w:rsid w:val="00865D28"/>
    <w:rsid w:val="00865F85"/>
    <w:rsid w:val="00867C10"/>
    <w:rsid w:val="00870439"/>
    <w:rsid w:val="00870DA1"/>
    <w:rsid w:val="0087366E"/>
    <w:rsid w:val="00873E85"/>
    <w:rsid w:val="00880D0B"/>
    <w:rsid w:val="0088258A"/>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46FB"/>
    <w:rsid w:val="008A57E6"/>
    <w:rsid w:val="008A6F81"/>
    <w:rsid w:val="008A769A"/>
    <w:rsid w:val="008B0C9C"/>
    <w:rsid w:val="008B166D"/>
    <w:rsid w:val="008B17F4"/>
    <w:rsid w:val="008B1C5B"/>
    <w:rsid w:val="008B3615"/>
    <w:rsid w:val="008B4AC4"/>
    <w:rsid w:val="008B50C8"/>
    <w:rsid w:val="008B5281"/>
    <w:rsid w:val="008B7E05"/>
    <w:rsid w:val="008C1797"/>
    <w:rsid w:val="008C219C"/>
    <w:rsid w:val="008C475E"/>
    <w:rsid w:val="008C47B2"/>
    <w:rsid w:val="008C619A"/>
    <w:rsid w:val="008D0CE8"/>
    <w:rsid w:val="008D197A"/>
    <w:rsid w:val="008D2D1D"/>
    <w:rsid w:val="008D36B1"/>
    <w:rsid w:val="008D3742"/>
    <w:rsid w:val="008D453D"/>
    <w:rsid w:val="008D53AD"/>
    <w:rsid w:val="008D562B"/>
    <w:rsid w:val="008D5733"/>
    <w:rsid w:val="008D622B"/>
    <w:rsid w:val="008D666C"/>
    <w:rsid w:val="008D68ED"/>
    <w:rsid w:val="008D7B54"/>
    <w:rsid w:val="008E0C9D"/>
    <w:rsid w:val="008E1648"/>
    <w:rsid w:val="008E1B3E"/>
    <w:rsid w:val="008E2319"/>
    <w:rsid w:val="008E4BB6"/>
    <w:rsid w:val="008E5518"/>
    <w:rsid w:val="008E6A84"/>
    <w:rsid w:val="008F052D"/>
    <w:rsid w:val="008F0CDC"/>
    <w:rsid w:val="008F17A3"/>
    <w:rsid w:val="008F1ED3"/>
    <w:rsid w:val="008F4C29"/>
    <w:rsid w:val="008F70BD"/>
    <w:rsid w:val="008F788F"/>
    <w:rsid w:val="008F7EA2"/>
    <w:rsid w:val="00900F31"/>
    <w:rsid w:val="00902722"/>
    <w:rsid w:val="009027BC"/>
    <w:rsid w:val="009033EF"/>
    <w:rsid w:val="00904434"/>
    <w:rsid w:val="009062E6"/>
    <w:rsid w:val="00911BE5"/>
    <w:rsid w:val="00913CA9"/>
    <w:rsid w:val="009145AE"/>
    <w:rsid w:val="009146CE"/>
    <w:rsid w:val="00914CA7"/>
    <w:rsid w:val="00915C3E"/>
    <w:rsid w:val="009161A8"/>
    <w:rsid w:val="009245F5"/>
    <w:rsid w:val="009249EC"/>
    <w:rsid w:val="009273B3"/>
    <w:rsid w:val="009305B5"/>
    <w:rsid w:val="00937306"/>
    <w:rsid w:val="009429D5"/>
    <w:rsid w:val="00942BF1"/>
    <w:rsid w:val="00943972"/>
    <w:rsid w:val="00943B74"/>
    <w:rsid w:val="00945180"/>
    <w:rsid w:val="00945428"/>
    <w:rsid w:val="0094607B"/>
    <w:rsid w:val="00951DA3"/>
    <w:rsid w:val="00953604"/>
    <w:rsid w:val="0095496B"/>
    <w:rsid w:val="009610DC"/>
    <w:rsid w:val="00961490"/>
    <w:rsid w:val="009619A4"/>
    <w:rsid w:val="0096381A"/>
    <w:rsid w:val="009640B8"/>
    <w:rsid w:val="0096482A"/>
    <w:rsid w:val="00965E04"/>
    <w:rsid w:val="009674AD"/>
    <w:rsid w:val="0096756F"/>
    <w:rsid w:val="00970CDC"/>
    <w:rsid w:val="00970D30"/>
    <w:rsid w:val="0097254B"/>
    <w:rsid w:val="00977010"/>
    <w:rsid w:val="00977D02"/>
    <w:rsid w:val="009809BB"/>
    <w:rsid w:val="0098364B"/>
    <w:rsid w:val="009911AF"/>
    <w:rsid w:val="00991875"/>
    <w:rsid w:val="00991F92"/>
    <w:rsid w:val="009922F4"/>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B7"/>
    <w:rsid w:val="009B6971"/>
    <w:rsid w:val="009C27F1"/>
    <w:rsid w:val="009C3152"/>
    <w:rsid w:val="009C4CFA"/>
    <w:rsid w:val="009C5070"/>
    <w:rsid w:val="009D112C"/>
    <w:rsid w:val="009D47FA"/>
    <w:rsid w:val="009D4C5B"/>
    <w:rsid w:val="009D50D2"/>
    <w:rsid w:val="009D6BCA"/>
    <w:rsid w:val="009E0014"/>
    <w:rsid w:val="009E00B7"/>
    <w:rsid w:val="009E0F62"/>
    <w:rsid w:val="009E4A58"/>
    <w:rsid w:val="009E5A2D"/>
    <w:rsid w:val="009E5AB2"/>
    <w:rsid w:val="009E6219"/>
    <w:rsid w:val="009F03B3"/>
    <w:rsid w:val="00A0096C"/>
    <w:rsid w:val="00A01757"/>
    <w:rsid w:val="00A028C0"/>
    <w:rsid w:val="00A02BAE"/>
    <w:rsid w:val="00A0307B"/>
    <w:rsid w:val="00A037C3"/>
    <w:rsid w:val="00A06A6B"/>
    <w:rsid w:val="00A07E47"/>
    <w:rsid w:val="00A129D0"/>
    <w:rsid w:val="00A12C33"/>
    <w:rsid w:val="00A138BA"/>
    <w:rsid w:val="00A13C6B"/>
    <w:rsid w:val="00A14C8E"/>
    <w:rsid w:val="00A153D9"/>
    <w:rsid w:val="00A15F09"/>
    <w:rsid w:val="00A169B6"/>
    <w:rsid w:val="00A22101"/>
    <w:rsid w:val="00A2271D"/>
    <w:rsid w:val="00A237D5"/>
    <w:rsid w:val="00A30EFC"/>
    <w:rsid w:val="00A31984"/>
    <w:rsid w:val="00A32D73"/>
    <w:rsid w:val="00A3367B"/>
    <w:rsid w:val="00A34066"/>
    <w:rsid w:val="00A35529"/>
    <w:rsid w:val="00A3597D"/>
    <w:rsid w:val="00A36DD1"/>
    <w:rsid w:val="00A4006C"/>
    <w:rsid w:val="00A40091"/>
    <w:rsid w:val="00A4030F"/>
    <w:rsid w:val="00A406A5"/>
    <w:rsid w:val="00A41C79"/>
    <w:rsid w:val="00A41CB5"/>
    <w:rsid w:val="00A42CDF"/>
    <w:rsid w:val="00A4452E"/>
    <w:rsid w:val="00A4472C"/>
    <w:rsid w:val="00A44E69"/>
    <w:rsid w:val="00A459C6"/>
    <w:rsid w:val="00A4661E"/>
    <w:rsid w:val="00A55BD6"/>
    <w:rsid w:val="00A55D50"/>
    <w:rsid w:val="00A57142"/>
    <w:rsid w:val="00A648CD"/>
    <w:rsid w:val="00A650C4"/>
    <w:rsid w:val="00A6537A"/>
    <w:rsid w:val="00A67866"/>
    <w:rsid w:val="00A70B07"/>
    <w:rsid w:val="00A723F8"/>
    <w:rsid w:val="00A76EC6"/>
    <w:rsid w:val="00A77CCB"/>
    <w:rsid w:val="00A81366"/>
    <w:rsid w:val="00A83D8D"/>
    <w:rsid w:val="00A8446B"/>
    <w:rsid w:val="00A8473F"/>
    <w:rsid w:val="00A862D6"/>
    <w:rsid w:val="00A8715E"/>
    <w:rsid w:val="00A90C0D"/>
    <w:rsid w:val="00A91347"/>
    <w:rsid w:val="00A9295B"/>
    <w:rsid w:val="00A93B09"/>
    <w:rsid w:val="00A94E6C"/>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85A"/>
    <w:rsid w:val="00AC5DF4"/>
    <w:rsid w:val="00AD0AEF"/>
    <w:rsid w:val="00AD11B7"/>
    <w:rsid w:val="00AD1A94"/>
    <w:rsid w:val="00AD1C05"/>
    <w:rsid w:val="00AD4126"/>
    <w:rsid w:val="00AD421C"/>
    <w:rsid w:val="00AD44FA"/>
    <w:rsid w:val="00AE070A"/>
    <w:rsid w:val="00AE101C"/>
    <w:rsid w:val="00AE37E5"/>
    <w:rsid w:val="00AE5CF1"/>
    <w:rsid w:val="00AE5EB4"/>
    <w:rsid w:val="00AF0C18"/>
    <w:rsid w:val="00AF47C5"/>
    <w:rsid w:val="00AF5398"/>
    <w:rsid w:val="00B016E2"/>
    <w:rsid w:val="00B049AF"/>
    <w:rsid w:val="00B07242"/>
    <w:rsid w:val="00B0768D"/>
    <w:rsid w:val="00B10534"/>
    <w:rsid w:val="00B113DB"/>
    <w:rsid w:val="00B11D8A"/>
    <w:rsid w:val="00B11F98"/>
    <w:rsid w:val="00B12981"/>
    <w:rsid w:val="00B147DD"/>
    <w:rsid w:val="00B156FD"/>
    <w:rsid w:val="00B21F61"/>
    <w:rsid w:val="00B261A9"/>
    <w:rsid w:val="00B261F1"/>
    <w:rsid w:val="00B265BC"/>
    <w:rsid w:val="00B304D7"/>
    <w:rsid w:val="00B30658"/>
    <w:rsid w:val="00B31FB1"/>
    <w:rsid w:val="00B32BC6"/>
    <w:rsid w:val="00B33952"/>
    <w:rsid w:val="00B33B82"/>
    <w:rsid w:val="00B33C5E"/>
    <w:rsid w:val="00B342F4"/>
    <w:rsid w:val="00B34369"/>
    <w:rsid w:val="00B34DC2"/>
    <w:rsid w:val="00B378E5"/>
    <w:rsid w:val="00B4346D"/>
    <w:rsid w:val="00B439EC"/>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1680"/>
    <w:rsid w:val="00B939B1"/>
    <w:rsid w:val="00B96D40"/>
    <w:rsid w:val="00B97386"/>
    <w:rsid w:val="00BA263B"/>
    <w:rsid w:val="00BA3F13"/>
    <w:rsid w:val="00BA42B2"/>
    <w:rsid w:val="00BA58D4"/>
    <w:rsid w:val="00BA5B9E"/>
    <w:rsid w:val="00BA7C9A"/>
    <w:rsid w:val="00BB1086"/>
    <w:rsid w:val="00BB5F8F"/>
    <w:rsid w:val="00BB657A"/>
    <w:rsid w:val="00BC1A4E"/>
    <w:rsid w:val="00BC5DC7"/>
    <w:rsid w:val="00BC6B8B"/>
    <w:rsid w:val="00BC73D8"/>
    <w:rsid w:val="00BD5169"/>
    <w:rsid w:val="00BD52D7"/>
    <w:rsid w:val="00BD5AD2"/>
    <w:rsid w:val="00BD6C51"/>
    <w:rsid w:val="00BE22F3"/>
    <w:rsid w:val="00BE5B52"/>
    <w:rsid w:val="00BE7B8D"/>
    <w:rsid w:val="00BF0993"/>
    <w:rsid w:val="00BF10A9"/>
    <w:rsid w:val="00BF1703"/>
    <w:rsid w:val="00BF231C"/>
    <w:rsid w:val="00BF3CEA"/>
    <w:rsid w:val="00BF51E5"/>
    <w:rsid w:val="00BF74A6"/>
    <w:rsid w:val="00C013AD"/>
    <w:rsid w:val="00C03265"/>
    <w:rsid w:val="00C03F0E"/>
    <w:rsid w:val="00C04904"/>
    <w:rsid w:val="00C05698"/>
    <w:rsid w:val="00C056B3"/>
    <w:rsid w:val="00C103E5"/>
    <w:rsid w:val="00C13319"/>
    <w:rsid w:val="00C13EE9"/>
    <w:rsid w:val="00C21540"/>
    <w:rsid w:val="00C21906"/>
    <w:rsid w:val="00C21BFA"/>
    <w:rsid w:val="00C23953"/>
    <w:rsid w:val="00C24C8D"/>
    <w:rsid w:val="00C25FE2"/>
    <w:rsid w:val="00C26B53"/>
    <w:rsid w:val="00C279B2"/>
    <w:rsid w:val="00C33E50"/>
    <w:rsid w:val="00C34C20"/>
    <w:rsid w:val="00C35A3E"/>
    <w:rsid w:val="00C409D9"/>
    <w:rsid w:val="00C42130"/>
    <w:rsid w:val="00C423A4"/>
    <w:rsid w:val="00C44BF5"/>
    <w:rsid w:val="00C521D6"/>
    <w:rsid w:val="00C55232"/>
    <w:rsid w:val="00C553A4"/>
    <w:rsid w:val="00C55A06"/>
    <w:rsid w:val="00C55D03"/>
    <w:rsid w:val="00C56030"/>
    <w:rsid w:val="00C601BC"/>
    <w:rsid w:val="00C6329F"/>
    <w:rsid w:val="00C63340"/>
    <w:rsid w:val="00C643F9"/>
    <w:rsid w:val="00C64E95"/>
    <w:rsid w:val="00C655B2"/>
    <w:rsid w:val="00C71372"/>
    <w:rsid w:val="00C72410"/>
    <w:rsid w:val="00C7287F"/>
    <w:rsid w:val="00C80CB8"/>
    <w:rsid w:val="00C819F8"/>
    <w:rsid w:val="00C8248C"/>
    <w:rsid w:val="00C84E33"/>
    <w:rsid w:val="00C86D6F"/>
    <w:rsid w:val="00C905FC"/>
    <w:rsid w:val="00C92D03"/>
    <w:rsid w:val="00C9319C"/>
    <w:rsid w:val="00C933E0"/>
    <w:rsid w:val="00C9435D"/>
    <w:rsid w:val="00C94B2C"/>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3D61"/>
    <w:rsid w:val="00CC4AC8"/>
    <w:rsid w:val="00CC5233"/>
    <w:rsid w:val="00CC5D4A"/>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1716"/>
    <w:rsid w:val="00CF23BE"/>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3D"/>
    <w:rsid w:val="00D21E81"/>
    <w:rsid w:val="00D223DE"/>
    <w:rsid w:val="00D234E7"/>
    <w:rsid w:val="00D23B14"/>
    <w:rsid w:val="00D25E37"/>
    <w:rsid w:val="00D2661A"/>
    <w:rsid w:val="00D27582"/>
    <w:rsid w:val="00D27EC4"/>
    <w:rsid w:val="00D32719"/>
    <w:rsid w:val="00D33333"/>
    <w:rsid w:val="00D352A2"/>
    <w:rsid w:val="00D40747"/>
    <w:rsid w:val="00D4162B"/>
    <w:rsid w:val="00D4514F"/>
    <w:rsid w:val="00D451E2"/>
    <w:rsid w:val="00D451FB"/>
    <w:rsid w:val="00D45E89"/>
    <w:rsid w:val="00D45E8D"/>
    <w:rsid w:val="00D466AE"/>
    <w:rsid w:val="00D4734F"/>
    <w:rsid w:val="00D51BF3"/>
    <w:rsid w:val="00D53D94"/>
    <w:rsid w:val="00D66846"/>
    <w:rsid w:val="00D675FB"/>
    <w:rsid w:val="00D71F25"/>
    <w:rsid w:val="00D72A9C"/>
    <w:rsid w:val="00D73E91"/>
    <w:rsid w:val="00D761CC"/>
    <w:rsid w:val="00D77031"/>
    <w:rsid w:val="00D84941"/>
    <w:rsid w:val="00D84FA1"/>
    <w:rsid w:val="00D851F0"/>
    <w:rsid w:val="00D86DB7"/>
    <w:rsid w:val="00D87D84"/>
    <w:rsid w:val="00D926D0"/>
    <w:rsid w:val="00D93030"/>
    <w:rsid w:val="00D950E1"/>
    <w:rsid w:val="00D952A6"/>
    <w:rsid w:val="00D95901"/>
    <w:rsid w:val="00D97F99"/>
    <w:rsid w:val="00DA1E08"/>
    <w:rsid w:val="00DA24F8"/>
    <w:rsid w:val="00DA28E8"/>
    <w:rsid w:val="00DA38D3"/>
    <w:rsid w:val="00DA3932"/>
    <w:rsid w:val="00DA3AFC"/>
    <w:rsid w:val="00DA64F8"/>
    <w:rsid w:val="00DA6C15"/>
    <w:rsid w:val="00DB0258"/>
    <w:rsid w:val="00DB38EE"/>
    <w:rsid w:val="00DB3B08"/>
    <w:rsid w:val="00DB498B"/>
    <w:rsid w:val="00DB66CA"/>
    <w:rsid w:val="00DB6BCA"/>
    <w:rsid w:val="00DB73F7"/>
    <w:rsid w:val="00DC0321"/>
    <w:rsid w:val="00DC3067"/>
    <w:rsid w:val="00DC370B"/>
    <w:rsid w:val="00DC5B90"/>
    <w:rsid w:val="00DC63AD"/>
    <w:rsid w:val="00DD00FF"/>
    <w:rsid w:val="00DD0619"/>
    <w:rsid w:val="00DD07FB"/>
    <w:rsid w:val="00DD25C6"/>
    <w:rsid w:val="00DD2FF9"/>
    <w:rsid w:val="00DD4FE5"/>
    <w:rsid w:val="00DD54B0"/>
    <w:rsid w:val="00DD57EE"/>
    <w:rsid w:val="00DD6BCC"/>
    <w:rsid w:val="00DE0A4B"/>
    <w:rsid w:val="00DE2410"/>
    <w:rsid w:val="00DE2939"/>
    <w:rsid w:val="00DE6E81"/>
    <w:rsid w:val="00DE703F"/>
    <w:rsid w:val="00DE7595"/>
    <w:rsid w:val="00DF1961"/>
    <w:rsid w:val="00DF1ADB"/>
    <w:rsid w:val="00DF44DE"/>
    <w:rsid w:val="00E01138"/>
    <w:rsid w:val="00E02305"/>
    <w:rsid w:val="00E02527"/>
    <w:rsid w:val="00E02B52"/>
    <w:rsid w:val="00E02DFB"/>
    <w:rsid w:val="00E030F9"/>
    <w:rsid w:val="00E0311A"/>
    <w:rsid w:val="00E03138"/>
    <w:rsid w:val="00E06404"/>
    <w:rsid w:val="00E11A85"/>
    <w:rsid w:val="00E12495"/>
    <w:rsid w:val="00E15CCD"/>
    <w:rsid w:val="00E202EF"/>
    <w:rsid w:val="00E210B5"/>
    <w:rsid w:val="00E22373"/>
    <w:rsid w:val="00E2552F"/>
    <w:rsid w:val="00E3137A"/>
    <w:rsid w:val="00E32205"/>
    <w:rsid w:val="00E32CCF"/>
    <w:rsid w:val="00E34A98"/>
    <w:rsid w:val="00E35D1E"/>
    <w:rsid w:val="00E364F9"/>
    <w:rsid w:val="00E365FA"/>
    <w:rsid w:val="00E36789"/>
    <w:rsid w:val="00E378C6"/>
    <w:rsid w:val="00E44688"/>
    <w:rsid w:val="00E44A83"/>
    <w:rsid w:val="00E502C1"/>
    <w:rsid w:val="00E502DD"/>
    <w:rsid w:val="00E50D3A"/>
    <w:rsid w:val="00E51387"/>
    <w:rsid w:val="00E51E68"/>
    <w:rsid w:val="00E52EFD"/>
    <w:rsid w:val="00E5408A"/>
    <w:rsid w:val="00E56800"/>
    <w:rsid w:val="00E57F2E"/>
    <w:rsid w:val="00E60C63"/>
    <w:rsid w:val="00E62FF9"/>
    <w:rsid w:val="00E635D6"/>
    <w:rsid w:val="00E639BC"/>
    <w:rsid w:val="00E664CC"/>
    <w:rsid w:val="00E70388"/>
    <w:rsid w:val="00E70F92"/>
    <w:rsid w:val="00E73F88"/>
    <w:rsid w:val="00E74C54"/>
    <w:rsid w:val="00E77A03"/>
    <w:rsid w:val="00E822E8"/>
    <w:rsid w:val="00E82554"/>
    <w:rsid w:val="00E82606"/>
    <w:rsid w:val="00E83720"/>
    <w:rsid w:val="00E846C8"/>
    <w:rsid w:val="00E84957"/>
    <w:rsid w:val="00E84A55"/>
    <w:rsid w:val="00E85BFF"/>
    <w:rsid w:val="00E870D3"/>
    <w:rsid w:val="00E90391"/>
    <w:rsid w:val="00E906C2"/>
    <w:rsid w:val="00E9311F"/>
    <w:rsid w:val="00E934D1"/>
    <w:rsid w:val="00E94AF0"/>
    <w:rsid w:val="00E95D13"/>
    <w:rsid w:val="00E95DD3"/>
    <w:rsid w:val="00E969D5"/>
    <w:rsid w:val="00EA58D1"/>
    <w:rsid w:val="00EA61BC"/>
    <w:rsid w:val="00EA681A"/>
    <w:rsid w:val="00EA735B"/>
    <w:rsid w:val="00EB0819"/>
    <w:rsid w:val="00EB1E69"/>
    <w:rsid w:val="00EB2086"/>
    <w:rsid w:val="00EB391E"/>
    <w:rsid w:val="00EB5EDF"/>
    <w:rsid w:val="00EB60FE"/>
    <w:rsid w:val="00EB74DB"/>
    <w:rsid w:val="00EC5359"/>
    <w:rsid w:val="00EC562A"/>
    <w:rsid w:val="00ED067A"/>
    <w:rsid w:val="00ED2B50"/>
    <w:rsid w:val="00ED4146"/>
    <w:rsid w:val="00EE0350"/>
    <w:rsid w:val="00EE0719"/>
    <w:rsid w:val="00EE0E80"/>
    <w:rsid w:val="00EE613F"/>
    <w:rsid w:val="00EE7295"/>
    <w:rsid w:val="00EE7869"/>
    <w:rsid w:val="00EF054A"/>
    <w:rsid w:val="00EF0984"/>
    <w:rsid w:val="00EF3235"/>
    <w:rsid w:val="00EF7E72"/>
    <w:rsid w:val="00F02B5B"/>
    <w:rsid w:val="00F0623E"/>
    <w:rsid w:val="00F06D37"/>
    <w:rsid w:val="00F07806"/>
    <w:rsid w:val="00F07B9D"/>
    <w:rsid w:val="00F07FDE"/>
    <w:rsid w:val="00F11586"/>
    <w:rsid w:val="00F1183B"/>
    <w:rsid w:val="00F11C9F"/>
    <w:rsid w:val="00F12263"/>
    <w:rsid w:val="00F1409D"/>
    <w:rsid w:val="00F14214"/>
    <w:rsid w:val="00F157A9"/>
    <w:rsid w:val="00F20872"/>
    <w:rsid w:val="00F25B26"/>
    <w:rsid w:val="00F25BB6"/>
    <w:rsid w:val="00F26B7E"/>
    <w:rsid w:val="00F27A3B"/>
    <w:rsid w:val="00F33817"/>
    <w:rsid w:val="00F340AE"/>
    <w:rsid w:val="00F35C70"/>
    <w:rsid w:val="00F420D5"/>
    <w:rsid w:val="00F451EA"/>
    <w:rsid w:val="00F45447"/>
    <w:rsid w:val="00F456C6"/>
    <w:rsid w:val="00F4577B"/>
    <w:rsid w:val="00F46496"/>
    <w:rsid w:val="00F474D0"/>
    <w:rsid w:val="00F5003B"/>
    <w:rsid w:val="00F50179"/>
    <w:rsid w:val="00F515EE"/>
    <w:rsid w:val="00F56511"/>
    <w:rsid w:val="00F6194E"/>
    <w:rsid w:val="00F61D9D"/>
    <w:rsid w:val="00F623AC"/>
    <w:rsid w:val="00F63C95"/>
    <w:rsid w:val="00F6412A"/>
    <w:rsid w:val="00F65893"/>
    <w:rsid w:val="00F66A4A"/>
    <w:rsid w:val="00F71E22"/>
    <w:rsid w:val="00F72142"/>
    <w:rsid w:val="00F72AE7"/>
    <w:rsid w:val="00F833BA"/>
    <w:rsid w:val="00F84FD0"/>
    <w:rsid w:val="00F859A8"/>
    <w:rsid w:val="00F86D87"/>
    <w:rsid w:val="00F9108B"/>
    <w:rsid w:val="00F91349"/>
    <w:rsid w:val="00F93A8A"/>
    <w:rsid w:val="00F94A76"/>
    <w:rsid w:val="00F95248"/>
    <w:rsid w:val="00F956A9"/>
    <w:rsid w:val="00F963ED"/>
    <w:rsid w:val="00F966CF"/>
    <w:rsid w:val="00F96CAE"/>
    <w:rsid w:val="00F97C99"/>
    <w:rsid w:val="00FA662D"/>
    <w:rsid w:val="00FA73B1"/>
    <w:rsid w:val="00FB0CB9"/>
    <w:rsid w:val="00FB45F1"/>
    <w:rsid w:val="00FB4A72"/>
    <w:rsid w:val="00FB54E8"/>
    <w:rsid w:val="00FB7054"/>
    <w:rsid w:val="00FC17B7"/>
    <w:rsid w:val="00FC2CB7"/>
    <w:rsid w:val="00FC373E"/>
    <w:rsid w:val="00FC4090"/>
    <w:rsid w:val="00FC55B4"/>
    <w:rsid w:val="00FC5D92"/>
    <w:rsid w:val="00FC76ED"/>
    <w:rsid w:val="00FD00E6"/>
    <w:rsid w:val="00FD09A1"/>
    <w:rsid w:val="00FD2A7C"/>
    <w:rsid w:val="00FD59EB"/>
    <w:rsid w:val="00FD7299"/>
    <w:rsid w:val="00FE1FBE"/>
    <w:rsid w:val="00FE3901"/>
    <w:rsid w:val="00FE39D3"/>
    <w:rsid w:val="00FE4BCE"/>
    <w:rsid w:val="00FE54AE"/>
    <w:rsid w:val="00FE576A"/>
    <w:rsid w:val="00FE7E79"/>
    <w:rsid w:val="00FF3E7D"/>
    <w:rsid w:val="00FF5AE2"/>
    <w:rsid w:val="00FF5B99"/>
    <w:rsid w:val="00FF730C"/>
    <w:rsid w:val="00FF73F4"/>
    <w:rsid w:val="00FF7CE4"/>
    <w:rsid w:val="00FF7E39"/>
    <w:rsid w:val="01154EDD"/>
    <w:rsid w:val="01556FF1"/>
    <w:rsid w:val="01936B71"/>
    <w:rsid w:val="01D25A74"/>
    <w:rsid w:val="027856D9"/>
    <w:rsid w:val="02932B23"/>
    <w:rsid w:val="02BB5B28"/>
    <w:rsid w:val="02BE01B7"/>
    <w:rsid w:val="0303576D"/>
    <w:rsid w:val="03044E5C"/>
    <w:rsid w:val="032270F9"/>
    <w:rsid w:val="03681804"/>
    <w:rsid w:val="0376654B"/>
    <w:rsid w:val="038764C0"/>
    <w:rsid w:val="03DD0E69"/>
    <w:rsid w:val="0428700D"/>
    <w:rsid w:val="04671EF4"/>
    <w:rsid w:val="047114A2"/>
    <w:rsid w:val="04B20F4A"/>
    <w:rsid w:val="05157BA2"/>
    <w:rsid w:val="059F029C"/>
    <w:rsid w:val="05AA653C"/>
    <w:rsid w:val="06385A43"/>
    <w:rsid w:val="06585F30"/>
    <w:rsid w:val="068B1937"/>
    <w:rsid w:val="068C5343"/>
    <w:rsid w:val="06D2396E"/>
    <w:rsid w:val="071D7036"/>
    <w:rsid w:val="078013FC"/>
    <w:rsid w:val="07C531B9"/>
    <w:rsid w:val="07C67C59"/>
    <w:rsid w:val="082D3F4A"/>
    <w:rsid w:val="083F4F9F"/>
    <w:rsid w:val="087F3C67"/>
    <w:rsid w:val="08FE514C"/>
    <w:rsid w:val="09016473"/>
    <w:rsid w:val="0946657C"/>
    <w:rsid w:val="094C42CE"/>
    <w:rsid w:val="0A6A2C79"/>
    <w:rsid w:val="0ADA0032"/>
    <w:rsid w:val="0B92640E"/>
    <w:rsid w:val="0BD7170D"/>
    <w:rsid w:val="0BF52F2C"/>
    <w:rsid w:val="0C23087C"/>
    <w:rsid w:val="0C324F45"/>
    <w:rsid w:val="0C364921"/>
    <w:rsid w:val="0C835599"/>
    <w:rsid w:val="0CEB01EB"/>
    <w:rsid w:val="0D0207B1"/>
    <w:rsid w:val="0D931037"/>
    <w:rsid w:val="0DA21886"/>
    <w:rsid w:val="0DA23F5E"/>
    <w:rsid w:val="0DB6545F"/>
    <w:rsid w:val="0E111A8B"/>
    <w:rsid w:val="0E1827DD"/>
    <w:rsid w:val="0E1A79B4"/>
    <w:rsid w:val="0E50176F"/>
    <w:rsid w:val="0F07570A"/>
    <w:rsid w:val="0F9423D3"/>
    <w:rsid w:val="102D4532"/>
    <w:rsid w:val="10981317"/>
    <w:rsid w:val="11160F29"/>
    <w:rsid w:val="1186759C"/>
    <w:rsid w:val="11EF2F50"/>
    <w:rsid w:val="1206590E"/>
    <w:rsid w:val="122356AC"/>
    <w:rsid w:val="12E3308D"/>
    <w:rsid w:val="12E7492B"/>
    <w:rsid w:val="12F55664"/>
    <w:rsid w:val="13C7650B"/>
    <w:rsid w:val="14826BCA"/>
    <w:rsid w:val="14DB04C0"/>
    <w:rsid w:val="14F6607C"/>
    <w:rsid w:val="154A307A"/>
    <w:rsid w:val="15F15AC1"/>
    <w:rsid w:val="15FF01DE"/>
    <w:rsid w:val="16513697"/>
    <w:rsid w:val="16E01DBD"/>
    <w:rsid w:val="17030CFA"/>
    <w:rsid w:val="170B4961"/>
    <w:rsid w:val="170D6A8D"/>
    <w:rsid w:val="178A5CE1"/>
    <w:rsid w:val="17A032FB"/>
    <w:rsid w:val="17EB373F"/>
    <w:rsid w:val="17F36EDC"/>
    <w:rsid w:val="183F7FC1"/>
    <w:rsid w:val="18714C97"/>
    <w:rsid w:val="19570331"/>
    <w:rsid w:val="19766A09"/>
    <w:rsid w:val="19CE023E"/>
    <w:rsid w:val="19CE28A3"/>
    <w:rsid w:val="19DA2583"/>
    <w:rsid w:val="1A0D2CAF"/>
    <w:rsid w:val="1A466E94"/>
    <w:rsid w:val="1A9C7DA4"/>
    <w:rsid w:val="1B0B13D3"/>
    <w:rsid w:val="1B1E0807"/>
    <w:rsid w:val="1B30127C"/>
    <w:rsid w:val="1B42482C"/>
    <w:rsid w:val="1BDE669C"/>
    <w:rsid w:val="1BEA0A7F"/>
    <w:rsid w:val="1BF03B47"/>
    <w:rsid w:val="1C1544C9"/>
    <w:rsid w:val="1C942F2B"/>
    <w:rsid w:val="1C955049"/>
    <w:rsid w:val="1D2B4AA8"/>
    <w:rsid w:val="1E396257"/>
    <w:rsid w:val="1E895406"/>
    <w:rsid w:val="1E8B481C"/>
    <w:rsid w:val="1F3C5BE4"/>
    <w:rsid w:val="1F8249C1"/>
    <w:rsid w:val="1FB47152"/>
    <w:rsid w:val="1FFA519F"/>
    <w:rsid w:val="20516689"/>
    <w:rsid w:val="205630F0"/>
    <w:rsid w:val="210D46F3"/>
    <w:rsid w:val="21455638"/>
    <w:rsid w:val="214B2F99"/>
    <w:rsid w:val="21BA3025"/>
    <w:rsid w:val="21C347B6"/>
    <w:rsid w:val="21E96BAE"/>
    <w:rsid w:val="2268202E"/>
    <w:rsid w:val="22F015DA"/>
    <w:rsid w:val="231F41C2"/>
    <w:rsid w:val="23376EE1"/>
    <w:rsid w:val="23494431"/>
    <w:rsid w:val="23AF726E"/>
    <w:rsid w:val="243A76CF"/>
    <w:rsid w:val="24772DA9"/>
    <w:rsid w:val="24D3418A"/>
    <w:rsid w:val="25674DD2"/>
    <w:rsid w:val="25816F15"/>
    <w:rsid w:val="25AB3597"/>
    <w:rsid w:val="26607FFE"/>
    <w:rsid w:val="26934D10"/>
    <w:rsid w:val="27585E02"/>
    <w:rsid w:val="27C71282"/>
    <w:rsid w:val="281E6E30"/>
    <w:rsid w:val="2835183D"/>
    <w:rsid w:val="2867568B"/>
    <w:rsid w:val="298A3CF4"/>
    <w:rsid w:val="2A6E0F54"/>
    <w:rsid w:val="2ABA7605"/>
    <w:rsid w:val="2AC52E4E"/>
    <w:rsid w:val="2ACE6C3F"/>
    <w:rsid w:val="2B4A03AB"/>
    <w:rsid w:val="2B9176D3"/>
    <w:rsid w:val="2BD37D84"/>
    <w:rsid w:val="2C8F634D"/>
    <w:rsid w:val="2CE7653E"/>
    <w:rsid w:val="2D3447B9"/>
    <w:rsid w:val="2D390414"/>
    <w:rsid w:val="2D6A6059"/>
    <w:rsid w:val="2D7B7CF2"/>
    <w:rsid w:val="2D8412E4"/>
    <w:rsid w:val="2DBA19CF"/>
    <w:rsid w:val="2DCD1EC8"/>
    <w:rsid w:val="2DDB4502"/>
    <w:rsid w:val="2E625356"/>
    <w:rsid w:val="2E8004EB"/>
    <w:rsid w:val="2E99246D"/>
    <w:rsid w:val="2EB923F7"/>
    <w:rsid w:val="2F1E0F22"/>
    <w:rsid w:val="2F286151"/>
    <w:rsid w:val="2F4146F9"/>
    <w:rsid w:val="2F62625F"/>
    <w:rsid w:val="2F636356"/>
    <w:rsid w:val="2FB23A14"/>
    <w:rsid w:val="2FBC45F2"/>
    <w:rsid w:val="2FC260AC"/>
    <w:rsid w:val="300452D0"/>
    <w:rsid w:val="304F72BD"/>
    <w:rsid w:val="30A959B5"/>
    <w:rsid w:val="31230DCD"/>
    <w:rsid w:val="31644906"/>
    <w:rsid w:val="316A5385"/>
    <w:rsid w:val="316C28D8"/>
    <w:rsid w:val="31B85BA1"/>
    <w:rsid w:val="31F25A51"/>
    <w:rsid w:val="326F1DF0"/>
    <w:rsid w:val="3273368E"/>
    <w:rsid w:val="32B13F26"/>
    <w:rsid w:val="32CB4B80"/>
    <w:rsid w:val="32FD5495"/>
    <w:rsid w:val="331F7372"/>
    <w:rsid w:val="33692BBE"/>
    <w:rsid w:val="337C39DB"/>
    <w:rsid w:val="337E7650"/>
    <w:rsid w:val="33A64886"/>
    <w:rsid w:val="33CC5187"/>
    <w:rsid w:val="33FD281F"/>
    <w:rsid w:val="342A4BEF"/>
    <w:rsid w:val="34CE2D2C"/>
    <w:rsid w:val="34EA0A05"/>
    <w:rsid w:val="34FB796B"/>
    <w:rsid w:val="350A3B5B"/>
    <w:rsid w:val="35A83DA5"/>
    <w:rsid w:val="35C4359A"/>
    <w:rsid w:val="36705BF9"/>
    <w:rsid w:val="36730100"/>
    <w:rsid w:val="368051C0"/>
    <w:rsid w:val="36F0565E"/>
    <w:rsid w:val="36F12BF7"/>
    <w:rsid w:val="370219F4"/>
    <w:rsid w:val="373F5BE4"/>
    <w:rsid w:val="377312CB"/>
    <w:rsid w:val="37853707"/>
    <w:rsid w:val="37A8069E"/>
    <w:rsid w:val="37BF7295"/>
    <w:rsid w:val="37D70005"/>
    <w:rsid w:val="38117C41"/>
    <w:rsid w:val="38394F7F"/>
    <w:rsid w:val="38553E1C"/>
    <w:rsid w:val="387679F3"/>
    <w:rsid w:val="38D263A8"/>
    <w:rsid w:val="38DE2EFD"/>
    <w:rsid w:val="38F0358A"/>
    <w:rsid w:val="39043169"/>
    <w:rsid w:val="39511098"/>
    <w:rsid w:val="39596DD7"/>
    <w:rsid w:val="39D002EA"/>
    <w:rsid w:val="39E14A17"/>
    <w:rsid w:val="3A23599A"/>
    <w:rsid w:val="3A7065B1"/>
    <w:rsid w:val="3A812D3A"/>
    <w:rsid w:val="3A8334DB"/>
    <w:rsid w:val="3AC604EB"/>
    <w:rsid w:val="3AFD2630"/>
    <w:rsid w:val="3B163750"/>
    <w:rsid w:val="3B280800"/>
    <w:rsid w:val="3C153A08"/>
    <w:rsid w:val="3C221C81"/>
    <w:rsid w:val="3C887E12"/>
    <w:rsid w:val="3CC1149A"/>
    <w:rsid w:val="3CFE7A3B"/>
    <w:rsid w:val="3D464A97"/>
    <w:rsid w:val="3D98229D"/>
    <w:rsid w:val="3DE43DC3"/>
    <w:rsid w:val="3E7C738E"/>
    <w:rsid w:val="3EFE06DD"/>
    <w:rsid w:val="3F54231C"/>
    <w:rsid w:val="3F55760A"/>
    <w:rsid w:val="3F7153F9"/>
    <w:rsid w:val="400C663F"/>
    <w:rsid w:val="400F770A"/>
    <w:rsid w:val="40251D40"/>
    <w:rsid w:val="403437DC"/>
    <w:rsid w:val="40512B35"/>
    <w:rsid w:val="4077486F"/>
    <w:rsid w:val="40BB1A8E"/>
    <w:rsid w:val="40DE4346"/>
    <w:rsid w:val="40F23873"/>
    <w:rsid w:val="40F5789F"/>
    <w:rsid w:val="41325571"/>
    <w:rsid w:val="413E5E83"/>
    <w:rsid w:val="416A28B3"/>
    <w:rsid w:val="420B5BE4"/>
    <w:rsid w:val="43FE25C2"/>
    <w:rsid w:val="440F6F8F"/>
    <w:rsid w:val="449E6B0D"/>
    <w:rsid w:val="44C10184"/>
    <w:rsid w:val="44CE52C9"/>
    <w:rsid w:val="45B466B4"/>
    <w:rsid w:val="45C67811"/>
    <w:rsid w:val="45FF1390"/>
    <w:rsid w:val="46312FE7"/>
    <w:rsid w:val="46342C08"/>
    <w:rsid w:val="464A0DF9"/>
    <w:rsid w:val="465110A2"/>
    <w:rsid w:val="46D71FE6"/>
    <w:rsid w:val="47425405"/>
    <w:rsid w:val="4772552B"/>
    <w:rsid w:val="477302AE"/>
    <w:rsid w:val="478064D1"/>
    <w:rsid w:val="47C84EB4"/>
    <w:rsid w:val="47F866B8"/>
    <w:rsid w:val="48A676B9"/>
    <w:rsid w:val="491A2604"/>
    <w:rsid w:val="49BD6505"/>
    <w:rsid w:val="4A2E64E9"/>
    <w:rsid w:val="4A3339AF"/>
    <w:rsid w:val="4AC239A1"/>
    <w:rsid w:val="4AD52CE0"/>
    <w:rsid w:val="4ADB5C43"/>
    <w:rsid w:val="4B0A57A4"/>
    <w:rsid w:val="4B1C6D84"/>
    <w:rsid w:val="4B1F3E41"/>
    <w:rsid w:val="4B260ECD"/>
    <w:rsid w:val="4B4153DA"/>
    <w:rsid w:val="4B8D4049"/>
    <w:rsid w:val="4BE12806"/>
    <w:rsid w:val="4CFB77AE"/>
    <w:rsid w:val="4D025039"/>
    <w:rsid w:val="4EA030FA"/>
    <w:rsid w:val="4F5F526E"/>
    <w:rsid w:val="4FB05ACA"/>
    <w:rsid w:val="4FB333DD"/>
    <w:rsid w:val="4FD23C92"/>
    <w:rsid w:val="4FDF63AF"/>
    <w:rsid w:val="4FE225CB"/>
    <w:rsid w:val="50003390"/>
    <w:rsid w:val="50137E5C"/>
    <w:rsid w:val="50894052"/>
    <w:rsid w:val="51357465"/>
    <w:rsid w:val="516B376B"/>
    <w:rsid w:val="520974A2"/>
    <w:rsid w:val="524B7D2C"/>
    <w:rsid w:val="525B7B18"/>
    <w:rsid w:val="525E78FC"/>
    <w:rsid w:val="52A40B8F"/>
    <w:rsid w:val="52D379E8"/>
    <w:rsid w:val="532976EA"/>
    <w:rsid w:val="53AA3D18"/>
    <w:rsid w:val="53B65A77"/>
    <w:rsid w:val="54594F33"/>
    <w:rsid w:val="549E2C1C"/>
    <w:rsid w:val="54A26E92"/>
    <w:rsid w:val="5555327F"/>
    <w:rsid w:val="558546CA"/>
    <w:rsid w:val="55AD03B6"/>
    <w:rsid w:val="55B349E4"/>
    <w:rsid w:val="55DA564E"/>
    <w:rsid w:val="5632063E"/>
    <w:rsid w:val="56C4442D"/>
    <w:rsid w:val="56D55286"/>
    <w:rsid w:val="570A5ABF"/>
    <w:rsid w:val="573B036F"/>
    <w:rsid w:val="58150009"/>
    <w:rsid w:val="58944924"/>
    <w:rsid w:val="58C6328F"/>
    <w:rsid w:val="591C25C9"/>
    <w:rsid w:val="5934295A"/>
    <w:rsid w:val="59B402DF"/>
    <w:rsid w:val="59C91312"/>
    <w:rsid w:val="5A860FB0"/>
    <w:rsid w:val="5ACA4E2C"/>
    <w:rsid w:val="5AFE7824"/>
    <w:rsid w:val="5B2D4B66"/>
    <w:rsid w:val="5B3A0261"/>
    <w:rsid w:val="5B5E287E"/>
    <w:rsid w:val="5B944B54"/>
    <w:rsid w:val="5B973EA3"/>
    <w:rsid w:val="5BF55946"/>
    <w:rsid w:val="5CF2246E"/>
    <w:rsid w:val="5D442E1B"/>
    <w:rsid w:val="5D716D07"/>
    <w:rsid w:val="5D883449"/>
    <w:rsid w:val="5DA54794"/>
    <w:rsid w:val="5DBC31C3"/>
    <w:rsid w:val="5E3E24DB"/>
    <w:rsid w:val="5F1009EF"/>
    <w:rsid w:val="5F2C49BE"/>
    <w:rsid w:val="5F417343"/>
    <w:rsid w:val="5FB82CB8"/>
    <w:rsid w:val="5FFE462F"/>
    <w:rsid w:val="60097A33"/>
    <w:rsid w:val="60346E31"/>
    <w:rsid w:val="60395B4B"/>
    <w:rsid w:val="60771CEC"/>
    <w:rsid w:val="60E4745A"/>
    <w:rsid w:val="61513C66"/>
    <w:rsid w:val="62327E09"/>
    <w:rsid w:val="627112F3"/>
    <w:rsid w:val="62D6719E"/>
    <w:rsid w:val="62DA116D"/>
    <w:rsid w:val="634D50AC"/>
    <w:rsid w:val="640066EE"/>
    <w:rsid w:val="646A7C69"/>
    <w:rsid w:val="647E5D3F"/>
    <w:rsid w:val="64AE37F7"/>
    <w:rsid w:val="65E37C8E"/>
    <w:rsid w:val="660E3FA9"/>
    <w:rsid w:val="6647647B"/>
    <w:rsid w:val="66E66A95"/>
    <w:rsid w:val="67131088"/>
    <w:rsid w:val="672568BB"/>
    <w:rsid w:val="676A4358"/>
    <w:rsid w:val="67F41512"/>
    <w:rsid w:val="68264723"/>
    <w:rsid w:val="687F63A5"/>
    <w:rsid w:val="68C06926"/>
    <w:rsid w:val="68C335B2"/>
    <w:rsid w:val="69942189"/>
    <w:rsid w:val="69D72862"/>
    <w:rsid w:val="69DE7FB2"/>
    <w:rsid w:val="6B042C0A"/>
    <w:rsid w:val="6B0E1B07"/>
    <w:rsid w:val="6B55322A"/>
    <w:rsid w:val="6B8B65E2"/>
    <w:rsid w:val="6BE476F0"/>
    <w:rsid w:val="6C073883"/>
    <w:rsid w:val="6C5C11C9"/>
    <w:rsid w:val="6CD2539D"/>
    <w:rsid w:val="6CFC7FF3"/>
    <w:rsid w:val="6D475512"/>
    <w:rsid w:val="6D4E4EF3"/>
    <w:rsid w:val="6DD2352E"/>
    <w:rsid w:val="6E6B2E90"/>
    <w:rsid w:val="6E9728C4"/>
    <w:rsid w:val="6EF32E85"/>
    <w:rsid w:val="6F9147F4"/>
    <w:rsid w:val="70014278"/>
    <w:rsid w:val="70553DF8"/>
    <w:rsid w:val="70B56644"/>
    <w:rsid w:val="70E31AB2"/>
    <w:rsid w:val="71B97748"/>
    <w:rsid w:val="71BF0EEC"/>
    <w:rsid w:val="71C54CA6"/>
    <w:rsid w:val="71D128DC"/>
    <w:rsid w:val="71D3434C"/>
    <w:rsid w:val="71F94E17"/>
    <w:rsid w:val="721154DF"/>
    <w:rsid w:val="724C7CF5"/>
    <w:rsid w:val="72593EF4"/>
    <w:rsid w:val="725D6F93"/>
    <w:rsid w:val="728532F9"/>
    <w:rsid w:val="72930B93"/>
    <w:rsid w:val="72B23A2C"/>
    <w:rsid w:val="72CF4844"/>
    <w:rsid w:val="73005B45"/>
    <w:rsid w:val="73832A2A"/>
    <w:rsid w:val="73903399"/>
    <w:rsid w:val="73B05848"/>
    <w:rsid w:val="742A7349"/>
    <w:rsid w:val="7447614D"/>
    <w:rsid w:val="744C735C"/>
    <w:rsid w:val="74795BDB"/>
    <w:rsid w:val="74E04239"/>
    <w:rsid w:val="75295EA9"/>
    <w:rsid w:val="75513299"/>
    <w:rsid w:val="760276AF"/>
    <w:rsid w:val="761613DF"/>
    <w:rsid w:val="763334C1"/>
    <w:rsid w:val="76A52CAD"/>
    <w:rsid w:val="76CC46E8"/>
    <w:rsid w:val="76F94145"/>
    <w:rsid w:val="7746449A"/>
    <w:rsid w:val="77572D04"/>
    <w:rsid w:val="777FA60E"/>
    <w:rsid w:val="78992D7B"/>
    <w:rsid w:val="78A23952"/>
    <w:rsid w:val="78B6564F"/>
    <w:rsid w:val="78E0192E"/>
    <w:rsid w:val="79091C23"/>
    <w:rsid w:val="79263B18"/>
    <w:rsid w:val="797B1814"/>
    <w:rsid w:val="79E26AAF"/>
    <w:rsid w:val="79EB37E0"/>
    <w:rsid w:val="7AA22579"/>
    <w:rsid w:val="7AB461FA"/>
    <w:rsid w:val="7AD454A5"/>
    <w:rsid w:val="7B0E6197"/>
    <w:rsid w:val="7B41739F"/>
    <w:rsid w:val="7B4543AB"/>
    <w:rsid w:val="7B463487"/>
    <w:rsid w:val="7B557D38"/>
    <w:rsid w:val="7B71585E"/>
    <w:rsid w:val="7BFC15CB"/>
    <w:rsid w:val="7BFE6718"/>
    <w:rsid w:val="7C12160A"/>
    <w:rsid w:val="7C14742B"/>
    <w:rsid w:val="7C785EE6"/>
    <w:rsid w:val="7C8F3DFF"/>
    <w:rsid w:val="7C9154E4"/>
    <w:rsid w:val="7D033329"/>
    <w:rsid w:val="7D693F8A"/>
    <w:rsid w:val="7D7779AF"/>
    <w:rsid w:val="7DC77FB0"/>
    <w:rsid w:val="7DE06CCB"/>
    <w:rsid w:val="7E3E11C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unhideWhenUsed="0" w:uiPriority="0" w:semiHidden="0" w:name="toc 8" w:locked="1"/>
    <w:lsdException w:unhideWhenUsed="0" w:uiPriority="0" w:semiHidden="0" w:name="toc 9" w:locked="1"/>
    <w:lsdException w:qFormat="1" w:unhideWhenUsed="0" w:uiPriority="99" w:semiHidden="0"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qFormat="1" w:unhideWhenUsed="0" w:uiPriority="99" w:name="table of figures"/>
    <w:lsdException w:uiPriority="99" w:name="envelope address"/>
    <w:lsdException w:uiPriority="99" w:name="envelope return"/>
    <w:lsdException w:qFormat="1" w:unhideWhenUsed="0"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nhideWhenUsed="0" w:uiPriority="99" w:name="HTML Cite"/>
    <w:lsdException w:qFormat="1" w:unhideWhenUsed="0" w:uiPriority="99" w:name="HTML Code"/>
    <w:lsdException w:qFormat="1" w:unhideWhenUsed="0" w:uiPriority="99" w:name="HTML Definition"/>
    <w:lsdException w:qFormat="1" w:unhideWhenUsed="0" w:uiPriority="99" w:name="HTML Keyboard"/>
    <w:lsdException w:qFormat="1" w:unhideWhenUsed="0" w:uiPriority="99" w:semiHidden="0" w:name="HTML Preformatted"/>
    <w:lsdException w:qFormat="1" w:unhideWhenUsed="0" w:uiPriority="99" w:name="HTML Sample"/>
    <w:lsdException w:uiPriority="99" w:name="HTML Typewriter"/>
    <w:lsdException w:qFormat="1" w:unhideWhenUsed="0"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43"/>
    <w:qFormat/>
    <w:uiPriority w:val="99"/>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44"/>
    <w:qFormat/>
    <w:uiPriority w:val="99"/>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1"/>
    <w:link w:val="45"/>
    <w:qFormat/>
    <w:uiPriority w:val="99"/>
    <w:pPr>
      <w:keepNext/>
      <w:keepLines/>
      <w:spacing w:before="260" w:after="260" w:line="416" w:lineRule="auto"/>
      <w:outlineLvl w:val="2"/>
    </w:pPr>
    <w:rPr>
      <w:rFonts w:ascii="Times New Roman" w:hAnsi="Times New Roman"/>
      <w:b/>
      <w:bCs/>
      <w:kern w:val="0"/>
      <w:sz w:val="32"/>
      <w:szCs w:val="32"/>
    </w:rPr>
  </w:style>
  <w:style w:type="paragraph" w:styleId="5">
    <w:name w:val="heading 4"/>
    <w:basedOn w:val="1"/>
    <w:next w:val="1"/>
    <w:link w:val="46"/>
    <w:qFormat/>
    <w:uiPriority w:val="99"/>
    <w:pPr>
      <w:keepNext/>
      <w:keepLines/>
      <w:spacing w:before="280" w:after="290" w:line="376" w:lineRule="auto"/>
      <w:outlineLvl w:val="3"/>
    </w:pPr>
    <w:rPr>
      <w:rFonts w:ascii="Arial" w:hAnsi="Arial" w:eastAsia="黑体"/>
      <w:b/>
      <w:bCs/>
      <w:kern w:val="0"/>
      <w:sz w:val="28"/>
      <w:szCs w:val="28"/>
    </w:rPr>
  </w:style>
  <w:style w:type="paragraph" w:styleId="6">
    <w:name w:val="heading 5"/>
    <w:basedOn w:val="1"/>
    <w:next w:val="1"/>
    <w:link w:val="47"/>
    <w:qFormat/>
    <w:uiPriority w:val="99"/>
    <w:pPr>
      <w:keepNext/>
      <w:keepLines/>
      <w:adjustRightInd/>
      <w:spacing w:before="280" w:after="290" w:line="376" w:lineRule="auto"/>
      <w:outlineLvl w:val="4"/>
    </w:pPr>
    <w:rPr>
      <w:rFonts w:ascii="Times New Roman" w:hAnsi="Times New Roman"/>
      <w:b/>
      <w:bCs/>
      <w:kern w:val="0"/>
      <w:sz w:val="28"/>
      <w:szCs w:val="28"/>
    </w:rPr>
  </w:style>
  <w:style w:type="paragraph" w:styleId="7">
    <w:name w:val="heading 6"/>
    <w:basedOn w:val="1"/>
    <w:next w:val="1"/>
    <w:link w:val="48"/>
    <w:qFormat/>
    <w:uiPriority w:val="99"/>
    <w:pPr>
      <w:keepNext/>
      <w:keepLines/>
      <w:adjustRightInd/>
      <w:spacing w:before="240" w:after="64" w:line="320" w:lineRule="auto"/>
      <w:outlineLvl w:val="5"/>
    </w:pPr>
    <w:rPr>
      <w:rFonts w:ascii="Arial" w:hAnsi="Arial" w:eastAsia="黑体"/>
      <w:b/>
      <w:bCs/>
      <w:kern w:val="0"/>
      <w:sz w:val="24"/>
      <w:szCs w:val="24"/>
    </w:rPr>
  </w:style>
  <w:style w:type="paragraph" w:styleId="8">
    <w:name w:val="heading 7"/>
    <w:basedOn w:val="1"/>
    <w:next w:val="1"/>
    <w:link w:val="49"/>
    <w:qFormat/>
    <w:uiPriority w:val="99"/>
    <w:pPr>
      <w:keepNext/>
      <w:keepLines/>
      <w:adjustRightInd/>
      <w:spacing w:before="240" w:after="64" w:line="320" w:lineRule="auto"/>
      <w:outlineLvl w:val="6"/>
    </w:pPr>
    <w:rPr>
      <w:rFonts w:ascii="Times New Roman" w:hAnsi="Times New Roman"/>
      <w:b/>
      <w:bCs/>
      <w:kern w:val="0"/>
      <w:sz w:val="24"/>
      <w:szCs w:val="24"/>
    </w:rPr>
  </w:style>
  <w:style w:type="paragraph" w:styleId="9">
    <w:name w:val="heading 8"/>
    <w:basedOn w:val="1"/>
    <w:next w:val="1"/>
    <w:link w:val="50"/>
    <w:qFormat/>
    <w:uiPriority w:val="99"/>
    <w:pPr>
      <w:keepNext/>
      <w:keepLines/>
      <w:adjustRightInd/>
      <w:spacing w:before="240" w:after="64" w:line="320" w:lineRule="auto"/>
      <w:outlineLvl w:val="7"/>
    </w:pPr>
    <w:rPr>
      <w:rFonts w:ascii="Arial" w:hAnsi="Arial" w:eastAsia="黑体"/>
      <w:kern w:val="0"/>
      <w:sz w:val="24"/>
      <w:szCs w:val="24"/>
    </w:rPr>
  </w:style>
  <w:style w:type="paragraph" w:styleId="10">
    <w:name w:val="heading 9"/>
    <w:basedOn w:val="1"/>
    <w:next w:val="1"/>
    <w:link w:val="51"/>
    <w:qFormat/>
    <w:uiPriority w:val="99"/>
    <w:pPr>
      <w:keepNext/>
      <w:keepLines/>
      <w:adjustRightInd/>
      <w:spacing w:before="240" w:after="64" w:line="320" w:lineRule="auto"/>
      <w:outlineLvl w:val="8"/>
    </w:pPr>
    <w:rPr>
      <w:rFonts w:ascii="Arial" w:hAnsi="Arial" w:eastAsia="黑体"/>
      <w:kern w:val="0"/>
      <w:sz w:val="20"/>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99"/>
    <w:pPr>
      <w:tabs>
        <w:tab w:val="right" w:leader="dot" w:pos="9344"/>
      </w:tabs>
      <w:spacing w:line="300" w:lineRule="exact"/>
      <w:ind w:left="1259"/>
    </w:pPr>
    <w:rPr>
      <w:rFonts w:ascii="宋体"/>
    </w:rPr>
  </w:style>
  <w:style w:type="paragraph" w:styleId="12">
    <w:name w:val="Normal Indent"/>
    <w:basedOn w:val="1"/>
    <w:qFormat/>
    <w:uiPriority w:val="99"/>
    <w:pPr>
      <w:ind w:firstLine="420"/>
    </w:pPr>
  </w:style>
  <w:style w:type="paragraph" w:styleId="13">
    <w:name w:val="Body Text"/>
    <w:basedOn w:val="1"/>
    <w:link w:val="52"/>
    <w:qFormat/>
    <w:uiPriority w:val="99"/>
    <w:pPr>
      <w:spacing w:after="120"/>
    </w:pPr>
    <w:rPr>
      <w:rFonts w:ascii="Times New Roman" w:hAnsi="Times New Roman"/>
      <w:kern w:val="0"/>
      <w:sz w:val="20"/>
      <w:szCs w:val="20"/>
    </w:rPr>
  </w:style>
  <w:style w:type="paragraph" w:styleId="14">
    <w:name w:val="toc 5"/>
    <w:basedOn w:val="1"/>
    <w:next w:val="1"/>
    <w:qFormat/>
    <w:uiPriority w:val="99"/>
    <w:pPr>
      <w:ind w:left="839"/>
    </w:pPr>
    <w:rPr>
      <w:rFonts w:ascii="宋体"/>
    </w:rPr>
  </w:style>
  <w:style w:type="paragraph" w:styleId="15">
    <w:name w:val="toc 3"/>
    <w:basedOn w:val="1"/>
    <w:next w:val="1"/>
    <w:qFormat/>
    <w:uiPriority w:val="99"/>
    <w:pPr>
      <w:spacing w:line="300" w:lineRule="exact"/>
      <w:ind w:left="420"/>
    </w:pPr>
    <w:rPr>
      <w:rFonts w:ascii="宋体"/>
    </w:rPr>
  </w:style>
  <w:style w:type="paragraph" w:styleId="16">
    <w:name w:val="Balloon Text"/>
    <w:basedOn w:val="1"/>
    <w:link w:val="53"/>
    <w:semiHidden/>
    <w:qFormat/>
    <w:uiPriority w:val="99"/>
    <w:rPr>
      <w:rFonts w:ascii="Times New Roman" w:hAnsi="Times New Roman"/>
      <w:kern w:val="0"/>
      <w:sz w:val="18"/>
      <w:szCs w:val="18"/>
    </w:rPr>
  </w:style>
  <w:style w:type="paragraph" w:styleId="17">
    <w:name w:val="footer"/>
    <w:basedOn w:val="1"/>
    <w:link w:val="54"/>
    <w:qFormat/>
    <w:uiPriority w:val="99"/>
    <w:pPr>
      <w:tabs>
        <w:tab w:val="center" w:pos="4153"/>
        <w:tab w:val="right" w:pos="8306"/>
      </w:tabs>
      <w:adjustRightInd/>
      <w:snapToGrid w:val="0"/>
      <w:spacing w:line="240" w:lineRule="auto"/>
      <w:jc w:val="right"/>
    </w:pPr>
    <w:rPr>
      <w:rFonts w:ascii="宋体" w:hAnsi="Times New Roman"/>
      <w:kern w:val="0"/>
      <w:sz w:val="18"/>
      <w:szCs w:val="18"/>
    </w:rPr>
  </w:style>
  <w:style w:type="paragraph" w:styleId="18">
    <w:name w:val="header"/>
    <w:basedOn w:val="1"/>
    <w:link w:val="55"/>
    <w:qFormat/>
    <w:uiPriority w:val="99"/>
    <w:pPr>
      <w:tabs>
        <w:tab w:val="center" w:pos="4153"/>
        <w:tab w:val="right" w:pos="8306"/>
      </w:tabs>
      <w:adjustRightInd/>
      <w:snapToGrid w:val="0"/>
      <w:jc w:val="center"/>
    </w:pPr>
    <w:rPr>
      <w:rFonts w:ascii="Times New Roman" w:hAnsi="Times New Roman"/>
      <w:kern w:val="0"/>
      <w:sz w:val="18"/>
      <w:szCs w:val="18"/>
    </w:rPr>
  </w:style>
  <w:style w:type="paragraph" w:styleId="19">
    <w:name w:val="toc 1"/>
    <w:basedOn w:val="1"/>
    <w:next w:val="1"/>
    <w:qFormat/>
    <w:uiPriority w:val="99"/>
    <w:rPr>
      <w:rFonts w:ascii="宋体"/>
    </w:rPr>
  </w:style>
  <w:style w:type="paragraph" w:styleId="20">
    <w:name w:val="toc 4"/>
    <w:basedOn w:val="1"/>
    <w:next w:val="1"/>
    <w:qFormat/>
    <w:uiPriority w:val="99"/>
    <w:pPr>
      <w:tabs>
        <w:tab w:val="right" w:leader="dot" w:pos="9344"/>
      </w:tabs>
      <w:spacing w:line="300" w:lineRule="exact"/>
      <w:ind w:left="629"/>
    </w:pPr>
    <w:rPr>
      <w:rFonts w:ascii="宋体"/>
    </w:rPr>
  </w:style>
  <w:style w:type="paragraph" w:styleId="21">
    <w:name w:val="footnote text"/>
    <w:basedOn w:val="1"/>
    <w:next w:val="1"/>
    <w:link w:val="56"/>
    <w:semiHidden/>
    <w:qFormat/>
    <w:uiPriority w:val="99"/>
    <w:pPr>
      <w:adjustRightInd/>
      <w:snapToGrid w:val="0"/>
      <w:spacing w:line="300" w:lineRule="exact"/>
      <w:ind w:left="400" w:leftChars="200" w:hanging="200" w:hangingChars="200"/>
      <w:jc w:val="left"/>
    </w:pPr>
    <w:rPr>
      <w:rFonts w:ascii="宋体" w:hAnsi="Times New Roman"/>
      <w:kern w:val="0"/>
      <w:sz w:val="18"/>
      <w:szCs w:val="18"/>
    </w:rPr>
  </w:style>
  <w:style w:type="paragraph" w:styleId="22">
    <w:name w:val="toc 6"/>
    <w:basedOn w:val="1"/>
    <w:next w:val="1"/>
    <w:qFormat/>
    <w:uiPriority w:val="99"/>
    <w:pPr>
      <w:spacing w:line="300" w:lineRule="exact"/>
      <w:ind w:left="1049"/>
    </w:pPr>
    <w:rPr>
      <w:rFonts w:ascii="宋体"/>
    </w:rPr>
  </w:style>
  <w:style w:type="paragraph" w:styleId="23">
    <w:name w:val="table of figures"/>
    <w:basedOn w:val="1"/>
    <w:next w:val="1"/>
    <w:semiHidden/>
    <w:qFormat/>
    <w:uiPriority w:val="99"/>
    <w:pPr>
      <w:adjustRightInd/>
      <w:spacing w:line="240" w:lineRule="auto"/>
      <w:jc w:val="left"/>
    </w:pPr>
    <w:rPr>
      <w:szCs w:val="24"/>
    </w:rPr>
  </w:style>
  <w:style w:type="paragraph" w:styleId="24">
    <w:name w:val="toc 2"/>
    <w:basedOn w:val="1"/>
    <w:next w:val="1"/>
    <w:qFormat/>
    <w:uiPriority w:val="99"/>
    <w:pPr>
      <w:tabs>
        <w:tab w:val="right" w:leader="dot" w:pos="9344"/>
      </w:tabs>
      <w:spacing w:line="300" w:lineRule="exact"/>
      <w:ind w:left="210"/>
    </w:pPr>
    <w:rPr>
      <w:rFonts w:ascii="宋体"/>
    </w:rPr>
  </w:style>
  <w:style w:type="paragraph" w:styleId="25">
    <w:name w:val="HTML Preformatted"/>
    <w:basedOn w:val="1"/>
    <w:link w:val="57"/>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pPr>
    <w:rPr>
      <w:rFonts w:ascii="黑体" w:hAnsi="Courier New" w:eastAsia="黑体" w:cs="Courier New"/>
      <w:kern w:val="0"/>
      <w:sz w:val="20"/>
      <w:szCs w:val="20"/>
    </w:rPr>
  </w:style>
  <w:style w:type="paragraph" w:styleId="26">
    <w:name w:val="Normal (Web)"/>
    <w:basedOn w:val="1"/>
    <w:semiHidden/>
    <w:unhideWhenUsed/>
    <w:qFormat/>
    <w:uiPriority w:val="99"/>
    <w:rPr>
      <w:sz w:val="24"/>
    </w:rPr>
  </w:style>
  <w:style w:type="paragraph" w:styleId="27">
    <w:name w:val="Title"/>
    <w:basedOn w:val="1"/>
    <w:link w:val="58"/>
    <w:qFormat/>
    <w:uiPriority w:val="99"/>
    <w:pPr>
      <w:spacing w:before="240" w:after="60"/>
      <w:jc w:val="center"/>
      <w:outlineLvl w:val="0"/>
    </w:pPr>
    <w:rPr>
      <w:rFonts w:ascii="Arial" w:hAnsi="Arial"/>
      <w:b/>
      <w:bCs/>
      <w:kern w:val="0"/>
      <w:sz w:val="32"/>
      <w:szCs w:val="32"/>
    </w:rPr>
  </w:style>
  <w:style w:type="table" w:styleId="29">
    <w:name w:val="Table Grid"/>
    <w:basedOn w:val="2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99"/>
    <w:rPr>
      <w:rFonts w:cs="Times New Roman"/>
      <w:b/>
    </w:rPr>
  </w:style>
  <w:style w:type="character" w:styleId="32">
    <w:name w:val="page number"/>
    <w:qFormat/>
    <w:uiPriority w:val="99"/>
    <w:rPr>
      <w:rFonts w:ascii="宋体" w:hAnsi="Times New Roman" w:eastAsia="宋体" w:cs="Times New Roman"/>
      <w:sz w:val="18"/>
    </w:rPr>
  </w:style>
  <w:style w:type="character" w:styleId="33">
    <w:name w:val="FollowedHyperlink"/>
    <w:semiHidden/>
    <w:qFormat/>
    <w:uiPriority w:val="99"/>
    <w:rPr>
      <w:rFonts w:cs="Times New Roman"/>
      <w:color w:val="338DE6"/>
      <w:u w:val="none"/>
    </w:rPr>
  </w:style>
  <w:style w:type="character" w:styleId="34">
    <w:name w:val="Emphasis"/>
    <w:qFormat/>
    <w:uiPriority w:val="99"/>
    <w:rPr>
      <w:rFonts w:cs="Times New Roman"/>
      <w:i/>
    </w:rPr>
  </w:style>
  <w:style w:type="character" w:styleId="35">
    <w:name w:val="HTML Definition"/>
    <w:semiHidden/>
    <w:qFormat/>
    <w:uiPriority w:val="99"/>
    <w:rPr>
      <w:rFonts w:cs="Times New Roman"/>
      <w:color w:val="FFFFFF"/>
      <w:sz w:val="12"/>
      <w:szCs w:val="12"/>
      <w:bdr w:val="single" w:color="52A3F5" w:sz="4" w:space="0"/>
      <w:shd w:val="clear" w:color="auto" w:fill="52A3F5"/>
    </w:rPr>
  </w:style>
  <w:style w:type="character" w:styleId="36">
    <w:name w:val="HTML Variable"/>
    <w:semiHidden/>
    <w:qFormat/>
    <w:uiPriority w:val="99"/>
    <w:rPr>
      <w:rFonts w:cs="Times New Roman"/>
    </w:rPr>
  </w:style>
  <w:style w:type="character" w:styleId="37">
    <w:name w:val="Hyperlink"/>
    <w:qFormat/>
    <w:uiPriority w:val="99"/>
    <w:rPr>
      <w:rFonts w:ascii="宋体" w:hAnsi="Times New Roman" w:eastAsia="宋体" w:cs="Times New Roman"/>
      <w:color w:val="auto"/>
      <w:spacing w:val="0"/>
      <w:w w:val="100"/>
      <w:position w:val="0"/>
      <w:sz w:val="21"/>
      <w:u w:val="none"/>
      <w:vertAlign w:val="baseline"/>
    </w:rPr>
  </w:style>
  <w:style w:type="character" w:styleId="38">
    <w:name w:val="HTML Code"/>
    <w:semiHidden/>
    <w:qFormat/>
    <w:uiPriority w:val="99"/>
    <w:rPr>
      <w:rFonts w:ascii="serif" w:hAnsi="serif" w:eastAsia="Times New Roman" w:cs="serif"/>
      <w:sz w:val="21"/>
      <w:szCs w:val="21"/>
    </w:rPr>
  </w:style>
  <w:style w:type="character" w:styleId="39">
    <w:name w:val="HTML Cite"/>
    <w:semiHidden/>
    <w:qFormat/>
    <w:uiPriority w:val="99"/>
    <w:rPr>
      <w:rFonts w:cs="Times New Roman"/>
    </w:rPr>
  </w:style>
  <w:style w:type="character" w:styleId="40">
    <w:name w:val="footnote reference"/>
    <w:semiHidden/>
    <w:qFormat/>
    <w:uiPriority w:val="99"/>
    <w:rPr>
      <w:rFonts w:ascii="宋体" w:hAnsi="宋体" w:eastAsia="宋体" w:cs="Times New Roman"/>
      <w:spacing w:val="0"/>
      <w:sz w:val="18"/>
      <w:vertAlign w:val="superscript"/>
    </w:rPr>
  </w:style>
  <w:style w:type="character" w:styleId="41">
    <w:name w:val="HTML Keyboard"/>
    <w:semiHidden/>
    <w:qFormat/>
    <w:uiPriority w:val="99"/>
    <w:rPr>
      <w:rFonts w:ascii="serif" w:hAnsi="serif" w:eastAsia="Times New Roman" w:cs="serif"/>
      <w:sz w:val="21"/>
      <w:szCs w:val="21"/>
    </w:rPr>
  </w:style>
  <w:style w:type="character" w:styleId="42">
    <w:name w:val="HTML Sample"/>
    <w:semiHidden/>
    <w:qFormat/>
    <w:uiPriority w:val="99"/>
    <w:rPr>
      <w:rFonts w:ascii="serif" w:hAnsi="serif" w:eastAsia="Times New Roman" w:cs="serif"/>
      <w:sz w:val="21"/>
      <w:szCs w:val="21"/>
    </w:rPr>
  </w:style>
  <w:style w:type="character" w:customStyle="1" w:styleId="43">
    <w:name w:val="标题 1 字符"/>
    <w:link w:val="2"/>
    <w:qFormat/>
    <w:locked/>
    <w:uiPriority w:val="99"/>
    <w:rPr>
      <w:rFonts w:ascii="Times New Roman" w:hAnsi="Times New Roman" w:eastAsia="宋体"/>
      <w:b/>
      <w:kern w:val="44"/>
      <w:sz w:val="44"/>
    </w:rPr>
  </w:style>
  <w:style w:type="character" w:customStyle="1" w:styleId="44">
    <w:name w:val="标题 2 字符"/>
    <w:link w:val="3"/>
    <w:qFormat/>
    <w:locked/>
    <w:uiPriority w:val="99"/>
    <w:rPr>
      <w:rFonts w:ascii="Arial" w:hAnsi="Arial" w:eastAsia="黑体"/>
      <w:b/>
      <w:sz w:val="32"/>
    </w:rPr>
  </w:style>
  <w:style w:type="character" w:customStyle="1" w:styleId="45">
    <w:name w:val="标题 3 字符"/>
    <w:link w:val="4"/>
    <w:qFormat/>
    <w:locked/>
    <w:uiPriority w:val="99"/>
    <w:rPr>
      <w:rFonts w:ascii="Times New Roman" w:hAnsi="Times New Roman" w:eastAsia="宋体"/>
      <w:b/>
      <w:sz w:val="32"/>
    </w:rPr>
  </w:style>
  <w:style w:type="character" w:customStyle="1" w:styleId="46">
    <w:name w:val="标题 4 字符"/>
    <w:link w:val="5"/>
    <w:qFormat/>
    <w:locked/>
    <w:uiPriority w:val="99"/>
    <w:rPr>
      <w:rFonts w:ascii="Arial" w:hAnsi="Arial" w:eastAsia="黑体"/>
      <w:b/>
      <w:sz w:val="28"/>
    </w:rPr>
  </w:style>
  <w:style w:type="character" w:customStyle="1" w:styleId="47">
    <w:name w:val="标题 5 字符"/>
    <w:link w:val="6"/>
    <w:qFormat/>
    <w:locked/>
    <w:uiPriority w:val="99"/>
    <w:rPr>
      <w:rFonts w:ascii="Times New Roman" w:hAnsi="Times New Roman" w:eastAsia="宋体"/>
      <w:b/>
      <w:sz w:val="28"/>
    </w:rPr>
  </w:style>
  <w:style w:type="character" w:customStyle="1" w:styleId="48">
    <w:name w:val="标题 6 字符"/>
    <w:link w:val="7"/>
    <w:qFormat/>
    <w:locked/>
    <w:uiPriority w:val="99"/>
    <w:rPr>
      <w:rFonts w:ascii="Arial" w:hAnsi="Arial" w:eastAsia="黑体"/>
      <w:b/>
      <w:sz w:val="24"/>
    </w:rPr>
  </w:style>
  <w:style w:type="character" w:customStyle="1" w:styleId="49">
    <w:name w:val="标题 7 字符"/>
    <w:link w:val="8"/>
    <w:qFormat/>
    <w:locked/>
    <w:uiPriority w:val="99"/>
    <w:rPr>
      <w:rFonts w:ascii="Times New Roman" w:hAnsi="Times New Roman" w:eastAsia="宋体"/>
      <w:b/>
      <w:sz w:val="24"/>
    </w:rPr>
  </w:style>
  <w:style w:type="character" w:customStyle="1" w:styleId="50">
    <w:name w:val="标题 8 字符"/>
    <w:link w:val="9"/>
    <w:qFormat/>
    <w:locked/>
    <w:uiPriority w:val="99"/>
    <w:rPr>
      <w:rFonts w:ascii="Arial" w:hAnsi="Arial" w:eastAsia="黑体"/>
      <w:sz w:val="24"/>
    </w:rPr>
  </w:style>
  <w:style w:type="character" w:customStyle="1" w:styleId="51">
    <w:name w:val="标题 9 字符"/>
    <w:link w:val="10"/>
    <w:qFormat/>
    <w:locked/>
    <w:uiPriority w:val="99"/>
    <w:rPr>
      <w:rFonts w:ascii="Arial" w:hAnsi="Arial" w:eastAsia="黑体"/>
      <w:sz w:val="21"/>
    </w:rPr>
  </w:style>
  <w:style w:type="character" w:customStyle="1" w:styleId="52">
    <w:name w:val="正文文本 字符"/>
    <w:link w:val="13"/>
    <w:qFormat/>
    <w:locked/>
    <w:uiPriority w:val="99"/>
    <w:rPr>
      <w:rFonts w:ascii="Times New Roman" w:hAnsi="Times New Roman" w:eastAsia="宋体"/>
      <w:sz w:val="20"/>
    </w:rPr>
  </w:style>
  <w:style w:type="character" w:customStyle="1" w:styleId="53">
    <w:name w:val="批注框文本 字符"/>
    <w:link w:val="16"/>
    <w:semiHidden/>
    <w:qFormat/>
    <w:locked/>
    <w:uiPriority w:val="99"/>
    <w:rPr>
      <w:sz w:val="18"/>
    </w:rPr>
  </w:style>
  <w:style w:type="character" w:customStyle="1" w:styleId="54">
    <w:name w:val="页脚 字符"/>
    <w:link w:val="17"/>
    <w:qFormat/>
    <w:locked/>
    <w:uiPriority w:val="99"/>
    <w:rPr>
      <w:rFonts w:ascii="宋体" w:hAnsi="Times New Roman" w:eastAsia="宋体"/>
      <w:sz w:val="18"/>
    </w:rPr>
  </w:style>
  <w:style w:type="character" w:customStyle="1" w:styleId="55">
    <w:name w:val="页眉 字符"/>
    <w:link w:val="18"/>
    <w:qFormat/>
    <w:locked/>
    <w:uiPriority w:val="99"/>
    <w:rPr>
      <w:rFonts w:ascii="Times New Roman" w:hAnsi="Times New Roman" w:eastAsia="宋体"/>
      <w:sz w:val="18"/>
    </w:rPr>
  </w:style>
  <w:style w:type="character" w:customStyle="1" w:styleId="56">
    <w:name w:val="脚注文本 字符"/>
    <w:link w:val="21"/>
    <w:semiHidden/>
    <w:qFormat/>
    <w:locked/>
    <w:uiPriority w:val="99"/>
    <w:rPr>
      <w:rFonts w:ascii="宋体" w:hAnsi="Times New Roman" w:eastAsia="宋体"/>
      <w:sz w:val="18"/>
    </w:rPr>
  </w:style>
  <w:style w:type="character" w:customStyle="1" w:styleId="57">
    <w:name w:val="HTML 预设格式 字符"/>
    <w:link w:val="25"/>
    <w:qFormat/>
    <w:locked/>
    <w:uiPriority w:val="99"/>
    <w:rPr>
      <w:rFonts w:ascii="黑体" w:hAnsi="Courier New" w:eastAsia="黑体" w:cs="Courier New"/>
    </w:rPr>
  </w:style>
  <w:style w:type="character" w:customStyle="1" w:styleId="58">
    <w:name w:val="标题 字符"/>
    <w:link w:val="27"/>
    <w:qFormat/>
    <w:locked/>
    <w:uiPriority w:val="99"/>
    <w:rPr>
      <w:rFonts w:ascii="Arial" w:hAnsi="Arial" w:eastAsia="宋体"/>
      <w:b/>
      <w:sz w:val="32"/>
    </w:rPr>
  </w:style>
  <w:style w:type="paragraph" w:styleId="59">
    <w:name w:val="Quote"/>
    <w:basedOn w:val="1"/>
    <w:next w:val="1"/>
    <w:link w:val="60"/>
    <w:qFormat/>
    <w:uiPriority w:val="99"/>
    <w:rPr>
      <w:rFonts w:ascii="Times New Roman" w:hAnsi="Times New Roman"/>
      <w:i/>
      <w:iCs/>
      <w:color w:val="000000"/>
      <w:kern w:val="0"/>
      <w:sz w:val="20"/>
      <w:szCs w:val="20"/>
    </w:rPr>
  </w:style>
  <w:style w:type="character" w:customStyle="1" w:styleId="60">
    <w:name w:val="引用 字符"/>
    <w:link w:val="59"/>
    <w:qFormat/>
    <w:locked/>
    <w:uiPriority w:val="99"/>
    <w:rPr>
      <w:i/>
      <w:color w:val="000000"/>
    </w:rPr>
  </w:style>
  <w:style w:type="paragraph" w:customStyle="1" w:styleId="61">
    <w:name w:val="标准标志"/>
    <w:next w:val="1"/>
    <w:qFormat/>
    <w:uiPriority w:val="99"/>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w w:val="130"/>
      <w:sz w:val="96"/>
      <w:lang w:val="en-US" w:eastAsia="zh-CN" w:bidi="ar-SA"/>
    </w:rPr>
  </w:style>
  <w:style w:type="paragraph" w:customStyle="1" w:styleId="62">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w w:val="148"/>
      <w:sz w:val="52"/>
      <w:lang w:val="en-US" w:eastAsia="zh-CN" w:bidi="ar-SA"/>
    </w:rPr>
  </w:style>
  <w:style w:type="paragraph" w:customStyle="1" w:styleId="63">
    <w:name w:val="标准文件_页脚偶数页"/>
    <w:qFormat/>
    <w:uiPriority w:val="99"/>
    <w:pPr>
      <w:ind w:left="227"/>
    </w:pPr>
    <w:rPr>
      <w:rFonts w:ascii="宋体" w:hAnsi="Times New Roman" w:eastAsia="宋体" w:cs="Times New Roman"/>
      <w:sz w:val="18"/>
      <w:lang w:val="en-US" w:eastAsia="zh-CN" w:bidi="ar-SA"/>
    </w:rPr>
  </w:style>
  <w:style w:type="paragraph" w:customStyle="1" w:styleId="64">
    <w:name w:val="标准文件_页脚奇数页"/>
    <w:qFormat/>
    <w:uiPriority w:val="99"/>
    <w:pPr>
      <w:ind w:right="227"/>
      <w:jc w:val="right"/>
    </w:pPr>
    <w:rPr>
      <w:rFonts w:ascii="宋体" w:hAnsi="Times New Roman" w:eastAsia="宋体" w:cs="Times New Roman"/>
      <w:sz w:val="18"/>
      <w:lang w:val="en-US" w:eastAsia="zh-CN" w:bidi="ar-SA"/>
    </w:rPr>
  </w:style>
  <w:style w:type="paragraph" w:customStyle="1" w:styleId="65">
    <w:name w:val="标准书眉一"/>
    <w:qFormat/>
    <w:uiPriority w:val="99"/>
    <w:pPr>
      <w:jc w:val="both"/>
    </w:pPr>
    <w:rPr>
      <w:rFonts w:ascii="Times New Roman" w:hAnsi="Times New Roman" w:eastAsia="宋体" w:cs="Times New Roman"/>
      <w:lang w:val="en-US" w:eastAsia="zh-CN" w:bidi="ar-SA"/>
    </w:rPr>
  </w:style>
  <w:style w:type="paragraph" w:customStyle="1" w:styleId="66">
    <w:name w:val="标准文件_ICS"/>
    <w:basedOn w:val="1"/>
    <w:qFormat/>
    <w:uiPriority w:val="99"/>
    <w:pPr>
      <w:spacing w:line="240" w:lineRule="atLeast"/>
    </w:pPr>
    <w:rPr>
      <w:rFonts w:ascii="黑体" w:hAnsi="宋体" w:eastAsia="黑体"/>
    </w:rPr>
  </w:style>
  <w:style w:type="paragraph" w:customStyle="1" w:styleId="67">
    <w:name w:val="标准文件_标准正文"/>
    <w:basedOn w:val="1"/>
    <w:next w:val="68"/>
    <w:qFormat/>
    <w:uiPriority w:val="99"/>
    <w:pPr>
      <w:snapToGrid w:val="0"/>
      <w:ind w:firstLine="200" w:firstLineChars="200"/>
    </w:pPr>
    <w:rPr>
      <w:kern w:val="0"/>
    </w:rPr>
  </w:style>
  <w:style w:type="paragraph" w:customStyle="1" w:styleId="68">
    <w:name w:val="标准文件_段"/>
    <w:link w:val="19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9">
    <w:name w:val="标准文件_版本"/>
    <w:basedOn w:val="67"/>
    <w:qFormat/>
    <w:uiPriority w:val="99"/>
    <w:pPr>
      <w:adjustRightInd/>
      <w:snapToGrid/>
      <w:ind w:firstLine="0" w:firstLineChars="0"/>
    </w:pPr>
    <w:rPr>
      <w:rFonts w:ascii="宋体" w:hAnsi="宋体"/>
      <w:kern w:val="2"/>
    </w:rPr>
  </w:style>
  <w:style w:type="paragraph" w:customStyle="1" w:styleId="70">
    <w:name w:val="标准文件_标准部门"/>
    <w:basedOn w:val="1"/>
    <w:qFormat/>
    <w:uiPriority w:val="99"/>
    <w:pPr>
      <w:jc w:val="center"/>
    </w:pPr>
    <w:rPr>
      <w:rFonts w:ascii="黑体" w:eastAsia="黑体"/>
      <w:kern w:val="0"/>
      <w:sz w:val="44"/>
    </w:rPr>
  </w:style>
  <w:style w:type="paragraph" w:customStyle="1" w:styleId="71">
    <w:name w:val="标准文件_标准代替"/>
    <w:basedOn w:val="1"/>
    <w:next w:val="1"/>
    <w:qFormat/>
    <w:uiPriority w:val="99"/>
    <w:pPr>
      <w:spacing w:line="310" w:lineRule="exact"/>
      <w:jc w:val="right"/>
    </w:pPr>
    <w:rPr>
      <w:rFonts w:ascii="宋体" w:hAnsi="宋体"/>
      <w:kern w:val="0"/>
    </w:rPr>
  </w:style>
  <w:style w:type="paragraph" w:customStyle="1" w:styleId="72">
    <w:name w:val="标准文件_标准名称标题"/>
    <w:basedOn w:val="1"/>
    <w:next w:val="1"/>
    <w:qFormat/>
    <w:uiPriority w:val="99"/>
    <w:pPr>
      <w:widowControl/>
      <w:shd w:val="clear" w:color="FFFFFF" w:fill="FFFFFF"/>
      <w:adjustRightInd/>
      <w:spacing w:before="640" w:after="100"/>
      <w:jc w:val="center"/>
    </w:pPr>
    <w:rPr>
      <w:rFonts w:ascii="黑体" w:eastAsia="黑体"/>
      <w:kern w:val="0"/>
      <w:sz w:val="32"/>
    </w:rPr>
  </w:style>
  <w:style w:type="paragraph" w:customStyle="1" w:styleId="73">
    <w:name w:val="标准文件_页眉奇数页"/>
    <w:next w:val="1"/>
    <w:qFormat/>
    <w:uiPriority w:val="99"/>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74">
    <w:name w:val="标准文件_页眉偶数页"/>
    <w:basedOn w:val="73"/>
    <w:next w:val="1"/>
    <w:qFormat/>
    <w:uiPriority w:val="99"/>
    <w:pPr>
      <w:jc w:val="left"/>
    </w:pPr>
  </w:style>
  <w:style w:type="paragraph" w:customStyle="1" w:styleId="75">
    <w:name w:val="标准文件_参考文献标题"/>
    <w:basedOn w:val="1"/>
    <w:next w:val="1"/>
    <w:qFormat/>
    <w:uiPriority w:val="99"/>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76">
    <w:name w:val="标准文件_参考文献条目"/>
    <w:qFormat/>
    <w:uiPriority w:val="99"/>
    <w:pPr>
      <w:numPr>
        <w:ilvl w:val="0"/>
        <w:numId w:val="1"/>
      </w:numPr>
    </w:pPr>
    <w:rPr>
      <w:rFonts w:ascii="宋体" w:hAnsi="Times New Roman" w:eastAsia="宋体" w:cs="Times New Roman"/>
      <w:lang w:val="en-US" w:eastAsia="zh-CN" w:bidi="ar-SA"/>
    </w:rPr>
  </w:style>
  <w:style w:type="paragraph" w:customStyle="1" w:styleId="77">
    <w:name w:val="标准文件_二级条标题"/>
    <w:next w:val="68"/>
    <w:qFormat/>
    <w:uiPriority w:val="99"/>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78">
    <w:name w:val="标准文件_发布"/>
    <w:qFormat/>
    <w:uiPriority w:val="99"/>
    <w:rPr>
      <w:rFonts w:ascii="黑体" w:eastAsia="黑体"/>
      <w:spacing w:val="0"/>
      <w:w w:val="100"/>
      <w:position w:val="3"/>
      <w:sz w:val="28"/>
    </w:rPr>
  </w:style>
  <w:style w:type="paragraph" w:customStyle="1" w:styleId="79">
    <w:name w:val="标准文件_方框数字列项"/>
    <w:basedOn w:val="68"/>
    <w:qFormat/>
    <w:uiPriority w:val="99"/>
    <w:pPr>
      <w:numPr>
        <w:ilvl w:val="0"/>
        <w:numId w:val="3"/>
      </w:numPr>
      <w:ind w:firstLine="0" w:firstLineChars="0"/>
    </w:pPr>
  </w:style>
  <w:style w:type="paragraph" w:customStyle="1" w:styleId="80">
    <w:name w:val="标准文件_封面标准编号"/>
    <w:basedOn w:val="1"/>
    <w:next w:val="71"/>
    <w:qFormat/>
    <w:uiPriority w:val="99"/>
    <w:pPr>
      <w:spacing w:line="310" w:lineRule="exact"/>
      <w:jc w:val="right"/>
    </w:pPr>
    <w:rPr>
      <w:rFonts w:ascii="黑体" w:eastAsia="黑体"/>
      <w:kern w:val="0"/>
      <w:sz w:val="28"/>
    </w:rPr>
  </w:style>
  <w:style w:type="paragraph" w:customStyle="1" w:styleId="81">
    <w:name w:val="标准文件_封面标准分类号"/>
    <w:basedOn w:val="1"/>
    <w:qFormat/>
    <w:uiPriority w:val="99"/>
    <w:rPr>
      <w:rFonts w:ascii="黑体" w:eastAsia="黑体"/>
      <w:b/>
      <w:kern w:val="0"/>
      <w:sz w:val="28"/>
    </w:rPr>
  </w:style>
  <w:style w:type="paragraph" w:customStyle="1" w:styleId="82">
    <w:name w:val="标准文件_封面标准名称"/>
    <w:basedOn w:val="1"/>
    <w:qFormat/>
    <w:uiPriority w:val="99"/>
    <w:pPr>
      <w:spacing w:line="240" w:lineRule="auto"/>
      <w:jc w:val="center"/>
    </w:pPr>
    <w:rPr>
      <w:rFonts w:ascii="黑体" w:eastAsia="黑体"/>
      <w:kern w:val="0"/>
      <w:sz w:val="52"/>
    </w:rPr>
  </w:style>
  <w:style w:type="paragraph" w:customStyle="1" w:styleId="83">
    <w:name w:val="标准文件_封面标准英文名称"/>
    <w:basedOn w:val="1"/>
    <w:qFormat/>
    <w:uiPriority w:val="99"/>
    <w:pPr>
      <w:spacing w:line="240" w:lineRule="auto"/>
      <w:jc w:val="center"/>
    </w:pPr>
    <w:rPr>
      <w:rFonts w:ascii="黑体" w:eastAsia="黑体"/>
      <w:b/>
      <w:sz w:val="28"/>
    </w:rPr>
  </w:style>
  <w:style w:type="paragraph" w:customStyle="1" w:styleId="84">
    <w:name w:val="标准文件_封面发布日期"/>
    <w:basedOn w:val="1"/>
    <w:qFormat/>
    <w:uiPriority w:val="99"/>
    <w:pPr>
      <w:spacing w:line="310" w:lineRule="exact"/>
    </w:pPr>
    <w:rPr>
      <w:rFonts w:ascii="黑体" w:eastAsia="黑体"/>
      <w:kern w:val="0"/>
      <w:sz w:val="28"/>
    </w:rPr>
  </w:style>
  <w:style w:type="paragraph" w:customStyle="1" w:styleId="85">
    <w:name w:val="标准文件_封面密级"/>
    <w:basedOn w:val="1"/>
    <w:qFormat/>
    <w:uiPriority w:val="99"/>
    <w:rPr>
      <w:rFonts w:eastAsia="黑体"/>
      <w:sz w:val="32"/>
    </w:rPr>
  </w:style>
  <w:style w:type="paragraph" w:customStyle="1" w:styleId="86">
    <w:name w:val="标准文件_封面实施日期"/>
    <w:basedOn w:val="1"/>
    <w:qFormat/>
    <w:uiPriority w:val="99"/>
    <w:pPr>
      <w:spacing w:line="310" w:lineRule="exact"/>
      <w:jc w:val="right"/>
    </w:pPr>
    <w:rPr>
      <w:rFonts w:ascii="黑体" w:eastAsia="黑体"/>
      <w:sz w:val="28"/>
    </w:rPr>
  </w:style>
  <w:style w:type="paragraph" w:customStyle="1" w:styleId="87">
    <w:name w:val="标准文件_封面抬头"/>
    <w:basedOn w:val="68"/>
    <w:qFormat/>
    <w:uiPriority w:val="99"/>
    <w:pPr>
      <w:adjustRightInd w:val="0"/>
      <w:spacing w:line="800" w:lineRule="exact"/>
      <w:ind w:firstLine="0" w:firstLineChars="0"/>
      <w:jc w:val="distribute"/>
    </w:pPr>
    <w:rPr>
      <w:rFonts w:ascii="黑体" w:eastAsia="黑体"/>
      <w:b/>
      <w:sz w:val="64"/>
    </w:rPr>
  </w:style>
  <w:style w:type="paragraph" w:customStyle="1" w:styleId="88">
    <w:name w:val="标准文件_附录标识"/>
    <w:next w:val="68"/>
    <w:qFormat/>
    <w:uiPriority w:val="99"/>
    <w:p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89">
    <w:name w:val="标准文件_附录表标题"/>
    <w:next w:val="68"/>
    <w:qFormat/>
    <w:uiPriority w:val="99"/>
    <w:pPr>
      <w:numPr>
        <w:ilvl w:val="1"/>
        <w:numId w:val="4"/>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90">
    <w:name w:val="标准文件_附录一级条标题"/>
    <w:next w:val="68"/>
    <w:qFormat/>
    <w:uiPriority w:val="99"/>
    <w:pPr>
      <w:widowControl w:val="0"/>
      <w:numPr>
        <w:ilvl w:val="1"/>
        <w:numId w:val="5"/>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91">
    <w:name w:val="标准文件_附录二级条标题"/>
    <w:basedOn w:val="90"/>
    <w:next w:val="68"/>
    <w:qFormat/>
    <w:uiPriority w:val="99"/>
    <w:pPr>
      <w:widowControl/>
      <w:numPr>
        <w:ilvl w:val="2"/>
      </w:numPr>
      <w:wordWrap w:val="0"/>
      <w:overflowPunct w:val="0"/>
      <w:autoSpaceDE w:val="0"/>
      <w:autoSpaceDN w:val="0"/>
      <w:textAlignment w:val="baseline"/>
      <w:outlineLvl w:val="3"/>
    </w:pPr>
  </w:style>
  <w:style w:type="paragraph" w:customStyle="1" w:styleId="92">
    <w:name w:val="标准文件_附录公式"/>
    <w:basedOn w:val="67"/>
    <w:next w:val="67"/>
    <w:qFormat/>
    <w:uiPriority w:val="99"/>
    <w:pPr>
      <w:tabs>
        <w:tab w:val="center" w:pos="4678"/>
        <w:tab w:val="right" w:leader="middleDot" w:pos="9356"/>
      </w:tabs>
      <w:spacing w:line="240" w:lineRule="auto"/>
      <w:ind w:right="-51" w:firstLine="0" w:firstLineChars="0"/>
    </w:pPr>
    <w:rPr>
      <w:rFonts w:ascii="宋体" w:hAnsi="宋体"/>
    </w:rPr>
  </w:style>
  <w:style w:type="paragraph" w:customStyle="1" w:styleId="93">
    <w:name w:val="标准文件_附录三级条标题"/>
    <w:next w:val="68"/>
    <w:qFormat/>
    <w:uiPriority w:val="99"/>
    <w:pPr>
      <w:widowControl w:val="0"/>
      <w:numPr>
        <w:ilvl w:val="3"/>
        <w:numId w:val="5"/>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94">
    <w:name w:val="标准文件_附录四级条标题"/>
    <w:next w:val="68"/>
    <w:qFormat/>
    <w:uiPriority w:val="99"/>
    <w:pPr>
      <w:widowControl w:val="0"/>
      <w:numPr>
        <w:ilvl w:val="4"/>
        <w:numId w:val="5"/>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95">
    <w:name w:val="标准文件_附录图标题"/>
    <w:next w:val="68"/>
    <w:qFormat/>
    <w:uiPriority w:val="99"/>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96">
    <w:name w:val="标准文件_附录五级条标题"/>
    <w:next w:val="68"/>
    <w:qFormat/>
    <w:uiPriority w:val="99"/>
    <w:pPr>
      <w:widowControl w:val="0"/>
      <w:numPr>
        <w:ilvl w:val="5"/>
        <w:numId w:val="5"/>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97">
    <w:name w:val="标准文件_附录英文标识"/>
    <w:next w:val="13"/>
    <w:qFormat/>
    <w:uiPriority w:val="99"/>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98">
    <w:name w:val="标准文件_附录章标题"/>
    <w:next w:val="68"/>
    <w:qFormat/>
    <w:uiPriority w:val="99"/>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9">
    <w:name w:val="标准文件_公式后的破折号"/>
    <w:basedOn w:val="68"/>
    <w:next w:val="68"/>
    <w:qFormat/>
    <w:uiPriority w:val="99"/>
    <w:pPr>
      <w:ind w:left="488" w:leftChars="200" w:hanging="289" w:hangingChars="290"/>
    </w:pPr>
  </w:style>
  <w:style w:type="paragraph" w:customStyle="1" w:styleId="100">
    <w:name w:val="标准文件_前言、引言标题"/>
    <w:next w:val="1"/>
    <w:qFormat/>
    <w:uiPriority w:val="99"/>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101">
    <w:name w:val="标准文件_目次、标准名称标题"/>
    <w:basedOn w:val="100"/>
    <w:next w:val="68"/>
    <w:qFormat/>
    <w:uiPriority w:val="99"/>
    <w:pPr>
      <w:spacing w:line="460" w:lineRule="exact"/>
    </w:pPr>
  </w:style>
  <w:style w:type="paragraph" w:customStyle="1" w:styleId="102">
    <w:name w:val="标准文件_目录标题"/>
    <w:basedOn w:val="1"/>
    <w:qFormat/>
    <w:uiPriority w:val="99"/>
    <w:pPr>
      <w:spacing w:afterLines="150" w:line="240" w:lineRule="auto"/>
      <w:jc w:val="center"/>
    </w:pPr>
    <w:rPr>
      <w:rFonts w:ascii="黑体" w:eastAsia="黑体"/>
      <w:sz w:val="32"/>
    </w:rPr>
  </w:style>
  <w:style w:type="paragraph" w:customStyle="1" w:styleId="103">
    <w:name w:val="标准文件_破折号列项"/>
    <w:qFormat/>
    <w:uiPriority w:val="99"/>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104">
    <w:name w:val="标准文件_破折号列项（二级）"/>
    <w:basedOn w:val="103"/>
    <w:qFormat/>
    <w:uiPriority w:val="99"/>
    <w:pPr>
      <w:numPr>
        <w:numId w:val="10"/>
      </w:numPr>
      <w:ind w:left="0" w:firstLine="200"/>
    </w:pPr>
  </w:style>
  <w:style w:type="paragraph" w:customStyle="1" w:styleId="105">
    <w:name w:val="标准文件_三级条标题"/>
    <w:basedOn w:val="77"/>
    <w:next w:val="68"/>
    <w:qFormat/>
    <w:uiPriority w:val="99"/>
    <w:pPr>
      <w:widowControl/>
      <w:numPr>
        <w:ilvl w:val="4"/>
      </w:numPr>
      <w:outlineLvl w:val="3"/>
    </w:pPr>
  </w:style>
  <w:style w:type="character" w:customStyle="1" w:styleId="106">
    <w:name w:val="不明显参考1"/>
    <w:qFormat/>
    <w:uiPriority w:val="99"/>
    <w:rPr>
      <w:smallCaps/>
      <w:color w:val="C0504D"/>
      <w:u w:val="single"/>
    </w:rPr>
  </w:style>
  <w:style w:type="paragraph" w:customStyle="1" w:styleId="107">
    <w:name w:val="标准文件_示例后续"/>
    <w:basedOn w:val="1"/>
    <w:qFormat/>
    <w:uiPriority w:val="99"/>
    <w:pPr>
      <w:adjustRightInd/>
      <w:spacing w:line="240" w:lineRule="auto"/>
      <w:ind w:firstLine="200" w:firstLineChars="200"/>
    </w:pPr>
    <w:rPr>
      <w:sz w:val="18"/>
      <w:szCs w:val="24"/>
    </w:rPr>
  </w:style>
  <w:style w:type="paragraph" w:customStyle="1" w:styleId="108">
    <w:name w:val="标准文件_数字编号列项"/>
    <w:qFormat/>
    <w:uiPriority w:val="99"/>
    <w:pPr>
      <w:numPr>
        <w:ilvl w:val="0"/>
        <w:numId w:val="11"/>
      </w:numPr>
      <w:jc w:val="both"/>
    </w:pPr>
    <w:rPr>
      <w:rFonts w:ascii="宋体" w:hAnsi="宋体" w:eastAsia="宋体" w:cs="Times New Roman"/>
      <w:sz w:val="21"/>
      <w:lang w:val="en-US" w:eastAsia="zh-CN" w:bidi="ar-SA"/>
    </w:rPr>
  </w:style>
  <w:style w:type="paragraph" w:customStyle="1" w:styleId="109">
    <w:name w:val="标准文件_四级条标题"/>
    <w:next w:val="68"/>
    <w:qFormat/>
    <w:uiPriority w:val="99"/>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paragraph" w:customStyle="1" w:styleId="110">
    <w:name w:val="标准文件_条文脚注"/>
    <w:basedOn w:val="21"/>
    <w:qFormat/>
    <w:uiPriority w:val="99"/>
    <w:pPr>
      <w:adjustRightInd w:val="0"/>
      <w:spacing w:line="240" w:lineRule="auto"/>
      <w:ind w:left="0" w:leftChars="0" w:firstLine="200" w:firstLineChars="200"/>
      <w:jc w:val="both"/>
    </w:pPr>
    <w:rPr>
      <w:rFonts w:hAnsi="宋体"/>
    </w:rPr>
  </w:style>
  <w:style w:type="paragraph" w:customStyle="1" w:styleId="111">
    <w:name w:val="标准文件_图表脚注"/>
    <w:basedOn w:val="1"/>
    <w:next w:val="68"/>
    <w:qFormat/>
    <w:uiPriority w:val="99"/>
    <w:pPr>
      <w:numPr>
        <w:ilvl w:val="0"/>
        <w:numId w:val="12"/>
      </w:numPr>
      <w:spacing w:line="240" w:lineRule="auto"/>
      <w:jc w:val="left"/>
    </w:pPr>
    <w:rPr>
      <w:rFonts w:ascii="宋体" w:hAnsi="宋体"/>
      <w:sz w:val="18"/>
    </w:rPr>
  </w:style>
  <w:style w:type="character" w:customStyle="1" w:styleId="112">
    <w:name w:val="标准文件_图表脚注内容"/>
    <w:qFormat/>
    <w:uiPriority w:val="99"/>
    <w:rPr>
      <w:rFonts w:ascii="宋体" w:hAnsi="宋体" w:eastAsia="宋体"/>
      <w:spacing w:val="0"/>
      <w:sz w:val="18"/>
      <w:vertAlign w:val="superscript"/>
    </w:rPr>
  </w:style>
  <w:style w:type="paragraph" w:customStyle="1" w:styleId="113">
    <w:name w:val="标准文件_五级条标题"/>
    <w:next w:val="68"/>
    <w:qFormat/>
    <w:uiPriority w:val="99"/>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14">
    <w:name w:val="标准文件_章标题"/>
    <w:next w:val="68"/>
    <w:qFormat/>
    <w:uiPriority w:val="99"/>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15">
    <w:name w:val="标准文件_一级条标题"/>
    <w:basedOn w:val="114"/>
    <w:next w:val="68"/>
    <w:qFormat/>
    <w:uiPriority w:val="99"/>
    <w:pPr>
      <w:numPr>
        <w:ilvl w:val="2"/>
      </w:numPr>
      <w:spacing w:beforeLines="50" w:afterLines="50"/>
      <w:outlineLvl w:val="1"/>
    </w:pPr>
  </w:style>
  <w:style w:type="paragraph" w:customStyle="1" w:styleId="116">
    <w:name w:val="标准文件_一致程度"/>
    <w:basedOn w:val="1"/>
    <w:qFormat/>
    <w:uiPriority w:val="99"/>
    <w:pPr>
      <w:spacing w:line="440" w:lineRule="exact"/>
      <w:jc w:val="center"/>
    </w:pPr>
    <w:rPr>
      <w:sz w:val="28"/>
    </w:rPr>
  </w:style>
  <w:style w:type="paragraph" w:customStyle="1" w:styleId="117">
    <w:name w:val="标准文件_引言标题"/>
    <w:next w:val="1"/>
    <w:qFormat/>
    <w:uiPriority w:val="99"/>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8">
    <w:name w:val="标准文件_英文图表脚注"/>
    <w:basedOn w:val="67"/>
    <w:qFormat/>
    <w:uiPriority w:val="99"/>
    <w:pPr>
      <w:widowControl/>
      <w:adjustRightInd/>
      <w:snapToGrid/>
      <w:spacing w:line="240" w:lineRule="auto"/>
      <w:ind w:left="79" w:hanging="79" w:hangingChars="80"/>
    </w:pPr>
    <w:rPr>
      <w:rFonts w:ascii="宋体" w:hAnsi="宋体"/>
    </w:rPr>
  </w:style>
  <w:style w:type="paragraph" w:customStyle="1" w:styleId="119">
    <w:name w:val="标准文件_数字编号列项（二级）"/>
    <w:qFormat/>
    <w:uiPriority w:val="99"/>
    <w:pPr>
      <w:numPr>
        <w:ilvl w:val="1"/>
        <w:numId w:val="13"/>
      </w:numPr>
      <w:jc w:val="both"/>
    </w:pPr>
    <w:rPr>
      <w:rFonts w:ascii="宋体" w:hAnsi="Times New Roman" w:eastAsia="宋体" w:cs="Times New Roman"/>
      <w:sz w:val="21"/>
      <w:lang w:val="en-US" w:eastAsia="zh-CN" w:bidi="ar-SA"/>
    </w:rPr>
  </w:style>
  <w:style w:type="paragraph" w:customStyle="1" w:styleId="120">
    <w:name w:val="标准文件_英文注："/>
    <w:basedOn w:val="1"/>
    <w:next w:val="68"/>
    <w:qFormat/>
    <w:uiPriority w:val="99"/>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21">
    <w:name w:val="标准文件_英文注×："/>
    <w:basedOn w:val="1"/>
    <w:qFormat/>
    <w:uiPriority w:val="99"/>
    <w:pPr>
      <w:numPr>
        <w:ilvl w:val="0"/>
        <w:numId w:val="15"/>
      </w:numPr>
      <w:tabs>
        <w:tab w:val="left" w:pos="210"/>
      </w:tabs>
      <w:autoSpaceDE w:val="0"/>
      <w:autoSpaceDN w:val="0"/>
      <w:spacing w:line="240" w:lineRule="auto"/>
    </w:pPr>
    <w:rPr>
      <w:rFonts w:ascii="宋体" w:hAnsi="宋体"/>
      <w:kern w:val="0"/>
      <w:szCs w:val="20"/>
    </w:rPr>
  </w:style>
  <w:style w:type="paragraph" w:customStyle="1" w:styleId="122">
    <w:name w:val="标准文件_正文表标题"/>
    <w:next w:val="68"/>
    <w:qFormat/>
    <w:uiPriority w:val="99"/>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23">
    <w:name w:val="标准文件_正文公式"/>
    <w:basedOn w:val="1"/>
    <w:next w:val="67"/>
    <w:qFormat/>
    <w:uiPriority w:val="99"/>
    <w:pPr>
      <w:tabs>
        <w:tab w:val="center" w:pos="4678"/>
        <w:tab w:val="right" w:leader="middleDot" w:pos="9356"/>
      </w:tabs>
      <w:spacing w:line="240" w:lineRule="auto"/>
    </w:pPr>
    <w:rPr>
      <w:rFonts w:ascii="宋体" w:hAnsi="宋体"/>
    </w:rPr>
  </w:style>
  <w:style w:type="paragraph" w:customStyle="1" w:styleId="124">
    <w:name w:val="标准文件_正文图标题"/>
    <w:next w:val="68"/>
    <w:qFormat/>
    <w:uiPriority w:val="99"/>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25">
    <w:name w:val="标准文件_正文英文表标题"/>
    <w:next w:val="68"/>
    <w:qFormat/>
    <w:uiPriority w:val="99"/>
    <w:pPr>
      <w:numPr>
        <w:ilvl w:val="0"/>
        <w:numId w:val="18"/>
      </w:numPr>
      <w:jc w:val="center"/>
    </w:pPr>
    <w:rPr>
      <w:rFonts w:ascii="黑体" w:hAnsi="Times New Roman" w:eastAsia="黑体" w:cs="Times New Roman"/>
      <w:sz w:val="21"/>
      <w:lang w:val="en-US" w:eastAsia="zh-CN" w:bidi="ar-SA"/>
    </w:rPr>
  </w:style>
  <w:style w:type="paragraph" w:customStyle="1" w:styleId="126">
    <w:name w:val="标准文件_正文英文图标题"/>
    <w:next w:val="68"/>
    <w:qFormat/>
    <w:uiPriority w:val="99"/>
    <w:pPr>
      <w:numPr>
        <w:ilvl w:val="0"/>
        <w:numId w:val="19"/>
      </w:numPr>
      <w:jc w:val="center"/>
    </w:pPr>
    <w:rPr>
      <w:rFonts w:ascii="黑体" w:hAnsi="Times New Roman" w:eastAsia="黑体" w:cs="Times New Roman"/>
      <w:sz w:val="21"/>
      <w:lang w:val="en-US" w:eastAsia="zh-CN" w:bidi="ar-SA"/>
    </w:rPr>
  </w:style>
  <w:style w:type="paragraph" w:customStyle="1" w:styleId="127">
    <w:name w:val="标准文件_编号列项（三级）"/>
    <w:qFormat/>
    <w:uiPriority w:val="99"/>
    <w:pPr>
      <w:numPr>
        <w:ilvl w:val="2"/>
        <w:numId w:val="13"/>
      </w:numPr>
    </w:pPr>
    <w:rPr>
      <w:rFonts w:ascii="宋体" w:hAnsi="Times New Roman" w:eastAsia="宋体" w:cs="Times New Roman"/>
      <w:sz w:val="21"/>
      <w:lang w:val="en-US" w:eastAsia="zh-CN" w:bidi="ar-SA"/>
    </w:rPr>
  </w:style>
  <w:style w:type="paragraph" w:customStyle="1" w:styleId="128">
    <w:name w:val="二级无标题条"/>
    <w:basedOn w:val="1"/>
    <w:qFormat/>
    <w:uiPriority w:val="99"/>
    <w:pPr>
      <w:numPr>
        <w:ilvl w:val="3"/>
        <w:numId w:val="20"/>
      </w:numPr>
      <w:adjustRightInd/>
      <w:spacing w:line="240" w:lineRule="auto"/>
    </w:pPr>
    <w:rPr>
      <w:rFonts w:ascii="宋体" w:hAnsi="宋体"/>
      <w:szCs w:val="24"/>
    </w:rPr>
  </w:style>
  <w:style w:type="paragraph" w:customStyle="1" w:styleId="129">
    <w:name w:val="发布部门"/>
    <w:next w:val="68"/>
    <w:qFormat/>
    <w:uiPriority w:val="99"/>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30">
    <w:name w:val="发布日期"/>
    <w:qFormat/>
    <w:uiPriority w:val="99"/>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31">
    <w:name w:val="封面标准代替信息"/>
    <w:basedOn w:val="1"/>
    <w:qFormat/>
    <w:uiPriority w:val="99"/>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32">
    <w:name w:val="封面标准名称"/>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33">
    <w:name w:val="封面标准文稿编辑信息"/>
    <w:qFormat/>
    <w:uiPriority w:val="99"/>
    <w:pPr>
      <w:spacing w:before="180" w:line="180" w:lineRule="exact"/>
      <w:jc w:val="center"/>
    </w:pPr>
    <w:rPr>
      <w:rFonts w:ascii="宋体" w:hAnsi="Times New Roman" w:eastAsia="宋体" w:cs="Times New Roman"/>
      <w:sz w:val="21"/>
      <w:lang w:val="en-US" w:eastAsia="zh-CN" w:bidi="ar-SA"/>
    </w:rPr>
  </w:style>
  <w:style w:type="paragraph" w:customStyle="1" w:styleId="134">
    <w:name w:val="封面标准文稿类别"/>
    <w:qFormat/>
    <w:uiPriority w:val="99"/>
    <w:pPr>
      <w:spacing w:before="440" w:line="400" w:lineRule="exact"/>
      <w:jc w:val="center"/>
    </w:pPr>
    <w:rPr>
      <w:rFonts w:ascii="宋体" w:hAnsi="Times New Roman" w:eastAsia="宋体" w:cs="Times New Roman"/>
      <w:sz w:val="24"/>
      <w:lang w:val="en-US" w:eastAsia="zh-CN" w:bidi="ar-SA"/>
    </w:rPr>
  </w:style>
  <w:style w:type="paragraph" w:customStyle="1" w:styleId="135">
    <w:name w:val="封面标准英文名称"/>
    <w:qFormat/>
    <w:uiPriority w:val="99"/>
    <w:pPr>
      <w:widowControl w:val="0"/>
      <w:spacing w:line="360" w:lineRule="exact"/>
      <w:jc w:val="center"/>
    </w:pPr>
    <w:rPr>
      <w:rFonts w:ascii="Times New Roman" w:hAnsi="Times New Roman" w:eastAsia="宋体" w:cs="Times New Roman"/>
      <w:sz w:val="28"/>
      <w:lang w:val="en-US" w:eastAsia="zh-CN" w:bidi="ar-SA"/>
    </w:rPr>
  </w:style>
  <w:style w:type="paragraph" w:customStyle="1" w:styleId="136">
    <w:name w:val="封面一致性程度标识"/>
    <w:qFormat/>
    <w:uiPriority w:val="99"/>
    <w:pPr>
      <w:spacing w:before="440" w:line="440" w:lineRule="exact"/>
      <w:jc w:val="center"/>
    </w:pPr>
    <w:rPr>
      <w:rFonts w:ascii="Times New Roman" w:hAnsi="Times New Roman" w:eastAsia="宋体" w:cs="Times New Roman"/>
      <w:sz w:val="28"/>
      <w:lang w:val="en-US" w:eastAsia="zh-CN" w:bidi="ar-SA"/>
    </w:rPr>
  </w:style>
  <w:style w:type="paragraph" w:customStyle="1" w:styleId="137">
    <w:name w:val="封面正文"/>
    <w:qFormat/>
    <w:uiPriority w:val="99"/>
    <w:pPr>
      <w:jc w:val="both"/>
    </w:pPr>
    <w:rPr>
      <w:rFonts w:ascii="Times New Roman" w:hAnsi="Times New Roman" w:eastAsia="宋体" w:cs="Times New Roman"/>
      <w:lang w:val="en-US" w:eastAsia="zh-CN" w:bidi="ar-SA"/>
    </w:rPr>
  </w:style>
  <w:style w:type="paragraph" w:customStyle="1" w:styleId="138">
    <w:name w:val="附录二级无标题条"/>
    <w:basedOn w:val="1"/>
    <w:next w:val="68"/>
    <w:qFormat/>
    <w:uiPriority w:val="9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9">
    <w:name w:val="附录三级无标题条"/>
    <w:basedOn w:val="138"/>
    <w:next w:val="68"/>
    <w:qFormat/>
    <w:uiPriority w:val="99"/>
    <w:pPr>
      <w:outlineLvl w:val="4"/>
    </w:pPr>
  </w:style>
  <w:style w:type="paragraph" w:customStyle="1" w:styleId="140">
    <w:name w:val="附录四级无标题条"/>
    <w:basedOn w:val="139"/>
    <w:next w:val="68"/>
    <w:qFormat/>
    <w:uiPriority w:val="99"/>
    <w:pPr>
      <w:outlineLvl w:val="5"/>
    </w:pPr>
  </w:style>
  <w:style w:type="paragraph" w:customStyle="1" w:styleId="141">
    <w:name w:val="附录图"/>
    <w:next w:val="68"/>
    <w:qFormat/>
    <w:uiPriority w:val="99"/>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42">
    <w:name w:val="标准文件_一级项"/>
    <w:qFormat/>
    <w:uiPriority w:val="99"/>
    <w:pPr>
      <w:numPr>
        <w:ilvl w:val="0"/>
        <w:numId w:val="21"/>
      </w:numPr>
    </w:pPr>
    <w:rPr>
      <w:rFonts w:ascii="宋体" w:hAnsi="Times New Roman" w:eastAsia="宋体" w:cs="Times New Roman"/>
      <w:sz w:val="21"/>
      <w:lang w:val="en-US" w:eastAsia="zh-CN" w:bidi="ar-SA"/>
    </w:rPr>
  </w:style>
  <w:style w:type="paragraph" w:customStyle="1" w:styleId="143">
    <w:name w:val="附录五级无标题条"/>
    <w:basedOn w:val="140"/>
    <w:next w:val="68"/>
    <w:qFormat/>
    <w:uiPriority w:val="99"/>
    <w:pPr>
      <w:outlineLvl w:val="6"/>
    </w:pPr>
  </w:style>
  <w:style w:type="paragraph" w:customStyle="1" w:styleId="144">
    <w:name w:val="附录性质"/>
    <w:basedOn w:val="1"/>
    <w:qFormat/>
    <w:uiPriority w:val="99"/>
    <w:pPr>
      <w:widowControl/>
      <w:adjustRightInd/>
      <w:jc w:val="center"/>
    </w:pPr>
    <w:rPr>
      <w:rFonts w:ascii="黑体" w:eastAsia="黑体"/>
    </w:rPr>
  </w:style>
  <w:style w:type="paragraph" w:customStyle="1" w:styleId="145">
    <w:name w:val="附录一级无标题条"/>
    <w:basedOn w:val="98"/>
    <w:next w:val="68"/>
    <w:qFormat/>
    <w:uiPriority w:val="99"/>
    <w:pPr>
      <w:autoSpaceDN w:val="0"/>
      <w:outlineLvl w:val="2"/>
    </w:pPr>
    <w:rPr>
      <w:rFonts w:ascii="宋体" w:hAnsi="宋体" w:eastAsia="宋体"/>
    </w:rPr>
  </w:style>
  <w:style w:type="character" w:customStyle="1" w:styleId="146">
    <w:name w:val="个人答复风格"/>
    <w:qFormat/>
    <w:uiPriority w:val="99"/>
    <w:rPr>
      <w:rFonts w:ascii="Arial" w:hAnsi="Arial" w:eastAsia="宋体"/>
      <w:color w:val="auto"/>
      <w:spacing w:val="0"/>
      <w:sz w:val="20"/>
    </w:rPr>
  </w:style>
  <w:style w:type="character" w:customStyle="1" w:styleId="147">
    <w:name w:val="个人撰写风格"/>
    <w:qFormat/>
    <w:uiPriority w:val="99"/>
    <w:rPr>
      <w:rFonts w:ascii="Arial" w:hAnsi="Arial" w:eastAsia="宋体"/>
      <w:color w:val="auto"/>
      <w:spacing w:val="0"/>
      <w:sz w:val="20"/>
    </w:rPr>
  </w:style>
  <w:style w:type="paragraph" w:customStyle="1" w:styleId="148">
    <w:name w:val="脚注后续"/>
    <w:qFormat/>
    <w:uiPriority w:val="99"/>
    <w:pPr>
      <w:ind w:left="350" w:leftChars="350"/>
      <w:jc w:val="both"/>
    </w:pPr>
    <w:rPr>
      <w:rFonts w:ascii="宋体" w:hAnsi="Times New Roman" w:eastAsia="宋体" w:cs="Times New Roman"/>
      <w:sz w:val="18"/>
      <w:lang w:val="en-US" w:eastAsia="zh-CN" w:bidi="ar-SA"/>
    </w:rPr>
  </w:style>
  <w:style w:type="paragraph" w:customStyle="1" w:styleId="149">
    <w:name w:val="列项——"/>
    <w:qFormat/>
    <w:uiPriority w:val="99"/>
    <w:pPr>
      <w:widowControl w:val="0"/>
      <w:numPr>
        <w:ilvl w:val="0"/>
        <w:numId w:val="22"/>
      </w:numPr>
      <w:jc w:val="both"/>
    </w:pPr>
    <w:rPr>
      <w:rFonts w:ascii="宋体" w:hAnsi="宋体" w:eastAsia="宋体" w:cs="Times New Roman"/>
      <w:sz w:val="21"/>
      <w:lang w:val="en-US" w:eastAsia="zh-CN" w:bidi="ar-SA"/>
    </w:rPr>
  </w:style>
  <w:style w:type="paragraph" w:customStyle="1" w:styleId="150">
    <w:name w:val="列项·"/>
    <w:basedOn w:val="68"/>
    <w:qFormat/>
    <w:uiPriority w:val="99"/>
    <w:pPr>
      <w:tabs>
        <w:tab w:val="left" w:pos="840"/>
      </w:tabs>
    </w:pPr>
  </w:style>
  <w:style w:type="paragraph" w:customStyle="1" w:styleId="151">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52">
    <w:name w:val="目录 21"/>
    <w:basedOn w:val="1"/>
    <w:next w:val="1"/>
    <w:semiHidden/>
    <w:qFormat/>
    <w:uiPriority w:val="99"/>
    <w:pPr>
      <w:adjustRightInd/>
      <w:spacing w:line="240" w:lineRule="auto"/>
      <w:jc w:val="left"/>
    </w:pPr>
    <w:rPr>
      <w:bCs/>
      <w:iCs/>
    </w:rPr>
  </w:style>
  <w:style w:type="paragraph" w:customStyle="1" w:styleId="153">
    <w:name w:val="目录 31"/>
    <w:basedOn w:val="1"/>
    <w:next w:val="1"/>
    <w:semiHidden/>
    <w:qFormat/>
    <w:uiPriority w:val="99"/>
    <w:pPr>
      <w:spacing w:line="240" w:lineRule="auto"/>
    </w:pPr>
    <w:rPr>
      <w:rFonts w:ascii="宋体" w:hAnsi="宋体"/>
      <w:iCs/>
    </w:rPr>
  </w:style>
  <w:style w:type="paragraph" w:customStyle="1" w:styleId="154">
    <w:name w:val="目录 41"/>
    <w:basedOn w:val="1"/>
    <w:next w:val="1"/>
    <w:semiHidden/>
    <w:qFormat/>
    <w:uiPriority w:val="99"/>
    <w:pPr>
      <w:adjustRightInd/>
      <w:spacing w:line="240" w:lineRule="auto"/>
      <w:jc w:val="left"/>
    </w:pPr>
  </w:style>
  <w:style w:type="paragraph" w:customStyle="1" w:styleId="155">
    <w:name w:val="目录 51"/>
    <w:basedOn w:val="1"/>
    <w:next w:val="1"/>
    <w:semiHidden/>
    <w:qFormat/>
    <w:uiPriority w:val="99"/>
    <w:pPr>
      <w:spacing w:line="240" w:lineRule="auto"/>
    </w:pPr>
    <w:rPr>
      <w:rFonts w:ascii="宋体" w:hAnsi="宋体"/>
    </w:rPr>
  </w:style>
  <w:style w:type="paragraph" w:customStyle="1" w:styleId="156">
    <w:name w:val="目录 61"/>
    <w:basedOn w:val="1"/>
    <w:next w:val="1"/>
    <w:semiHidden/>
    <w:qFormat/>
    <w:uiPriority w:val="99"/>
    <w:pPr>
      <w:adjustRightInd/>
      <w:spacing w:line="240" w:lineRule="auto"/>
      <w:jc w:val="left"/>
    </w:pPr>
  </w:style>
  <w:style w:type="paragraph" w:customStyle="1" w:styleId="157">
    <w:name w:val="目录 71"/>
    <w:basedOn w:val="156"/>
    <w:semiHidden/>
    <w:qFormat/>
    <w:uiPriority w:val="99"/>
    <w:pPr>
      <w:ind w:left="1260"/>
    </w:pPr>
  </w:style>
  <w:style w:type="paragraph" w:customStyle="1" w:styleId="158">
    <w:name w:val="目录 81"/>
    <w:basedOn w:val="157"/>
    <w:semiHidden/>
    <w:qFormat/>
    <w:uiPriority w:val="99"/>
    <w:pPr>
      <w:ind w:left="1470"/>
    </w:pPr>
  </w:style>
  <w:style w:type="paragraph" w:customStyle="1" w:styleId="159">
    <w:name w:val="目录 91"/>
    <w:basedOn w:val="158"/>
    <w:semiHidden/>
    <w:qFormat/>
    <w:uiPriority w:val="99"/>
    <w:pPr>
      <w:ind w:left="1680"/>
    </w:pPr>
  </w:style>
  <w:style w:type="paragraph" w:customStyle="1" w:styleId="160">
    <w:name w:val="其他标准称谓"/>
    <w:qFormat/>
    <w:uiPriority w:val="99"/>
    <w:pPr>
      <w:spacing w:line="240" w:lineRule="atLeast"/>
      <w:jc w:val="distribute"/>
    </w:pPr>
    <w:rPr>
      <w:rFonts w:ascii="黑体" w:hAnsi="宋体" w:eastAsia="黑体" w:cs="Times New Roman"/>
      <w:sz w:val="52"/>
      <w:lang w:val="en-US" w:eastAsia="zh-CN" w:bidi="ar-SA"/>
    </w:rPr>
  </w:style>
  <w:style w:type="paragraph" w:customStyle="1" w:styleId="161">
    <w:name w:val="其他发布部门"/>
    <w:basedOn w:val="129"/>
    <w:qFormat/>
    <w:uiPriority w:val="99"/>
    <w:pPr>
      <w:framePr/>
      <w:spacing w:line="240" w:lineRule="atLeast"/>
    </w:pPr>
    <w:rPr>
      <w:rFonts w:ascii="黑体" w:eastAsia="黑体"/>
      <w:b w:val="0"/>
    </w:rPr>
  </w:style>
  <w:style w:type="paragraph" w:customStyle="1" w:styleId="162">
    <w:name w:val="前言标题"/>
    <w:next w:val="1"/>
    <w:qFormat/>
    <w:uiPriority w:val="99"/>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63">
    <w:name w:val="三级无标题条"/>
    <w:basedOn w:val="1"/>
    <w:qFormat/>
    <w:uiPriority w:val="99"/>
    <w:pPr>
      <w:numPr>
        <w:ilvl w:val="4"/>
        <w:numId w:val="20"/>
      </w:numPr>
      <w:adjustRightInd/>
      <w:spacing w:line="240" w:lineRule="auto"/>
    </w:pPr>
    <w:rPr>
      <w:rFonts w:ascii="宋体" w:hAnsi="宋体"/>
      <w:szCs w:val="24"/>
    </w:rPr>
  </w:style>
  <w:style w:type="paragraph" w:customStyle="1" w:styleId="164">
    <w:name w:val="实施日期"/>
    <w:basedOn w:val="130"/>
    <w:qFormat/>
    <w:uiPriority w:val="99"/>
    <w:pPr>
      <w:framePr w:hSpace="0" w:xAlign="right"/>
      <w:jc w:val="right"/>
    </w:pPr>
  </w:style>
  <w:style w:type="paragraph" w:customStyle="1" w:styleId="165">
    <w:name w:val="四级无标题条"/>
    <w:basedOn w:val="1"/>
    <w:qFormat/>
    <w:uiPriority w:val="99"/>
    <w:pPr>
      <w:numPr>
        <w:ilvl w:val="5"/>
        <w:numId w:val="20"/>
      </w:numPr>
      <w:adjustRightInd/>
      <w:spacing w:line="240" w:lineRule="auto"/>
    </w:pPr>
    <w:rPr>
      <w:rFonts w:ascii="宋体" w:hAnsi="宋体"/>
      <w:szCs w:val="24"/>
    </w:rPr>
  </w:style>
  <w:style w:type="paragraph" w:customStyle="1" w:styleId="166">
    <w:name w:val="文献分类号"/>
    <w:qFormat/>
    <w:uiPriority w:val="99"/>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7">
    <w:name w:val="无标题条"/>
    <w:next w:val="68"/>
    <w:qFormat/>
    <w:uiPriority w:val="99"/>
    <w:pPr>
      <w:jc w:val="both"/>
    </w:pPr>
    <w:rPr>
      <w:rFonts w:ascii="宋体" w:hAnsi="宋体" w:eastAsia="宋体" w:cs="Times New Roman"/>
      <w:sz w:val="21"/>
      <w:lang w:val="en-US" w:eastAsia="zh-CN" w:bidi="ar-SA"/>
    </w:rPr>
  </w:style>
  <w:style w:type="paragraph" w:customStyle="1" w:styleId="168">
    <w:name w:val="五级无标题条"/>
    <w:basedOn w:val="1"/>
    <w:qFormat/>
    <w:uiPriority w:val="99"/>
    <w:pPr>
      <w:numPr>
        <w:ilvl w:val="6"/>
        <w:numId w:val="20"/>
      </w:numPr>
      <w:adjustRightInd/>
    </w:pPr>
    <w:rPr>
      <w:szCs w:val="24"/>
    </w:rPr>
  </w:style>
  <w:style w:type="paragraph" w:customStyle="1" w:styleId="169">
    <w:name w:val="一级无标题条"/>
    <w:basedOn w:val="1"/>
    <w:qFormat/>
    <w:uiPriority w:val="99"/>
    <w:pPr>
      <w:numPr>
        <w:ilvl w:val="2"/>
        <w:numId w:val="20"/>
      </w:numPr>
      <w:adjustRightInd/>
      <w:spacing w:before="10" w:after="10" w:line="240" w:lineRule="auto"/>
    </w:pPr>
    <w:rPr>
      <w:rFonts w:ascii="宋体" w:hAnsi="宋体"/>
      <w:szCs w:val="24"/>
    </w:rPr>
  </w:style>
  <w:style w:type="paragraph" w:customStyle="1" w:styleId="170">
    <w:name w:val="注:后续"/>
    <w:qFormat/>
    <w:uiPriority w:val="99"/>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71">
    <w:name w:val="注×:后续"/>
    <w:basedOn w:val="170"/>
    <w:qFormat/>
    <w:uiPriority w:val="99"/>
    <w:pPr>
      <w:ind w:left="1406" w:leftChars="0" w:hanging="499" w:firstLineChars="0"/>
    </w:pPr>
  </w:style>
  <w:style w:type="paragraph" w:customStyle="1" w:styleId="172">
    <w:name w:val="标准文件_一级无标题"/>
    <w:basedOn w:val="115"/>
    <w:qFormat/>
    <w:uiPriority w:val="99"/>
    <w:pPr>
      <w:spacing w:beforeLines="0" w:afterLines="0"/>
      <w:outlineLvl w:val="9"/>
    </w:pPr>
    <w:rPr>
      <w:rFonts w:ascii="宋体" w:eastAsia="宋体"/>
    </w:rPr>
  </w:style>
  <w:style w:type="paragraph" w:customStyle="1" w:styleId="173">
    <w:name w:val="标准文件_五级无标题"/>
    <w:basedOn w:val="113"/>
    <w:qFormat/>
    <w:uiPriority w:val="99"/>
    <w:pPr>
      <w:spacing w:beforeLines="0" w:afterLines="0"/>
      <w:outlineLvl w:val="9"/>
    </w:pPr>
    <w:rPr>
      <w:rFonts w:ascii="宋体" w:eastAsia="宋体"/>
    </w:rPr>
  </w:style>
  <w:style w:type="paragraph" w:customStyle="1" w:styleId="174">
    <w:name w:val="标准文件_三级无标题"/>
    <w:basedOn w:val="105"/>
    <w:qFormat/>
    <w:uiPriority w:val="99"/>
    <w:pPr>
      <w:spacing w:beforeLines="0" w:afterLines="0"/>
      <w:outlineLvl w:val="9"/>
    </w:pPr>
    <w:rPr>
      <w:rFonts w:ascii="宋体" w:eastAsia="宋体"/>
    </w:rPr>
  </w:style>
  <w:style w:type="paragraph" w:customStyle="1" w:styleId="175">
    <w:name w:val="标准文件_二级无标题"/>
    <w:basedOn w:val="77"/>
    <w:qFormat/>
    <w:uiPriority w:val="99"/>
    <w:pPr>
      <w:spacing w:beforeLines="0" w:afterLines="0"/>
      <w:outlineLvl w:val="9"/>
    </w:pPr>
    <w:rPr>
      <w:rFonts w:ascii="宋体" w:eastAsia="宋体"/>
    </w:rPr>
  </w:style>
  <w:style w:type="paragraph" w:customStyle="1" w:styleId="176">
    <w:name w:val="标准_四级无标题"/>
    <w:basedOn w:val="109"/>
    <w:next w:val="68"/>
    <w:qFormat/>
    <w:uiPriority w:val="99"/>
    <w:rPr>
      <w:rFonts w:eastAsia="宋体"/>
    </w:rPr>
  </w:style>
  <w:style w:type="paragraph" w:customStyle="1" w:styleId="177">
    <w:name w:val="标准文件_四级无标题"/>
    <w:basedOn w:val="109"/>
    <w:qFormat/>
    <w:uiPriority w:val="99"/>
    <w:pPr>
      <w:spacing w:beforeLines="0" w:afterLines="0"/>
      <w:outlineLvl w:val="9"/>
    </w:pPr>
    <w:rPr>
      <w:rFonts w:ascii="宋体" w:hAnsi="黑体" w:eastAsia="宋体"/>
      <w:szCs w:val="52"/>
    </w:rPr>
  </w:style>
  <w:style w:type="paragraph" w:customStyle="1" w:styleId="178">
    <w:name w:val="标准文件_大写罗马数字编号列项"/>
    <w:basedOn w:val="68"/>
    <w:qFormat/>
    <w:uiPriority w:val="99"/>
    <w:pPr>
      <w:numPr>
        <w:ilvl w:val="0"/>
        <w:numId w:val="23"/>
      </w:numPr>
      <w:ind w:firstLine="0" w:firstLineChars="0"/>
    </w:pPr>
    <w:rPr>
      <w:rFonts w:ascii="Times New Roman" w:cs="Arial"/>
      <w:szCs w:val="28"/>
    </w:rPr>
  </w:style>
  <w:style w:type="paragraph" w:customStyle="1" w:styleId="179">
    <w:name w:val="标准文件_小写罗马数字编号列项"/>
    <w:basedOn w:val="68"/>
    <w:qFormat/>
    <w:uiPriority w:val="99"/>
    <w:pPr>
      <w:numPr>
        <w:ilvl w:val="0"/>
        <w:numId w:val="24"/>
      </w:numPr>
      <w:ind w:firstLine="0" w:firstLineChars="0"/>
    </w:pPr>
    <w:rPr>
      <w:rFonts w:cs="Arial"/>
      <w:szCs w:val="28"/>
    </w:rPr>
  </w:style>
  <w:style w:type="paragraph" w:customStyle="1" w:styleId="180">
    <w:name w:val="标准文件_附录标题"/>
    <w:basedOn w:val="88"/>
    <w:qFormat/>
    <w:uiPriority w:val="99"/>
    <w:pPr>
      <w:spacing w:after="280"/>
      <w:outlineLvl w:val="9"/>
    </w:pPr>
  </w:style>
  <w:style w:type="paragraph" w:customStyle="1" w:styleId="181">
    <w:name w:val="标准文件_二级项"/>
    <w:qFormat/>
    <w:uiPriority w:val="99"/>
    <w:rPr>
      <w:rFonts w:ascii="宋体" w:hAnsi="Times New Roman" w:eastAsia="宋体" w:cs="Times New Roman"/>
      <w:sz w:val="21"/>
      <w:lang w:val="en-US" w:eastAsia="zh-CN" w:bidi="ar-SA"/>
    </w:rPr>
  </w:style>
  <w:style w:type="paragraph" w:customStyle="1" w:styleId="182">
    <w:name w:val="标准文件_三级项"/>
    <w:basedOn w:val="1"/>
    <w:qFormat/>
    <w:uiPriority w:val="99"/>
    <w:pPr>
      <w:numPr>
        <w:ilvl w:val="2"/>
        <w:numId w:val="21"/>
      </w:numPr>
      <w:spacing w:line="536870612" w:lineRule="auto"/>
    </w:pPr>
    <w:rPr>
      <w:rFonts w:ascii="Times New Roman" w:hAnsi="Times New Roman"/>
    </w:rPr>
  </w:style>
  <w:style w:type="paragraph" w:customStyle="1" w:styleId="183">
    <w:name w:val="图表脚注说明"/>
    <w:basedOn w:val="1"/>
    <w:next w:val="68"/>
    <w:qFormat/>
    <w:uiPriority w:val="99"/>
    <w:pPr>
      <w:numPr>
        <w:ilvl w:val="0"/>
        <w:numId w:val="25"/>
      </w:numPr>
      <w:adjustRightInd/>
      <w:spacing w:line="240" w:lineRule="auto"/>
      <w:ind w:left="783"/>
    </w:pPr>
    <w:rPr>
      <w:rFonts w:ascii="宋体" w:hAnsi="Times New Roman"/>
      <w:sz w:val="18"/>
      <w:szCs w:val="18"/>
    </w:rPr>
  </w:style>
  <w:style w:type="paragraph" w:customStyle="1" w:styleId="184">
    <w:name w:val="标准文件_字母编号列项（一级）"/>
    <w:qFormat/>
    <w:uiPriority w:val="99"/>
    <w:pPr>
      <w:numPr>
        <w:ilvl w:val="0"/>
        <w:numId w:val="13"/>
      </w:numPr>
      <w:jc w:val="both"/>
    </w:pPr>
    <w:rPr>
      <w:rFonts w:ascii="宋体" w:hAnsi="Times New Roman" w:eastAsia="宋体" w:cs="Times New Roman"/>
      <w:sz w:val="21"/>
      <w:lang w:val="en-US" w:eastAsia="zh-CN" w:bidi="ar-SA"/>
    </w:rPr>
  </w:style>
  <w:style w:type="paragraph" w:customStyle="1" w:styleId="185">
    <w:name w:val="标准文件_索引字母"/>
    <w:next w:val="68"/>
    <w:qFormat/>
    <w:uiPriority w:val="99"/>
    <w:pPr>
      <w:jc w:val="center"/>
    </w:pPr>
    <w:rPr>
      <w:rFonts w:ascii="宋体" w:hAnsi="Times New Roman" w:eastAsia="宋体" w:cs="Times New Roman"/>
      <w:b/>
      <w:kern w:val="2"/>
      <w:sz w:val="21"/>
      <w:lang w:val="en-US" w:eastAsia="zh-CN" w:bidi="ar-SA"/>
    </w:rPr>
  </w:style>
  <w:style w:type="paragraph" w:customStyle="1" w:styleId="186">
    <w:name w:val="标准文件_附录前"/>
    <w:next w:val="68"/>
    <w:qFormat/>
    <w:uiPriority w:val="99"/>
    <w:pPr>
      <w:spacing w:line="20" w:lineRule="atLeast"/>
      <w:ind w:firstLine="200"/>
    </w:pPr>
    <w:rPr>
      <w:rFonts w:ascii="宋体" w:hAnsi="宋体" w:eastAsia="宋体" w:cs="Times New Roman"/>
      <w:kern w:val="2"/>
      <w:sz w:val="10"/>
      <w:lang w:val="en-US" w:eastAsia="zh-CN" w:bidi="ar-SA"/>
    </w:rPr>
  </w:style>
  <w:style w:type="paragraph" w:customStyle="1" w:styleId="187">
    <w:name w:val="标准文件_正文标准名称"/>
    <w:qFormat/>
    <w:uiPriority w:val="99"/>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88">
    <w:name w:val="标准文件_表格"/>
    <w:basedOn w:val="68"/>
    <w:qFormat/>
    <w:uiPriority w:val="99"/>
    <w:pPr>
      <w:ind w:firstLine="0" w:firstLineChars="0"/>
      <w:jc w:val="center"/>
    </w:pPr>
    <w:rPr>
      <w:sz w:val="18"/>
    </w:rPr>
  </w:style>
  <w:style w:type="paragraph" w:customStyle="1" w:styleId="189">
    <w:name w:val="标准文件_注："/>
    <w:next w:val="68"/>
    <w:qFormat/>
    <w:uiPriority w:val="99"/>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90">
    <w:name w:val="标准文件_注×："/>
    <w:qFormat/>
    <w:uiPriority w:val="99"/>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91">
    <w:name w:val="标准文件_示例："/>
    <w:next w:val="192"/>
    <w:qFormat/>
    <w:uiPriority w:val="99"/>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92">
    <w:name w:val="标准文件_示例内容"/>
    <w:basedOn w:val="68"/>
    <w:qFormat/>
    <w:uiPriority w:val="99"/>
    <w:pPr>
      <w:ind w:firstLine="420"/>
    </w:pPr>
    <w:rPr>
      <w:sz w:val="18"/>
    </w:rPr>
  </w:style>
  <w:style w:type="paragraph" w:customStyle="1" w:styleId="193">
    <w:name w:val="标准文件_示例×："/>
    <w:basedOn w:val="1"/>
    <w:next w:val="192"/>
    <w:qFormat/>
    <w:uiPriority w:val="99"/>
    <w:pPr>
      <w:widowControl/>
      <w:numPr>
        <w:ilvl w:val="0"/>
        <w:numId w:val="29"/>
      </w:numPr>
      <w:adjustRightInd/>
      <w:spacing w:line="240" w:lineRule="auto"/>
    </w:pPr>
    <w:rPr>
      <w:rFonts w:ascii="宋体" w:hAnsi="Times New Roman"/>
      <w:kern w:val="0"/>
      <w:sz w:val="18"/>
      <w:szCs w:val="18"/>
    </w:rPr>
  </w:style>
  <w:style w:type="character" w:customStyle="1" w:styleId="194">
    <w:name w:val="标准文件_段 Char"/>
    <w:link w:val="68"/>
    <w:qFormat/>
    <w:locked/>
    <w:uiPriority w:val="0"/>
    <w:rPr>
      <w:rFonts w:ascii="宋体"/>
      <w:sz w:val="21"/>
    </w:rPr>
  </w:style>
  <w:style w:type="paragraph" w:customStyle="1" w:styleId="195">
    <w:name w:val="标准文件_表格续"/>
    <w:basedOn w:val="68"/>
    <w:next w:val="68"/>
    <w:qFormat/>
    <w:uiPriority w:val="99"/>
    <w:pPr>
      <w:jc w:val="center"/>
    </w:pPr>
    <w:rPr>
      <w:rFonts w:ascii="黑体" w:hAnsi="黑体" w:eastAsia="黑体"/>
    </w:rPr>
  </w:style>
  <w:style w:type="character" w:styleId="196">
    <w:name w:val="Placeholder Text"/>
    <w:semiHidden/>
    <w:qFormat/>
    <w:uiPriority w:val="99"/>
    <w:rPr>
      <w:rFonts w:cs="Times New Roman"/>
      <w:color w:val="808080"/>
    </w:rPr>
  </w:style>
  <w:style w:type="paragraph" w:customStyle="1" w:styleId="197">
    <w:name w:val="标准文件_二级项2"/>
    <w:basedOn w:val="68"/>
    <w:qFormat/>
    <w:uiPriority w:val="99"/>
    <w:pPr>
      <w:numPr>
        <w:ilvl w:val="1"/>
        <w:numId w:val="21"/>
      </w:numPr>
      <w:ind w:left="1271" w:hanging="420" w:firstLineChars="0"/>
    </w:pPr>
  </w:style>
  <w:style w:type="paragraph" w:customStyle="1" w:styleId="198">
    <w:name w:val="标准文件_三级项2"/>
    <w:basedOn w:val="68"/>
    <w:qFormat/>
    <w:uiPriority w:val="99"/>
    <w:pPr>
      <w:numPr>
        <w:ilvl w:val="0"/>
        <w:numId w:val="30"/>
      </w:numPr>
      <w:spacing w:line="300" w:lineRule="exact"/>
      <w:ind w:left="1276" w:hanging="425" w:firstLineChars="0"/>
    </w:pPr>
    <w:rPr>
      <w:rFonts w:ascii="Times New Roman"/>
    </w:rPr>
  </w:style>
  <w:style w:type="paragraph" w:customStyle="1" w:styleId="199">
    <w:name w:val="标准文件_一级项2"/>
    <w:basedOn w:val="68"/>
    <w:qFormat/>
    <w:uiPriority w:val="99"/>
    <w:pPr>
      <w:numPr>
        <w:ilvl w:val="0"/>
        <w:numId w:val="31"/>
      </w:numPr>
      <w:spacing w:line="300" w:lineRule="exact"/>
      <w:ind w:left="1271" w:hanging="420" w:firstLineChars="0"/>
    </w:pPr>
    <w:rPr>
      <w:rFonts w:ascii="Times New Roman"/>
    </w:rPr>
  </w:style>
  <w:style w:type="paragraph" w:customStyle="1" w:styleId="200">
    <w:name w:val="标准文件_提示"/>
    <w:basedOn w:val="68"/>
    <w:next w:val="68"/>
    <w:qFormat/>
    <w:uiPriority w:val="99"/>
    <w:pPr>
      <w:ind w:firstLine="420"/>
    </w:pPr>
    <w:rPr>
      <w:rFonts w:ascii="黑体" w:eastAsia="黑体"/>
    </w:rPr>
  </w:style>
  <w:style w:type="character" w:customStyle="1" w:styleId="201">
    <w:name w:val="标准文件_来源"/>
    <w:qFormat/>
    <w:uiPriority w:val="99"/>
    <w:rPr>
      <w:rFonts w:eastAsia="宋体" w:cs="Times New Roman"/>
      <w:sz w:val="21"/>
    </w:rPr>
  </w:style>
  <w:style w:type="paragraph" w:customStyle="1" w:styleId="202">
    <w:name w:val="标准文件_图表说明"/>
    <w:qFormat/>
    <w:uiPriority w:val="99"/>
    <w:pPr>
      <w:spacing w:line="276" w:lineRule="auto"/>
      <w:ind w:firstLine="420"/>
    </w:pPr>
    <w:rPr>
      <w:rFonts w:ascii="宋体" w:hAnsi="宋体" w:eastAsia="宋体" w:cs="Times New Roman"/>
      <w:kern w:val="2"/>
      <w:sz w:val="18"/>
      <w:lang w:val="en-US" w:eastAsia="zh-CN" w:bidi="ar-SA"/>
    </w:rPr>
  </w:style>
  <w:style w:type="paragraph" w:customStyle="1" w:styleId="203">
    <w:name w:val="其他发布日期"/>
    <w:basedOn w:val="130"/>
    <w:qFormat/>
    <w:uiPriority w:val="99"/>
    <w:pPr>
      <w:framePr w:w="3997" w:h="471" w:hRule="exact" w:hSpace="0" w:vSpace="181" w:vAnchor="page" w:hAnchor="page" w:x="1419" w:y="14097"/>
    </w:pPr>
  </w:style>
  <w:style w:type="paragraph" w:customStyle="1" w:styleId="204">
    <w:name w:val="其他实施日期"/>
    <w:basedOn w:val="164"/>
    <w:qFormat/>
    <w:uiPriority w:val="99"/>
    <w:pPr>
      <w:framePr w:w="3997" w:h="471" w:hRule="exact" w:vSpace="181" w:vAnchor="page" w:hAnchor="page" w:x="7089" w:y="14097"/>
    </w:pPr>
  </w:style>
  <w:style w:type="paragraph" w:customStyle="1" w:styleId="205">
    <w:name w:val="标准文件_文件编号"/>
    <w:basedOn w:val="68"/>
    <w:qFormat/>
    <w:uiPriority w:val="99"/>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06">
    <w:name w:val="标准文件_替换文件编号"/>
    <w:basedOn w:val="205"/>
    <w:qFormat/>
    <w:uiPriority w:val="99"/>
    <w:pPr>
      <w:framePr/>
      <w:spacing w:before="57"/>
    </w:pPr>
    <w:rPr>
      <w:sz w:val="21"/>
    </w:rPr>
  </w:style>
  <w:style w:type="paragraph" w:customStyle="1" w:styleId="207">
    <w:name w:val="标准文件_文件名称"/>
    <w:basedOn w:val="68"/>
    <w:next w:val="68"/>
    <w:qFormat/>
    <w:uiPriority w:val="99"/>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8">
    <w:name w:val="标准文件_附录图标号"/>
    <w:basedOn w:val="68"/>
    <w:next w:val="68"/>
    <w:qFormat/>
    <w:uiPriority w:val="99"/>
    <w:pPr>
      <w:numPr>
        <w:ilvl w:val="0"/>
        <w:numId w:val="6"/>
      </w:numPr>
      <w:spacing w:line="14" w:lineRule="exact"/>
      <w:ind w:firstLine="0" w:firstLineChars="0"/>
      <w:jc w:val="center"/>
    </w:pPr>
    <w:rPr>
      <w:rFonts w:ascii="黑体" w:hAnsi="黑体" w:eastAsia="黑体"/>
      <w:vanish/>
      <w:sz w:val="2"/>
      <w:szCs w:val="21"/>
    </w:rPr>
  </w:style>
  <w:style w:type="paragraph" w:customStyle="1" w:styleId="209">
    <w:name w:val="标准文件_附录表标号"/>
    <w:basedOn w:val="68"/>
    <w:next w:val="68"/>
    <w:qFormat/>
    <w:uiPriority w:val="99"/>
    <w:pPr>
      <w:numPr>
        <w:ilvl w:val="0"/>
        <w:numId w:val="4"/>
      </w:numPr>
      <w:spacing w:line="14" w:lineRule="exact"/>
      <w:ind w:firstLine="0" w:firstLineChars="0"/>
      <w:jc w:val="center"/>
    </w:pPr>
    <w:rPr>
      <w:rFonts w:eastAsia="黑体"/>
      <w:vanish/>
      <w:sz w:val="2"/>
    </w:rPr>
  </w:style>
  <w:style w:type="paragraph" w:customStyle="1" w:styleId="210">
    <w:name w:val="标准文件_引言一级条标题"/>
    <w:basedOn w:val="68"/>
    <w:next w:val="68"/>
    <w:qFormat/>
    <w:uiPriority w:val="99"/>
    <w:pPr>
      <w:spacing w:beforeLines="50" w:afterLines="50"/>
      <w:ind w:firstLine="0" w:firstLineChars="0"/>
    </w:pPr>
    <w:rPr>
      <w:rFonts w:ascii="黑体" w:eastAsia="黑体"/>
    </w:rPr>
  </w:style>
  <w:style w:type="paragraph" w:customStyle="1" w:styleId="211">
    <w:name w:val="标准文件_引言二级条标题"/>
    <w:basedOn w:val="68"/>
    <w:next w:val="68"/>
    <w:qFormat/>
    <w:uiPriority w:val="99"/>
    <w:pPr>
      <w:numPr>
        <w:ilvl w:val="2"/>
        <w:numId w:val="8"/>
      </w:numPr>
      <w:spacing w:beforeLines="50" w:afterLines="50"/>
      <w:ind w:firstLine="0" w:firstLineChars="0"/>
    </w:pPr>
    <w:rPr>
      <w:rFonts w:ascii="黑体" w:eastAsia="黑体"/>
    </w:rPr>
  </w:style>
  <w:style w:type="paragraph" w:customStyle="1" w:styleId="212">
    <w:name w:val="标准文件_引言三级条标题"/>
    <w:basedOn w:val="68"/>
    <w:next w:val="68"/>
    <w:qFormat/>
    <w:uiPriority w:val="99"/>
    <w:pPr>
      <w:numPr>
        <w:ilvl w:val="3"/>
        <w:numId w:val="8"/>
      </w:numPr>
      <w:spacing w:beforeLines="50" w:afterLines="50"/>
      <w:ind w:firstLine="0" w:firstLineChars="0"/>
    </w:pPr>
    <w:rPr>
      <w:rFonts w:ascii="黑体" w:eastAsia="黑体"/>
    </w:rPr>
  </w:style>
  <w:style w:type="paragraph" w:customStyle="1" w:styleId="213">
    <w:name w:val="标准文件_引言四级条标题"/>
    <w:basedOn w:val="68"/>
    <w:next w:val="68"/>
    <w:qFormat/>
    <w:uiPriority w:val="99"/>
    <w:pPr>
      <w:numPr>
        <w:ilvl w:val="4"/>
        <w:numId w:val="8"/>
      </w:numPr>
      <w:spacing w:beforeLines="50" w:afterLines="50"/>
      <w:ind w:firstLine="0" w:firstLineChars="0"/>
    </w:pPr>
    <w:rPr>
      <w:rFonts w:ascii="黑体" w:eastAsia="黑体"/>
    </w:rPr>
  </w:style>
  <w:style w:type="paragraph" w:customStyle="1" w:styleId="214">
    <w:name w:val="标准文件_引言五级条标题"/>
    <w:basedOn w:val="68"/>
    <w:next w:val="68"/>
    <w:qFormat/>
    <w:uiPriority w:val="99"/>
    <w:pPr>
      <w:numPr>
        <w:ilvl w:val="5"/>
        <w:numId w:val="8"/>
      </w:numPr>
      <w:spacing w:beforeLines="50" w:afterLines="50"/>
      <w:ind w:firstLine="0" w:firstLineChars="0"/>
    </w:pPr>
    <w:rPr>
      <w:rFonts w:ascii="黑体" w:eastAsia="黑体"/>
    </w:rPr>
  </w:style>
  <w:style w:type="paragraph" w:customStyle="1" w:styleId="215">
    <w:name w:val="标准文件_注后"/>
    <w:basedOn w:val="68"/>
    <w:qFormat/>
    <w:uiPriority w:val="99"/>
    <w:pPr>
      <w:ind w:left="811" w:firstLine="0" w:firstLineChars="0"/>
    </w:pPr>
    <w:rPr>
      <w:sz w:val="18"/>
    </w:rPr>
  </w:style>
  <w:style w:type="paragraph" w:customStyle="1" w:styleId="216">
    <w:name w:val="标准文件_注X后"/>
    <w:basedOn w:val="68"/>
    <w:qFormat/>
    <w:uiPriority w:val="99"/>
    <w:pPr>
      <w:ind w:left="811" w:firstLine="0" w:firstLineChars="0"/>
    </w:pPr>
    <w:rPr>
      <w:sz w:val="18"/>
    </w:rPr>
  </w:style>
  <w:style w:type="paragraph" w:customStyle="1" w:styleId="217">
    <w:name w:val="标准文件_示例后"/>
    <w:basedOn w:val="68"/>
    <w:qFormat/>
    <w:uiPriority w:val="99"/>
    <w:pPr>
      <w:ind w:left="964" w:firstLine="0" w:firstLineChars="0"/>
    </w:pPr>
    <w:rPr>
      <w:sz w:val="18"/>
    </w:rPr>
  </w:style>
  <w:style w:type="paragraph" w:customStyle="1" w:styleId="218">
    <w:name w:val="标准文件_示例X后"/>
    <w:basedOn w:val="68"/>
    <w:link w:val="219"/>
    <w:qFormat/>
    <w:uiPriority w:val="99"/>
    <w:pPr>
      <w:ind w:left="1049" w:firstLine="0" w:firstLineChars="0"/>
    </w:pPr>
    <w:rPr>
      <w:sz w:val="18"/>
    </w:rPr>
  </w:style>
  <w:style w:type="character" w:customStyle="1" w:styleId="219">
    <w:name w:val="标准文件_示例X后 字符"/>
    <w:link w:val="218"/>
    <w:qFormat/>
    <w:locked/>
    <w:uiPriority w:val="99"/>
    <w:rPr>
      <w:rFonts w:ascii="宋体" w:hAnsi="Times New Roman" w:cs="Times New Roman"/>
      <w:sz w:val="18"/>
      <w:lang w:bidi="ar-SA"/>
    </w:rPr>
  </w:style>
  <w:style w:type="paragraph" w:customStyle="1" w:styleId="220">
    <w:name w:val="标准文件_索引项"/>
    <w:basedOn w:val="68"/>
    <w:next w:val="68"/>
    <w:qFormat/>
    <w:uiPriority w:val="99"/>
    <w:pPr>
      <w:tabs>
        <w:tab w:val="right" w:leader="dot" w:pos="9356"/>
      </w:tabs>
      <w:ind w:left="210" w:hanging="210" w:firstLineChars="0"/>
      <w:jc w:val="left"/>
    </w:pPr>
  </w:style>
  <w:style w:type="paragraph" w:customStyle="1" w:styleId="221">
    <w:name w:val="标准文件_附录一级无标题"/>
    <w:basedOn w:val="90"/>
    <w:qFormat/>
    <w:uiPriority w:val="99"/>
    <w:pPr>
      <w:spacing w:beforeLines="0" w:afterLines="0" w:line="276" w:lineRule="auto"/>
      <w:outlineLvl w:val="9"/>
    </w:pPr>
    <w:rPr>
      <w:rFonts w:ascii="宋体" w:eastAsia="宋体"/>
    </w:rPr>
  </w:style>
  <w:style w:type="paragraph" w:customStyle="1" w:styleId="222">
    <w:name w:val="标准文件_附录二级无标题"/>
    <w:basedOn w:val="91"/>
    <w:qFormat/>
    <w:uiPriority w:val="99"/>
    <w:pPr>
      <w:spacing w:beforeLines="0" w:afterLines="0" w:line="276" w:lineRule="auto"/>
      <w:outlineLvl w:val="9"/>
    </w:pPr>
    <w:rPr>
      <w:rFonts w:ascii="宋体" w:eastAsia="宋体"/>
    </w:rPr>
  </w:style>
  <w:style w:type="paragraph" w:customStyle="1" w:styleId="223">
    <w:name w:val="标准文件_附录三级无标题"/>
    <w:basedOn w:val="93"/>
    <w:qFormat/>
    <w:uiPriority w:val="99"/>
    <w:pPr>
      <w:spacing w:beforeLines="0" w:afterLines="0" w:line="276" w:lineRule="auto"/>
      <w:outlineLvl w:val="9"/>
    </w:pPr>
    <w:rPr>
      <w:rFonts w:ascii="宋体" w:eastAsia="宋体"/>
    </w:rPr>
  </w:style>
  <w:style w:type="paragraph" w:customStyle="1" w:styleId="224">
    <w:name w:val="标准文件_附录四级无标题"/>
    <w:basedOn w:val="94"/>
    <w:qFormat/>
    <w:uiPriority w:val="99"/>
    <w:pPr>
      <w:spacing w:beforeLines="0" w:afterLines="0" w:line="276" w:lineRule="auto"/>
      <w:outlineLvl w:val="9"/>
    </w:pPr>
    <w:rPr>
      <w:rFonts w:ascii="宋体" w:eastAsia="宋体"/>
    </w:rPr>
  </w:style>
  <w:style w:type="paragraph" w:customStyle="1" w:styleId="225">
    <w:name w:val="标准文件_附录五级无标题"/>
    <w:basedOn w:val="96"/>
    <w:qFormat/>
    <w:uiPriority w:val="99"/>
    <w:pPr>
      <w:spacing w:beforeLines="0" w:afterLines="0" w:line="276" w:lineRule="auto"/>
      <w:outlineLvl w:val="9"/>
    </w:pPr>
    <w:rPr>
      <w:rFonts w:ascii="宋体" w:eastAsia="宋体"/>
    </w:rPr>
  </w:style>
  <w:style w:type="paragraph" w:customStyle="1" w:styleId="226">
    <w:name w:val="标准文件_引言一级无标题"/>
    <w:basedOn w:val="210"/>
    <w:next w:val="68"/>
    <w:qFormat/>
    <w:uiPriority w:val="99"/>
    <w:pPr>
      <w:spacing w:beforeLines="0" w:afterLines="0" w:line="276" w:lineRule="auto"/>
    </w:pPr>
    <w:rPr>
      <w:rFonts w:ascii="宋体" w:eastAsia="宋体"/>
    </w:rPr>
  </w:style>
  <w:style w:type="paragraph" w:customStyle="1" w:styleId="227">
    <w:name w:val="标准文件_引言二级无标题"/>
    <w:basedOn w:val="211"/>
    <w:next w:val="68"/>
    <w:qFormat/>
    <w:uiPriority w:val="99"/>
    <w:pPr>
      <w:spacing w:beforeLines="0" w:afterLines="0" w:line="276" w:lineRule="auto"/>
    </w:pPr>
    <w:rPr>
      <w:rFonts w:ascii="宋体" w:eastAsia="宋体"/>
    </w:rPr>
  </w:style>
  <w:style w:type="paragraph" w:customStyle="1" w:styleId="228">
    <w:name w:val="标准文件_引言三级无标题"/>
    <w:basedOn w:val="212"/>
    <w:next w:val="68"/>
    <w:qFormat/>
    <w:uiPriority w:val="99"/>
    <w:pPr>
      <w:spacing w:beforeLines="0" w:afterLines="0" w:line="276" w:lineRule="auto"/>
    </w:pPr>
    <w:rPr>
      <w:rFonts w:ascii="宋体" w:eastAsia="宋体"/>
    </w:rPr>
  </w:style>
  <w:style w:type="paragraph" w:customStyle="1" w:styleId="229">
    <w:name w:val="标准文件_引言四级无标题"/>
    <w:basedOn w:val="213"/>
    <w:next w:val="68"/>
    <w:qFormat/>
    <w:uiPriority w:val="99"/>
    <w:pPr>
      <w:spacing w:beforeLines="0" w:afterLines="0" w:line="276" w:lineRule="auto"/>
    </w:pPr>
    <w:rPr>
      <w:rFonts w:ascii="宋体" w:eastAsia="宋体"/>
    </w:rPr>
  </w:style>
  <w:style w:type="paragraph" w:customStyle="1" w:styleId="230">
    <w:name w:val="标准文件_引言五级无标题"/>
    <w:basedOn w:val="214"/>
    <w:next w:val="68"/>
    <w:qFormat/>
    <w:uiPriority w:val="99"/>
    <w:pPr>
      <w:spacing w:beforeLines="0" w:afterLines="0" w:line="276" w:lineRule="auto"/>
    </w:pPr>
    <w:rPr>
      <w:rFonts w:ascii="宋体" w:eastAsia="宋体"/>
    </w:rPr>
  </w:style>
  <w:style w:type="paragraph" w:customStyle="1" w:styleId="231">
    <w:name w:val="标准文件_索引标题"/>
    <w:basedOn w:val="75"/>
    <w:next w:val="68"/>
    <w:qFormat/>
    <w:uiPriority w:val="99"/>
    <w:rPr>
      <w:rFonts w:hAnsi="黑体"/>
    </w:rPr>
  </w:style>
  <w:style w:type="paragraph" w:customStyle="1" w:styleId="232">
    <w:name w:val="标准文件_脚注内容"/>
    <w:basedOn w:val="68"/>
    <w:qFormat/>
    <w:uiPriority w:val="99"/>
    <w:pPr>
      <w:ind w:left="400" w:leftChars="200" w:hanging="200" w:hangingChars="200"/>
    </w:pPr>
    <w:rPr>
      <w:sz w:val="15"/>
    </w:rPr>
  </w:style>
  <w:style w:type="paragraph" w:customStyle="1" w:styleId="233">
    <w:name w:val="标准文件_术语条一"/>
    <w:basedOn w:val="172"/>
    <w:next w:val="68"/>
    <w:qFormat/>
    <w:uiPriority w:val="99"/>
  </w:style>
  <w:style w:type="paragraph" w:customStyle="1" w:styleId="234">
    <w:name w:val="标准文件_术语条二"/>
    <w:basedOn w:val="175"/>
    <w:next w:val="68"/>
    <w:qFormat/>
    <w:uiPriority w:val="99"/>
  </w:style>
  <w:style w:type="paragraph" w:customStyle="1" w:styleId="235">
    <w:name w:val="标准文件_术语条三"/>
    <w:basedOn w:val="174"/>
    <w:next w:val="68"/>
    <w:qFormat/>
    <w:uiPriority w:val="99"/>
  </w:style>
  <w:style w:type="paragraph" w:customStyle="1" w:styleId="236">
    <w:name w:val="标准文件_术语条四"/>
    <w:basedOn w:val="177"/>
    <w:next w:val="68"/>
    <w:qFormat/>
    <w:uiPriority w:val="99"/>
  </w:style>
  <w:style w:type="paragraph" w:customStyle="1" w:styleId="237">
    <w:name w:val="标准文件_术语条五"/>
    <w:basedOn w:val="173"/>
    <w:next w:val="68"/>
    <w:qFormat/>
    <w:uiPriority w:val="99"/>
  </w:style>
  <w:style w:type="paragraph" w:customStyle="1" w:styleId="23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9">
    <w:name w:val="发布"/>
    <w:qFormat/>
    <w:uiPriority w:val="99"/>
    <w:rPr>
      <w:rFonts w:ascii="黑体" w:eastAsia="黑体" w:cs="Times New Roman"/>
      <w:spacing w:val="85"/>
      <w:w w:val="100"/>
      <w:position w:val="3"/>
      <w:sz w:val="28"/>
      <w:szCs w:val="28"/>
    </w:rPr>
  </w:style>
  <w:style w:type="paragraph" w:customStyle="1" w:styleId="240">
    <w:name w:val="段"/>
    <w:link w:val="25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41">
    <w:name w:val="章标题"/>
    <w:qFormat/>
    <w:uiPriority w:val="99"/>
    <w:pPr>
      <w:numPr>
        <w:ilvl w:val="0"/>
        <w:numId w:val="32"/>
      </w:numPr>
      <w:spacing w:beforeLines="100" w:afterLines="100"/>
      <w:jc w:val="both"/>
      <w:outlineLvl w:val="1"/>
    </w:pPr>
    <w:rPr>
      <w:rFonts w:ascii="黑体" w:hAnsi="Times New Roman" w:eastAsia="黑体" w:cs="Times New Roman"/>
      <w:sz w:val="21"/>
      <w:lang w:val="en-US" w:eastAsia="zh-CN" w:bidi="ar-SA"/>
    </w:rPr>
  </w:style>
  <w:style w:type="paragraph" w:customStyle="1" w:styleId="242">
    <w:name w:val="一级条标题"/>
    <w:qFormat/>
    <w:uiPriority w:val="99"/>
    <w:pPr>
      <w:numPr>
        <w:ilvl w:val="1"/>
        <w:numId w:val="32"/>
      </w:numPr>
      <w:spacing w:beforeLines="50" w:afterLines="50"/>
      <w:outlineLvl w:val="2"/>
    </w:pPr>
    <w:rPr>
      <w:rFonts w:ascii="黑体" w:hAnsi="Times New Roman" w:eastAsia="黑体" w:cs="Times New Roman"/>
      <w:sz w:val="21"/>
      <w:szCs w:val="21"/>
      <w:lang w:val="en-US" w:eastAsia="zh-CN" w:bidi="ar-SA"/>
    </w:rPr>
  </w:style>
  <w:style w:type="paragraph" w:customStyle="1" w:styleId="243">
    <w:name w:val="附录章标题"/>
    <w:next w:val="240"/>
    <w:qFormat/>
    <w:uiPriority w:val="99"/>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244">
    <w:name w:val="附录一级条标题"/>
    <w:basedOn w:val="243"/>
    <w:next w:val="240"/>
    <w:qFormat/>
    <w:uiPriority w:val="99"/>
    <w:pPr>
      <w:autoSpaceDN w:val="0"/>
      <w:spacing w:beforeLines="50" w:afterLines="50"/>
      <w:outlineLvl w:val="2"/>
    </w:pPr>
  </w:style>
  <w:style w:type="paragraph" w:customStyle="1" w:styleId="245">
    <w:name w:val="附录二级条标题"/>
    <w:basedOn w:val="1"/>
    <w:next w:val="240"/>
    <w:qFormat/>
    <w:uiPriority w:val="99"/>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246">
    <w:name w:val="WPSOffice手动目录 1"/>
    <w:qFormat/>
    <w:uiPriority w:val="99"/>
    <w:rPr>
      <w:rFonts w:ascii="Times New Roman" w:hAnsi="Times New Roman" w:eastAsia="宋体" w:cs="Times New Roman"/>
      <w:lang w:val="en-US" w:eastAsia="zh-CN" w:bidi="ar-SA"/>
    </w:rPr>
  </w:style>
  <w:style w:type="character" w:customStyle="1" w:styleId="247">
    <w:name w:val="fontstrikethrough"/>
    <w:qFormat/>
    <w:uiPriority w:val="99"/>
    <w:rPr>
      <w:rFonts w:cs="Times New Roman"/>
      <w:strike/>
    </w:rPr>
  </w:style>
  <w:style w:type="character" w:customStyle="1" w:styleId="248">
    <w:name w:val="fontborder"/>
    <w:qFormat/>
    <w:uiPriority w:val="99"/>
    <w:rPr>
      <w:rFonts w:cs="Times New Roman"/>
      <w:bdr w:val="single" w:color="000000" w:sz="4" w:space="0"/>
    </w:rPr>
  </w:style>
  <w:style w:type="paragraph" w:customStyle="1" w:styleId="249">
    <w:name w:val="附录标识"/>
    <w:basedOn w:val="1"/>
    <w:next w:val="240"/>
    <w:qFormat/>
    <w:uiPriority w:val="99"/>
    <w:pPr>
      <w:keepNext/>
      <w:widowControl/>
      <w:numPr>
        <w:ilvl w:val="0"/>
        <w:numId w:val="5"/>
      </w:numPr>
      <w:shd w:val="clear" w:color="FFFFFF" w:fill="FFFFFF"/>
      <w:tabs>
        <w:tab w:val="left" w:pos="360"/>
        <w:tab w:val="left" w:pos="6405"/>
      </w:tabs>
      <w:adjustRightInd/>
      <w:spacing w:before="640" w:after="280" w:line="240" w:lineRule="auto"/>
      <w:jc w:val="center"/>
      <w:outlineLvl w:val="0"/>
    </w:pPr>
    <w:rPr>
      <w:rFonts w:ascii="黑体" w:hAnsi="Times New Roman" w:eastAsia="黑体"/>
      <w:kern w:val="0"/>
      <w:szCs w:val="20"/>
    </w:rPr>
  </w:style>
  <w:style w:type="paragraph" w:customStyle="1" w:styleId="250">
    <w:name w:val="附录表标题"/>
    <w:basedOn w:val="1"/>
    <w:next w:val="240"/>
    <w:qFormat/>
    <w:uiPriority w:val="99"/>
    <w:pPr>
      <w:numPr>
        <w:ilvl w:val="1"/>
        <w:numId w:val="8"/>
      </w:numPr>
      <w:adjustRightInd/>
      <w:spacing w:beforeLines="50" w:afterLines="50" w:line="240" w:lineRule="auto"/>
      <w:jc w:val="center"/>
    </w:pPr>
    <w:rPr>
      <w:rFonts w:ascii="黑体" w:hAnsi="Times New Roman" w:eastAsia="黑体"/>
    </w:rPr>
  </w:style>
  <w:style w:type="character" w:customStyle="1" w:styleId="251">
    <w:name w:val="段 Char"/>
    <w:link w:val="240"/>
    <w:qFormat/>
    <w:locked/>
    <w:uiPriority w:val="0"/>
    <w:rPr>
      <w:rFonts w:ascii="宋体"/>
      <w:sz w:val="21"/>
    </w:rPr>
  </w:style>
  <w:style w:type="paragraph" w:customStyle="1" w:styleId="252">
    <w:name w:val="二级条标题"/>
    <w:basedOn w:val="242"/>
    <w:qFormat/>
    <w:uiPriority w:val="99"/>
    <w:pPr>
      <w:numPr>
        <w:ilvl w:val="2"/>
        <w:numId w:val="3"/>
      </w:numPr>
      <w:spacing w:before="50" w:after="50"/>
      <w:outlineLvl w:val="3"/>
    </w:pPr>
  </w:style>
  <w:style w:type="paragraph" w:customStyle="1" w:styleId="253">
    <w:name w:val="三级条标题"/>
    <w:basedOn w:val="252"/>
    <w:qFormat/>
    <w:uiPriority w:val="99"/>
    <w:pPr>
      <w:numPr>
        <w:ilvl w:val="0"/>
        <w:numId w:val="0"/>
      </w:numPr>
      <w:outlineLvl w:val="4"/>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Program%20Files%20(x86)\StandardEditor\template\&#22320;&#26041;&#26631;&#2093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11</Pages>
  <Words>5455</Words>
  <Characters>6371</Characters>
  <Lines>58</Lines>
  <Paragraphs>16</Paragraphs>
  <TotalTime>20</TotalTime>
  <ScaleCrop>false</ScaleCrop>
  <LinksUpToDate>false</LinksUpToDate>
  <CharactersWithSpaces>6542</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2021-06-16T14:42:00Z</dcterms:created>
  <dc:creator>郑才华</dc:creator>
  <dc:description>&lt;config cover="true" show_menu="true" version="1.0.0" doctype="SDKXY"&gt;&lt;/config&gt;</dc:description>
  <cp:lastModifiedBy>user</cp:lastModifiedBy>
  <cp:lastPrinted>2023-11-09T08:49:00Z</cp:lastPrinted>
  <dcterms:modified xsi:type="dcterms:W3CDTF">2023-11-09T17:21:09Z</dcterms:modified>
  <dc:title>地方标准</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2052-11.8.2.9980</vt:lpwstr>
  </property>
  <property fmtid="{D5CDD505-2E9C-101B-9397-08002B2CF9AE}" pid="15" name="ICV">
    <vt:lpwstr>B6855EF6579B4ABE9225A7C36632D180_13</vt:lpwstr>
  </property>
</Properties>
</file>