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line="600" w:lineRule="exact"/>
        <w:rPr>
          <w:rStyle w:val="10"/>
          <w:rFonts w:ascii="Times New Roman" w:hAnsi="Times New Roman" w:eastAsia="黑体" w:cs="Times New Roman"/>
          <w:b w:val="0"/>
          <w:bCs w:val="0"/>
          <w:sz w:val="32"/>
          <w:szCs w:val="32"/>
        </w:rPr>
      </w:pPr>
      <w:r>
        <w:rPr>
          <w:rFonts w:ascii="Times New Roman" w:hAnsi="Times New Roman" w:eastAsia="黑体" w:cs="Times New Roman"/>
          <w:sz w:val="32"/>
          <w:szCs w:val="32"/>
        </w:rPr>
        <w:t>附件</w:t>
      </w:r>
      <w:r>
        <w:rPr>
          <w:rFonts w:hint="eastAsia" w:ascii="Times New Roman" w:hAnsi="Times New Roman" w:eastAsia="黑体" w:cs="Times New Roman"/>
          <w:sz w:val="32"/>
          <w:szCs w:val="32"/>
        </w:rPr>
        <w:t>4</w:t>
      </w:r>
    </w:p>
    <w:p>
      <w:pPr>
        <w:spacing w:line="600" w:lineRule="exact"/>
        <w:jc w:val="center"/>
        <w:rPr>
          <w:rStyle w:val="10"/>
          <w:rFonts w:ascii="Times New Roman" w:hAnsi="Times New Roman" w:eastAsia="方正小标宋简体" w:cs="Times New Roman"/>
          <w:b w:val="0"/>
          <w:sz w:val="44"/>
          <w:szCs w:val="44"/>
        </w:rPr>
      </w:pPr>
      <w:r>
        <w:rPr>
          <w:rStyle w:val="10"/>
          <w:rFonts w:ascii="Times New Roman" w:hAnsi="Times New Roman" w:eastAsia="方正小标宋简体" w:cs="Times New Roman"/>
          <w:b w:val="0"/>
          <w:sz w:val="44"/>
          <w:szCs w:val="44"/>
        </w:rPr>
        <w:t>不合格项目解读</w:t>
      </w:r>
    </w:p>
    <w:p>
      <w:pPr>
        <w:spacing w:line="600" w:lineRule="exact"/>
        <w:jc w:val="center"/>
        <w:rPr>
          <w:rFonts w:ascii="黑体" w:hAnsi="黑体" w:eastAsia="黑体"/>
          <w:color w:val="FF000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黑体" w:cs="Times New Roman"/>
          <w:sz w:val="32"/>
          <w:szCs w:val="32"/>
        </w:rPr>
      </w:pPr>
      <w:r>
        <w:rPr>
          <w:rFonts w:hint="eastAsia" w:ascii="Times New Roman" w:hAnsi="Times New Roman" w:eastAsia="黑体" w:cs="Times New Roman"/>
          <w:sz w:val="32"/>
          <w:szCs w:val="32"/>
        </w:rPr>
        <w:t>一、酒类不合格项目三氯蔗糖、甲醇解读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三氯蔗糖，俗称蔗糖素，是一种高倍甜味剂，是唯一以蔗糖为原料的功能性甜味剂，甜度为蔗糖的600倍。根据《食品安全国家标准 食品添加剂使用标准》（GB 2760—2014）规定，白酒中不得使用三氯蔗糖。其不合格原因可能是企业为改善产品口感而超范围使用三氯蔗糖。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auto"/>
          <w:sz w:val="32"/>
          <w:szCs w:val="32"/>
        </w:rPr>
      </w:pPr>
      <w:r>
        <w:rPr>
          <w:rFonts w:hint="default" w:ascii="仿宋_GB2312" w:eastAsia="仿宋_GB2312" w:cs="Times New Roman"/>
          <w:color w:val="auto"/>
          <w:sz w:val="32"/>
          <w:szCs w:val="32"/>
          <w:lang w:val="en-US" w:eastAsia="zh-CN"/>
        </w:rPr>
        <w:t>白酒在酿造过程中，由于原料的植物细胞壁及细胞间质的果胶中含有甲醇酯，在曲霉的作用下放出甲氧基，形成甲醇。甲醇对中枢神经系统有麻醉作用</w:t>
      </w:r>
      <w:r>
        <w:rPr>
          <w:rFonts w:hint="eastAsia" w:ascii="仿宋_GB2312" w:eastAsia="仿宋_GB2312" w:cs="Times New Roman"/>
          <w:color w:val="auto"/>
          <w:sz w:val="32"/>
          <w:szCs w:val="32"/>
          <w:lang w:val="en-US" w:eastAsia="zh-CN"/>
        </w:rPr>
        <w:t>，</w:t>
      </w:r>
      <w:r>
        <w:rPr>
          <w:rFonts w:hint="default" w:ascii="仿宋_GB2312" w:eastAsia="仿宋_GB2312" w:cs="Times New Roman"/>
          <w:color w:val="auto"/>
          <w:sz w:val="32"/>
          <w:szCs w:val="32"/>
          <w:lang w:val="en-US" w:eastAsia="zh-CN"/>
        </w:rPr>
        <w:t>对视神经和视网膜有特殊选择作用，引起病变。少量的甲醇不会引起人体急性中毒，并且可被人体正常代谢，但短时间内大量饮用甲醇超标的酒，可能会引起人体急性中毒。</w:t>
      </w:r>
      <w:r>
        <w:rPr>
          <w:rFonts w:hint="eastAsia" w:ascii="仿宋_GB2312" w:eastAsia="仿宋_GB2312"/>
          <w:color w:val="auto"/>
          <w:sz w:val="32"/>
          <w:szCs w:val="32"/>
        </w:rPr>
        <w:t>其不合格原因</w:t>
      </w:r>
      <w:r>
        <w:rPr>
          <w:rFonts w:hint="default" w:ascii="仿宋_GB2312" w:eastAsia="仿宋_GB2312" w:cs="Times New Roman"/>
          <w:color w:val="auto"/>
          <w:sz w:val="32"/>
          <w:szCs w:val="32"/>
          <w:lang w:val="en-US" w:eastAsia="zh-CN"/>
        </w:rPr>
        <w:t>可能是</w:t>
      </w:r>
      <w:r>
        <w:rPr>
          <w:rFonts w:hint="eastAsia" w:ascii="仿宋_GB2312" w:eastAsia="仿宋_GB2312"/>
          <w:color w:val="auto"/>
          <w:sz w:val="32"/>
          <w:szCs w:val="32"/>
        </w:rPr>
        <w:t>生产企业违规使用了不合格原料或生产蒸馏工艺不达标所致。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黑体" w:cs="Times New Roman"/>
          <w:color w:val="auto"/>
          <w:sz w:val="32"/>
          <w:szCs w:val="32"/>
        </w:rPr>
      </w:pPr>
      <w:r>
        <w:rPr>
          <w:rFonts w:hint="eastAsia" w:ascii="Times New Roman" w:hAnsi="Times New Roman" w:eastAsia="黑体" w:cs="Times New Roman"/>
          <w:color w:val="auto"/>
          <w:sz w:val="32"/>
          <w:szCs w:val="32"/>
          <w:lang w:eastAsia="zh-CN"/>
        </w:rPr>
        <w:t>二</w:t>
      </w:r>
      <w:bookmarkStart w:id="0" w:name="_GoBack"/>
      <w:bookmarkEnd w:id="0"/>
      <w:r>
        <w:rPr>
          <w:rFonts w:hint="eastAsia" w:ascii="Times New Roman" w:hAnsi="Times New Roman" w:eastAsia="黑体" w:cs="Times New Roman"/>
          <w:color w:val="auto"/>
          <w:sz w:val="32"/>
          <w:szCs w:val="32"/>
          <w:lang w:eastAsia="zh-CN"/>
        </w:rPr>
        <w:t>、</w:t>
      </w:r>
      <w:r>
        <w:rPr>
          <w:rFonts w:hint="eastAsia" w:ascii="Times New Roman" w:hAnsi="Times New Roman" w:eastAsia="黑体" w:cs="Times New Roman"/>
          <w:color w:val="auto"/>
          <w:sz w:val="32"/>
          <w:szCs w:val="32"/>
        </w:rPr>
        <w:t>炒货食品及坚果制品不合格项目过氧化值(以脂肪计解读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ascii="仿宋_GB2312" w:eastAsia="仿宋_GB2312"/>
          <w:color w:val="auto"/>
          <w:sz w:val="32"/>
          <w:szCs w:val="32"/>
        </w:rPr>
        <w:t>过氧化值主要反映油脂的被氧化程度，是油脂酸败的早期指标。坚果炒货类食品中过氧化值（以脂肪计）检测值超标的原因，可能是产品用油已经变质，也可能是原料中的脂肪已经被氧化，还可能与产品储存条件控制不当有关。食用过氧化值超标的食品一般不会对人体健康造成损害，但长期食用严重超标的食品可能导致肠胃不适、腹泻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黑体" w:cs="Times New Roman"/>
          <w:color w:val="auto"/>
          <w:sz w:val="32"/>
          <w:szCs w:val="32"/>
        </w:rPr>
      </w:pPr>
      <w:r>
        <w:rPr>
          <w:rFonts w:hint="eastAsia" w:ascii="Times New Roman" w:hAnsi="Times New Roman" w:eastAsia="黑体" w:cs="Times New Roman"/>
          <w:color w:val="auto"/>
          <w:sz w:val="32"/>
          <w:szCs w:val="32"/>
          <w:lang w:eastAsia="zh-CN"/>
        </w:rPr>
        <w:t>三、</w:t>
      </w:r>
      <w:r>
        <w:rPr>
          <w:rFonts w:hint="eastAsia" w:ascii="Times New Roman" w:hAnsi="Times New Roman" w:eastAsia="黑体" w:cs="Times New Roman"/>
          <w:color w:val="auto"/>
          <w:sz w:val="32"/>
          <w:szCs w:val="32"/>
        </w:rPr>
        <w:t>粮食加工品不合格项目糖精钠（以糖精计）解读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糖精钠是食品生产中常用的人工甜味剂，是无色结晶或稍带白色的结晶性粉末，无臭或微有香气，甜度为蔗糖的200-700倍。糖精钠是普遍使用的人工合成甜味剂。糖精钠在人体内不被吸收，不产生热量，大部分经肾排出而不损害肾功能，不改变体内酶系统的活性。但食用较多的糖精钠，会影响肠胃消化酶的正常分泌，降低小肠的吸收能力，使食欲减退；使用量过大时有金属苦味。发酵面制品中糖精钠不合格的原因</w:t>
      </w:r>
      <w:r>
        <w:rPr>
          <w:rFonts w:ascii="仿宋_GB2312" w:eastAsia="仿宋_GB2312"/>
          <w:color w:val="auto"/>
          <w:sz w:val="32"/>
          <w:szCs w:val="32"/>
        </w:rPr>
        <w:t>可能</w:t>
      </w:r>
      <w:r>
        <w:rPr>
          <w:rFonts w:hint="eastAsia" w:ascii="仿宋_GB2312" w:eastAsia="仿宋_GB2312"/>
          <w:color w:val="auto"/>
          <w:sz w:val="32"/>
          <w:szCs w:val="32"/>
          <w:lang w:eastAsia="zh-CN"/>
        </w:rPr>
        <w:t>是</w:t>
      </w:r>
      <w:r>
        <w:rPr>
          <w:rFonts w:hint="eastAsia" w:ascii="Times New Roman" w:hAnsi="Times New Roman" w:eastAsia="仿宋_GB2312" w:cs="Times New Roman"/>
          <w:color w:val="auto"/>
          <w:sz w:val="32"/>
          <w:szCs w:val="32"/>
        </w:rPr>
        <w:t>生产经营者法律意识淡薄、对食品相关标准理解较为片面，错误地认为在食品中常见的甜味剂一定能够将其使用在发酵面制品中；</w:t>
      </w:r>
      <w:r>
        <w:rPr>
          <w:rFonts w:hint="eastAsia" w:ascii="Times New Roman" w:hAnsi="Times New Roman" w:eastAsia="仿宋_GB2312" w:cs="Times New Roman"/>
          <w:color w:val="auto"/>
          <w:sz w:val="32"/>
          <w:szCs w:val="32"/>
          <w:lang w:eastAsia="zh-CN"/>
        </w:rPr>
        <w:t>或</w:t>
      </w:r>
      <w:r>
        <w:rPr>
          <w:rFonts w:hint="eastAsia" w:ascii="Times New Roman" w:hAnsi="Times New Roman" w:eastAsia="仿宋_GB2312" w:cs="Times New Roman"/>
          <w:color w:val="auto"/>
          <w:sz w:val="32"/>
          <w:szCs w:val="32"/>
        </w:rPr>
        <w:t>为降低成本，选择甜度远高出普通蔗糖的糖精钠为增加产品甜味，以迎合大众口味的行为；另外，也可能是生产经营者使用的复配添加剂中含有糖精钠。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黑体" w:cs="Times New Roman"/>
          <w:color w:val="auto"/>
          <w:sz w:val="32"/>
          <w:szCs w:val="32"/>
        </w:rPr>
      </w:pPr>
      <w:r>
        <w:rPr>
          <w:rFonts w:hint="eastAsia" w:ascii="Times New Roman" w:hAnsi="Times New Roman" w:eastAsia="黑体" w:cs="Times New Roman"/>
          <w:color w:val="auto"/>
          <w:sz w:val="32"/>
          <w:szCs w:val="32"/>
          <w:lang w:eastAsia="zh-CN"/>
        </w:rPr>
        <w:t>四、</w:t>
      </w:r>
      <w:r>
        <w:rPr>
          <w:rFonts w:hint="eastAsia" w:ascii="Times New Roman" w:hAnsi="Times New Roman" w:eastAsia="黑体" w:cs="Times New Roman"/>
          <w:color w:val="auto"/>
          <w:sz w:val="32"/>
          <w:szCs w:val="32"/>
        </w:rPr>
        <w:t>食用油、油脂及其制品不合格项目酸价(KOH)解读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酸价，又称酸值，主要反映食品中油脂的酸败程度。酸价超标会导致食品有哈喇等异味，严重超标时会产生醛酮类化合物，长期摄入酸价超标的食品会对健康有一定影响。《食品安全国家标准 植物油》（GB 2716—2018）中规定，食用植物油（包括调和油）中酸价的最大限量值为3mg/g。食用植物油中酸价（KOH）检测值超标的原因，可能是企业原料采购把关不严，也可能是生产工艺不达标，还可能与产品储藏条件不当有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黑体" w:cs="Times New Roman"/>
          <w:color w:val="auto"/>
          <w:sz w:val="32"/>
          <w:szCs w:val="32"/>
        </w:rPr>
      </w:pPr>
      <w:r>
        <w:rPr>
          <w:rFonts w:hint="eastAsia" w:ascii="Times New Roman" w:hAnsi="Times New Roman" w:eastAsia="黑体" w:cs="Times New Roman"/>
          <w:color w:val="auto"/>
          <w:sz w:val="32"/>
          <w:szCs w:val="32"/>
        </w:rPr>
        <w:t>五、蔬菜制品不合格项目二氧化硫残留量解读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二氧化硫是食品加工中常用的一种食品添加剂，通常情 况下以焦亚硫酸钾、焦亚硫酸钠、亚硫酸钠、亚硫酸氢钠、 低亚硫酸钠等亚硫酸盐的形式添加于食品中，或采用硫磺熏 蒸的方式用于食品加工处理，具有漂白、防腐和抗氧化的作 用。二氧化硫进入人体后最终转化为硫酸盐并随尿液排出体 外，少量摄入不会对身体带来健康危害，但若过量食用可能 引起如恶心、呕吐等胃肠道反应。不合格原因可能是生产加工过程未严格管控原料或为了改善产品</w:t>
      </w:r>
      <w:r>
        <w:rPr>
          <w:rFonts w:hint="eastAsia" w:ascii="Times New Roman" w:hAnsi="Times New Roman" w:eastAsia="仿宋_GB2312" w:cs="Times New Roman"/>
          <w:color w:val="auto"/>
          <w:sz w:val="32"/>
          <w:szCs w:val="32"/>
          <w:lang w:eastAsia="zh-CN"/>
        </w:rPr>
        <w:t>品</w:t>
      </w:r>
      <w:r>
        <w:rPr>
          <w:rFonts w:ascii="Times New Roman" w:hAnsi="Times New Roman" w:eastAsia="仿宋_GB2312" w:cs="Times New Roman"/>
          <w:color w:val="auto"/>
          <w:sz w:val="32"/>
          <w:szCs w:val="32"/>
        </w:rPr>
        <w:t>相超限量使用该物质。</w:t>
      </w:r>
    </w:p>
    <w:p>
      <w:pPr>
        <w:pStyle w:val="2"/>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ascii="Times New Roman" w:hAnsi="Times New Roman" w:eastAsia="黑体" w:cs="Times New Roman"/>
          <w:color w:val="auto"/>
          <w:sz w:val="32"/>
          <w:szCs w:val="32"/>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Lucida Sans"/>
    <w:panose1 w:val="020F0502020204030204"/>
    <w:charset w:val="00"/>
    <w:family w:val="swiss"/>
    <w:pitch w:val="default"/>
    <w:sig w:usb0="00000000" w:usb1="00000000" w:usb2="00000001" w:usb3="00000000" w:csb0="0000019F" w:csb1="00000000"/>
  </w:font>
  <w:font w:name="方正仿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Lucida Sans">
    <w:panose1 w:val="020B0602030504020204"/>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MwNWE5Yzg3NmM1ZGIzNTk1NGIyMTMwNDE3N2M1ZjEifQ=="/>
  </w:docVars>
  <w:rsids>
    <w:rsidRoot w:val="26FD74D4"/>
    <w:rsid w:val="000B411E"/>
    <w:rsid w:val="00151A9D"/>
    <w:rsid w:val="001A70D9"/>
    <w:rsid w:val="0023011A"/>
    <w:rsid w:val="004F0E8C"/>
    <w:rsid w:val="005309A3"/>
    <w:rsid w:val="0057666A"/>
    <w:rsid w:val="008418A6"/>
    <w:rsid w:val="009F6D41"/>
    <w:rsid w:val="00B00F4C"/>
    <w:rsid w:val="00C01778"/>
    <w:rsid w:val="00CB0BBB"/>
    <w:rsid w:val="00CC2FF3"/>
    <w:rsid w:val="00D948F7"/>
    <w:rsid w:val="00E23412"/>
    <w:rsid w:val="00EB6FEC"/>
    <w:rsid w:val="00EC7520"/>
    <w:rsid w:val="00F103C9"/>
    <w:rsid w:val="073656DC"/>
    <w:rsid w:val="140B2B1E"/>
    <w:rsid w:val="166D3649"/>
    <w:rsid w:val="171935C1"/>
    <w:rsid w:val="1AFF6DD3"/>
    <w:rsid w:val="22EA6C69"/>
    <w:rsid w:val="26FD74D4"/>
    <w:rsid w:val="3A432D46"/>
    <w:rsid w:val="411D7BCE"/>
    <w:rsid w:val="42130D0C"/>
    <w:rsid w:val="443E66C0"/>
    <w:rsid w:val="4837129F"/>
    <w:rsid w:val="56934C0E"/>
    <w:rsid w:val="587924B3"/>
    <w:rsid w:val="5ED7C761"/>
    <w:rsid w:val="61821D21"/>
    <w:rsid w:val="68CF56D1"/>
    <w:rsid w:val="75221BB9"/>
    <w:rsid w:val="78517B8A"/>
    <w:rsid w:val="7E62074A"/>
    <w:rsid w:val="C78F2C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2"/>
    <w:basedOn w:val="1"/>
    <w:next w:val="4"/>
    <w:link w:val="13"/>
    <w:semiHidden/>
    <w:unhideWhenUsed/>
    <w:qFormat/>
    <w:uiPriority w:val="0"/>
    <w:pPr>
      <w:keepNext/>
      <w:keepLines/>
      <w:spacing w:before="260" w:after="260" w:line="413" w:lineRule="auto"/>
      <w:outlineLvl w:val="1"/>
    </w:pPr>
    <w:rPr>
      <w:rFonts w:ascii="Arial" w:hAnsi="Arial" w:eastAsia="黑体"/>
      <w:b/>
      <w:sz w:val="30"/>
    </w:rPr>
  </w:style>
  <w:style w:type="paragraph" w:styleId="5">
    <w:name w:val="heading 3"/>
    <w:basedOn w:val="1"/>
    <w:next w:val="1"/>
    <w:link w:val="12"/>
    <w:semiHidden/>
    <w:unhideWhenUsed/>
    <w:qFormat/>
    <w:uiPriority w:val="0"/>
    <w:pPr>
      <w:keepNext/>
      <w:keepLines/>
      <w:spacing w:before="260" w:after="260" w:line="413" w:lineRule="auto"/>
      <w:outlineLvl w:val="2"/>
    </w:pPr>
    <w:rPr>
      <w:rFonts w:eastAsia="方正仿宋_GBK"/>
      <w:b/>
      <w:sz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4">
    <w:name w:val="Normal Indent"/>
    <w:basedOn w:val="1"/>
    <w:qFormat/>
    <w:uiPriority w:val="0"/>
    <w:pPr>
      <w:ind w:firstLine="420" w:firstLineChars="200"/>
    </w:pPr>
  </w:style>
  <w:style w:type="paragraph" w:styleId="6">
    <w:name w:val="footer"/>
    <w:basedOn w:val="1"/>
    <w:unhideWhenUsed/>
    <w:qFormat/>
    <w:uiPriority w:val="99"/>
    <w:pPr>
      <w:tabs>
        <w:tab w:val="center" w:pos="4153"/>
        <w:tab w:val="right" w:pos="8306"/>
      </w:tabs>
      <w:snapToGrid w:val="0"/>
      <w:spacing w:line="240" w:lineRule="atLeast"/>
      <w:ind w:firstLine="200" w:firstLineChars="200"/>
      <w:jc w:val="left"/>
    </w:pPr>
    <w:rPr>
      <w:rFonts w:ascii="Times New Roman" w:hAnsi="Times New Roman" w:eastAsia="仿宋_GB2312"/>
      <w:sz w:val="18"/>
      <w:szCs w:val="18"/>
    </w:rPr>
  </w:style>
  <w:style w:type="paragraph" w:styleId="7">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character" w:styleId="10">
    <w:name w:val="Strong"/>
    <w:qFormat/>
    <w:uiPriority w:val="22"/>
    <w:rPr>
      <w:b/>
      <w:bCs/>
    </w:rPr>
  </w:style>
  <w:style w:type="character" w:styleId="11">
    <w:name w:val="Hyperlink"/>
    <w:basedOn w:val="9"/>
    <w:qFormat/>
    <w:uiPriority w:val="0"/>
    <w:rPr>
      <w:color w:val="0000FF"/>
      <w:u w:val="single"/>
    </w:rPr>
  </w:style>
  <w:style w:type="character" w:customStyle="1" w:styleId="12">
    <w:name w:val="标题 3 Char"/>
    <w:basedOn w:val="9"/>
    <w:link w:val="5"/>
    <w:qFormat/>
    <w:uiPriority w:val="0"/>
    <w:rPr>
      <w:rFonts w:eastAsia="方正仿宋_GBK" w:cs="方正仿宋_GBK" w:asciiTheme="minorHAnsi" w:hAnsiTheme="minorHAnsi"/>
      <w:b/>
      <w:bCs/>
      <w:sz w:val="30"/>
      <w:szCs w:val="30"/>
    </w:rPr>
  </w:style>
  <w:style w:type="character" w:customStyle="1" w:styleId="13">
    <w:name w:val="标题 2 Char"/>
    <w:link w:val="3"/>
    <w:qFormat/>
    <w:uiPriority w:val="0"/>
    <w:rPr>
      <w:rFonts w:ascii="Arial" w:hAnsi="Arial" w:eastAsia="黑体"/>
      <w:b/>
      <w:sz w:val="30"/>
    </w:rPr>
  </w:style>
  <w:style w:type="character" w:customStyle="1" w:styleId="14">
    <w:name w:val="页眉 Char"/>
    <w:basedOn w:val="9"/>
    <w:link w:val="7"/>
    <w:qFormat/>
    <w:uiPriority w:val="0"/>
    <w:rPr>
      <w:rFonts w:asciiTheme="minorHAnsi" w:hAnsiTheme="minorHAnsi" w:eastAsiaTheme="minorEastAsia" w:cstheme="minorBidi"/>
      <w:kern w:val="2"/>
      <w:sz w:val="18"/>
      <w:szCs w:val="18"/>
    </w:rPr>
  </w:style>
  <w:style w:type="paragraph" w:customStyle="1" w:styleId="15">
    <w:name w:val="one-p"/>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styleId="16">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196</Words>
  <Characters>1122</Characters>
  <Lines>9</Lines>
  <Paragraphs>2</Paragraphs>
  <TotalTime>1</TotalTime>
  <ScaleCrop>false</ScaleCrop>
  <LinksUpToDate>false</LinksUpToDate>
  <CharactersWithSpaces>1316</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2021-08-05T22:47:00Z</dcterms:created>
  <dc:creator>王熏熏</dc:creator>
  <cp:lastModifiedBy>user</cp:lastModifiedBy>
  <cp:lastPrinted>2021-11-05T18:24:00Z</cp:lastPrinted>
  <dcterms:modified xsi:type="dcterms:W3CDTF">2023-09-21T15:07:52Z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ED94B3C5CCA54CD28AFDD0B8CB785C92</vt:lpwstr>
  </property>
</Properties>
</file>