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ageBreakBefore/>
        <w:adjustRightInd w:val="0"/>
        <w:spacing w:line="600" w:lineRule="exact"/>
        <w:rPr>
          <w:rFonts w:ascii="Times New Roman" w:hAnsi="Times New Roman" w:eastAsia="黑体" w:cs="Times New Roman"/>
          <w:sz w:val="32"/>
          <w:szCs w:val="32"/>
        </w:rPr>
      </w:pPr>
      <w:r>
        <w:rPr>
          <w:rFonts w:ascii="Times New Roman" w:hAnsi="Times New Roman" w:eastAsia="黑体" w:cs="Times New Roman"/>
          <w:sz w:val="32"/>
          <w:szCs w:val="32"/>
        </w:rPr>
        <w:t>附件1</w:t>
      </w:r>
    </w:p>
    <w:p>
      <w:pPr>
        <w:adjustRightInd w:val="0"/>
        <w:spacing w:line="60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adjustRightInd w:val="0"/>
        <w:spacing w:line="600" w:lineRule="exact"/>
        <w:jc w:val="center"/>
        <w:outlineLvl w:val="0"/>
        <w:rPr>
          <w:rFonts w:ascii="Times New Roman" w:hAnsi="Times New Roman" w:eastAsia="方正小标宋简体" w:cs="Times New Roman"/>
          <w:sz w:val="44"/>
          <w:szCs w:val="44"/>
        </w:rPr>
      </w:pPr>
      <w:r>
        <w:rPr>
          <w:rFonts w:ascii="Times New Roman" w:hAnsi="Times New Roman" w:eastAsia="方正小标宋简体" w:cs="Times New Roman"/>
          <w:sz w:val="44"/>
          <w:szCs w:val="44"/>
        </w:rPr>
        <w:t>本次检验项目</w:t>
      </w:r>
    </w:p>
    <w:p>
      <w:pPr>
        <w:pStyle w:val="2"/>
        <w:numPr>
          <w:ilvl w:val="0"/>
          <w:numId w:val="0"/>
        </w:numPr>
        <w:ind w:leftChars="200"/>
        <w:rPr>
          <w:rFonts w:hint="eastAsia" w:ascii="Times New Roman" w:hAnsi="Times New Roman" w:eastAsia="黑体" w:cs="Times New Roman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黑体" w:cs="Times New Roman"/>
          <w:sz w:val="32"/>
          <w:szCs w:val="32"/>
        </w:rPr>
        <w:t>一</w:t>
      </w:r>
      <w:r>
        <w:rPr>
          <w:rFonts w:ascii="Times New Roman" w:hAnsi="Times New Roman" w:eastAsia="黑体" w:cs="Times New Roman"/>
          <w:sz w:val="32"/>
          <w:szCs w:val="32"/>
        </w:rPr>
        <w:t>、</w:t>
      </w:r>
      <w:r>
        <w:rPr>
          <w:rFonts w:hint="eastAsia" w:ascii="Times New Roman" w:hAnsi="Times New Roman" w:eastAsia="黑体" w:cs="Times New Roman"/>
          <w:kern w:val="2"/>
          <w:sz w:val="32"/>
          <w:szCs w:val="32"/>
          <w:lang w:val="en-US" w:eastAsia="zh-CN" w:bidi="ar-SA"/>
        </w:rPr>
        <w:t>餐饮食品</w:t>
      </w:r>
    </w:p>
    <w:p>
      <w:pPr>
        <w:adjustRightInd w:val="0"/>
        <w:spacing w:line="600" w:lineRule="exact"/>
        <w:ind w:firstLine="640" w:firstLineChars="200"/>
        <w:outlineLvl w:val="1"/>
        <w:rPr>
          <w:rFonts w:ascii="Times New Roman" w:hAnsi="Times New Roman" w:eastAsia="楷体_GB2312" w:cs="Times New Roman"/>
          <w:bCs/>
          <w:sz w:val="32"/>
          <w:szCs w:val="32"/>
        </w:rPr>
      </w:pPr>
      <w:r>
        <w:rPr>
          <w:rFonts w:ascii="Times New Roman" w:hAnsi="Times New Roman" w:eastAsia="楷体_GB2312" w:cs="Times New Roman"/>
          <w:bCs/>
          <w:sz w:val="32"/>
          <w:szCs w:val="32"/>
        </w:rPr>
        <w:t>（一）抽检依据</w:t>
      </w:r>
    </w:p>
    <w:p>
      <w:pPr>
        <w:pStyle w:val="2"/>
        <w:numPr>
          <w:ilvl w:val="0"/>
          <w:numId w:val="0"/>
        </w:numPr>
        <w:ind w:firstLine="640" w:firstLineChars="200"/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</w:pPr>
      <w:r>
        <w:rPr>
          <w:rFonts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抽检依据为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整顿办函〔2011〕1号</w:t>
      </w:r>
      <w:r>
        <w:rPr>
          <w:rFonts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等标准及产品明示标准和质量要求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。</w:t>
      </w:r>
    </w:p>
    <w:p>
      <w:pPr>
        <w:numPr>
          <w:ilvl w:val="0"/>
          <w:numId w:val="0"/>
        </w:numPr>
        <w:adjustRightInd w:val="0"/>
        <w:spacing w:line="600" w:lineRule="exact"/>
        <w:ind w:firstLine="640" w:firstLineChars="200"/>
        <w:outlineLvl w:val="1"/>
        <w:rPr>
          <w:rFonts w:ascii="Times New Roman" w:hAnsi="Times New Roman" w:eastAsia="楷体_GB2312" w:cs="Times New Roman"/>
          <w:bCs/>
          <w:sz w:val="32"/>
          <w:szCs w:val="32"/>
        </w:rPr>
      </w:pPr>
      <w:r>
        <w:rPr>
          <w:rFonts w:hint="eastAsia" w:ascii="Times New Roman" w:hAnsi="Times New Roman" w:eastAsia="楷体_GB2312" w:cs="Times New Roman"/>
          <w:bCs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楷体_GB2312" w:cs="Times New Roman"/>
          <w:bCs/>
          <w:sz w:val="32"/>
          <w:szCs w:val="32"/>
          <w:lang w:val="en-US" w:eastAsia="zh-CN"/>
        </w:rPr>
        <w:t>二</w:t>
      </w:r>
      <w:r>
        <w:rPr>
          <w:rFonts w:hint="eastAsia" w:ascii="Times New Roman" w:hAnsi="Times New Roman" w:eastAsia="楷体_GB2312" w:cs="Times New Roman"/>
          <w:bCs/>
          <w:sz w:val="32"/>
          <w:szCs w:val="32"/>
          <w:lang w:eastAsia="zh-CN"/>
        </w:rPr>
        <w:t>）</w:t>
      </w:r>
      <w:r>
        <w:rPr>
          <w:rFonts w:ascii="Times New Roman" w:hAnsi="Times New Roman" w:eastAsia="楷体_GB2312" w:cs="Times New Roman"/>
          <w:bCs/>
          <w:sz w:val="32"/>
          <w:szCs w:val="32"/>
        </w:rPr>
        <w:t>检验项目</w:t>
      </w:r>
    </w:p>
    <w:p>
      <w:pPr>
        <w:pStyle w:val="2"/>
        <w:numPr>
          <w:ilvl w:val="0"/>
          <w:numId w:val="0"/>
        </w:numPr>
        <w:ind w:firstLine="640" w:firstLineChars="200"/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餐饮食品的检验项目包括罂粟碱、吗啡、可待因、那可丁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40" w:lineRule="exact"/>
        <w:ind w:firstLine="640" w:firstLineChars="200"/>
        <w:textAlignment w:val="auto"/>
        <w:rPr>
          <w:rFonts w:hint="eastAsia" w:ascii="Times New Roman" w:hAnsi="Times New Roman" w:eastAsia="黑体" w:cs="Times New Roman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黑体" w:cs="Times New Roman"/>
          <w:sz w:val="32"/>
          <w:szCs w:val="32"/>
          <w:lang w:val="en-US" w:eastAsia="zh-CN"/>
        </w:rPr>
        <w:t>二、</w:t>
      </w:r>
      <w:r>
        <w:rPr>
          <w:rFonts w:hint="eastAsia" w:ascii="Times New Roman" w:hAnsi="Times New Roman" w:eastAsia="黑体" w:cs="Times New Roman"/>
          <w:kern w:val="2"/>
          <w:sz w:val="32"/>
          <w:szCs w:val="32"/>
          <w:lang w:val="en-US" w:eastAsia="zh-CN" w:bidi="ar-SA"/>
        </w:rPr>
        <w:t>粮食加工品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40" w:lineRule="exact"/>
        <w:ind w:firstLine="640" w:firstLineChars="200"/>
        <w:textAlignment w:val="auto"/>
        <w:outlineLvl w:val="1"/>
        <w:rPr>
          <w:rFonts w:ascii="Times New Roman" w:hAnsi="Times New Roman" w:eastAsia="楷体_GB2312" w:cs="Times New Roman"/>
          <w:bCs/>
          <w:sz w:val="32"/>
          <w:szCs w:val="32"/>
        </w:rPr>
      </w:pPr>
      <w:r>
        <w:rPr>
          <w:rFonts w:ascii="Times New Roman" w:hAnsi="Times New Roman" w:eastAsia="楷体_GB2312" w:cs="Times New Roman"/>
          <w:bCs/>
          <w:sz w:val="32"/>
          <w:szCs w:val="32"/>
        </w:rPr>
        <w:t>（一）抽检依据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napToGrid/>
        <w:spacing w:line="540" w:lineRule="exact"/>
        <w:ind w:firstLine="640" w:firstLineChars="200"/>
        <w:textAlignment w:val="auto"/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抽检依据为 《食品安全国家标准 食品添加剂使用标准》（GB 2760-2014），《食品安全国家标准 食品中真菌毒素限量》（GB 2761-2017）等标准及产品明示标准和质量要求。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540" w:lineRule="exact"/>
        <w:ind w:firstLine="640" w:firstLineChars="200"/>
        <w:textAlignment w:val="auto"/>
        <w:outlineLvl w:val="1"/>
        <w:rPr>
          <w:rFonts w:ascii="Times New Roman" w:hAnsi="Times New Roman" w:eastAsia="楷体_GB2312" w:cs="Times New Roman"/>
          <w:bCs/>
          <w:sz w:val="32"/>
          <w:szCs w:val="32"/>
        </w:rPr>
      </w:pPr>
      <w:r>
        <w:rPr>
          <w:rFonts w:hint="eastAsia" w:ascii="Times New Roman" w:hAnsi="Times New Roman" w:eastAsia="楷体_GB2312" w:cs="Times New Roman"/>
          <w:bCs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楷体_GB2312" w:cs="Times New Roman"/>
          <w:bCs/>
          <w:sz w:val="32"/>
          <w:szCs w:val="32"/>
          <w:lang w:val="en-US" w:eastAsia="zh-CN"/>
        </w:rPr>
        <w:t>二</w:t>
      </w:r>
      <w:r>
        <w:rPr>
          <w:rFonts w:hint="eastAsia" w:ascii="Times New Roman" w:hAnsi="Times New Roman" w:eastAsia="楷体_GB2312" w:cs="Times New Roman"/>
          <w:bCs/>
          <w:sz w:val="32"/>
          <w:szCs w:val="32"/>
          <w:lang w:eastAsia="zh-CN"/>
        </w:rPr>
        <w:t>）</w:t>
      </w:r>
      <w:r>
        <w:rPr>
          <w:rFonts w:ascii="Times New Roman" w:hAnsi="Times New Roman" w:eastAsia="楷体_GB2312" w:cs="Times New Roman"/>
          <w:bCs/>
          <w:sz w:val="32"/>
          <w:szCs w:val="32"/>
        </w:rPr>
        <w:t>检验项目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napToGrid/>
        <w:spacing w:line="540" w:lineRule="exact"/>
        <w:ind w:firstLine="640" w:firstLineChars="200"/>
        <w:textAlignment w:val="auto"/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粮食加工品的检验项目包括镉（以Cd计）、铅（以Pb计）、玉米赤霉烯酮、脱氧雪腐镰刀菌烯醇、赭曲霉毒素A、黄曲霉毒素B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vertAlign w:val="subscript"/>
          <w:lang w:val="en-US" w:eastAsia="zh-CN" w:bidi="ar-SA"/>
        </w:rPr>
        <w:t>1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、过氧化苯甲酰。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napToGrid/>
        <w:spacing w:line="540" w:lineRule="exact"/>
        <w:ind w:leftChars="200" w:firstLine="320" w:firstLineChars="100"/>
        <w:textAlignment w:val="auto"/>
        <w:rPr>
          <w:rFonts w:hint="eastAsia" w:ascii="Times New Roman" w:hAnsi="Times New Roman" w:eastAsia="黑体" w:cs="Times New Roman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黑体" w:cs="Times New Roman"/>
          <w:kern w:val="2"/>
          <w:sz w:val="32"/>
          <w:szCs w:val="32"/>
          <w:lang w:val="en-US" w:eastAsia="zh-CN" w:bidi="ar-SA"/>
        </w:rPr>
        <w:t>三、食用农产品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40" w:lineRule="exact"/>
        <w:ind w:firstLine="640" w:firstLineChars="200"/>
        <w:textAlignment w:val="auto"/>
        <w:outlineLvl w:val="1"/>
        <w:rPr>
          <w:rFonts w:ascii="Times New Roman" w:hAnsi="Times New Roman" w:eastAsia="楷体_GB2312" w:cs="Times New Roman"/>
          <w:bCs/>
          <w:sz w:val="32"/>
          <w:szCs w:val="32"/>
        </w:rPr>
      </w:pPr>
      <w:r>
        <w:rPr>
          <w:rFonts w:ascii="Times New Roman" w:hAnsi="Times New Roman" w:eastAsia="楷体_GB2312" w:cs="Times New Roman"/>
          <w:bCs/>
          <w:sz w:val="32"/>
          <w:szCs w:val="32"/>
        </w:rPr>
        <w:t>（一）抽检依据</w:t>
      </w:r>
    </w:p>
    <w:p>
      <w:pPr>
        <w:pStyle w:val="2"/>
        <w:numPr>
          <w:ilvl w:val="0"/>
          <w:numId w:val="0"/>
        </w:numPr>
        <w:ind w:firstLine="640" w:firstLineChars="200"/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抽检依据为《食品安全国家标准 食品中兽药最大残留限量》（GB 31650-2019）、农业农村部公告 第250号、农业部公告 第560号、《食品安全国家标准 食品中农药最大残留限量》（GB 2763-2019）、《食品安全国家标准 食品中农药最大残留限量》（GB 2763-2019）等标准及产品明示标准和质量要求。</w:t>
      </w:r>
    </w:p>
    <w:p>
      <w:pPr>
        <w:numPr>
          <w:ilvl w:val="0"/>
          <w:numId w:val="0"/>
        </w:numPr>
        <w:adjustRightInd w:val="0"/>
        <w:spacing w:line="600" w:lineRule="exact"/>
        <w:ind w:firstLine="640" w:firstLineChars="200"/>
        <w:outlineLvl w:val="1"/>
        <w:rPr>
          <w:rFonts w:ascii="Times New Roman" w:hAnsi="Times New Roman" w:eastAsia="楷体_GB2312" w:cs="Times New Roman"/>
          <w:bCs/>
          <w:sz w:val="32"/>
          <w:szCs w:val="32"/>
        </w:rPr>
      </w:pPr>
      <w:r>
        <w:rPr>
          <w:rFonts w:hint="eastAsia" w:ascii="Times New Roman" w:hAnsi="Times New Roman" w:eastAsia="楷体_GB2312" w:cs="Times New Roman"/>
          <w:bCs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楷体_GB2312" w:cs="Times New Roman"/>
          <w:bCs/>
          <w:sz w:val="32"/>
          <w:szCs w:val="32"/>
          <w:lang w:val="en-US" w:eastAsia="zh-CN"/>
        </w:rPr>
        <w:t>二</w:t>
      </w:r>
      <w:r>
        <w:rPr>
          <w:rFonts w:hint="eastAsia" w:ascii="Times New Roman" w:hAnsi="Times New Roman" w:eastAsia="楷体_GB2312" w:cs="Times New Roman"/>
          <w:bCs/>
          <w:sz w:val="32"/>
          <w:szCs w:val="32"/>
          <w:lang w:eastAsia="zh-CN"/>
        </w:rPr>
        <w:t>）</w:t>
      </w:r>
      <w:r>
        <w:rPr>
          <w:rFonts w:ascii="Times New Roman" w:hAnsi="Times New Roman" w:eastAsia="楷体_GB2312" w:cs="Times New Roman"/>
          <w:bCs/>
          <w:sz w:val="32"/>
          <w:szCs w:val="32"/>
        </w:rPr>
        <w:t>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40" w:lineRule="exact"/>
        <w:ind w:firstLine="640" w:firstLineChars="200"/>
        <w:textAlignment w:val="auto"/>
        <w:rPr>
          <w:rFonts w:ascii="Times New Roman" w:hAnsi="Times New Roman" w:eastAsia="仿宋_GB2312" w:cs="Times New Roman"/>
          <w:kern w:val="0"/>
          <w:sz w:val="32"/>
          <w:szCs w:val="32"/>
        </w:rPr>
      </w:pP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食用农产品的检验项目包括氯霉素、氟苯尼考、甲砜霉素、恩诺沙星、金刚烷胺、金刚乙胺、甲硝唑、地美硝唑、磺胺类（总量）、呋喃唑酮代谢物、氟虫腈、挥发性盐基氮、孔雀石绿、氯霉素、氟苯尼考、呋喃唑酮代谢物、呋喃西林代谢物、恩诺沙星、磺胺类（总量）、甲氧苄啶、地西泮、五氯酚酸钠（以五氯酚计）、氯氰菊酯、溴氰菊酯、镉（以Cd计）、百菌清、吡虫啉、吡唑醚菌酯、丙溴磷、啶虫脒、多菌灵、氟虫腈、甲氨基阿维菌素苯甲酸盐、甲胺磷、甲拌磷、甲基异柳磷、克百威、氯氟氰菊酯和高效氯氟氰菊酯、氯氰菊酯和高效氯氰菊酯、咪鲜胺和咪鲜胺锰盐、噻虫胺、杀扑磷、水胺硫磷、氧乐果、苯醚甲环唑、丙溴磷、克百威、联苯菊酯、氯唑磷、三唑磷、杀虫脒、水胺硫磷、氧乐果、氯氟氰菊酯和高效氯氟氰菊酯、甲拌磷。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napToGrid/>
        <w:spacing w:line="540" w:lineRule="exact"/>
        <w:ind w:leftChars="200" w:firstLine="320" w:firstLineChars="100"/>
        <w:textAlignment w:val="auto"/>
        <w:rPr>
          <w:rFonts w:hint="eastAsia" w:ascii="Times New Roman" w:hAnsi="Times New Roman" w:eastAsia="黑体" w:cs="Times New Roman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黑体" w:cs="Times New Roman"/>
          <w:kern w:val="2"/>
          <w:sz w:val="32"/>
          <w:szCs w:val="32"/>
          <w:lang w:val="en-US" w:eastAsia="zh-CN" w:bidi="ar-SA"/>
        </w:rPr>
        <w:t>四、食用油、油脂及其制品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40" w:lineRule="exact"/>
        <w:ind w:firstLine="640" w:firstLineChars="200"/>
        <w:textAlignment w:val="auto"/>
        <w:outlineLvl w:val="1"/>
        <w:rPr>
          <w:rFonts w:ascii="Times New Roman" w:hAnsi="Times New Roman" w:eastAsia="楷体_GB2312" w:cs="Times New Roman"/>
          <w:bCs/>
          <w:sz w:val="32"/>
          <w:szCs w:val="32"/>
        </w:rPr>
      </w:pPr>
      <w:r>
        <w:rPr>
          <w:rFonts w:ascii="Times New Roman" w:hAnsi="Times New Roman" w:eastAsia="楷体_GB2312" w:cs="Times New Roman"/>
          <w:bCs/>
          <w:sz w:val="32"/>
          <w:szCs w:val="32"/>
        </w:rPr>
        <w:t>（一）抽检依据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napToGrid/>
        <w:spacing w:line="540" w:lineRule="exact"/>
        <w:ind w:firstLine="640" w:firstLineChars="200"/>
        <w:textAlignment w:val="auto"/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抽检依据为《食品安全国家标准 食品添加剂使用标准》（GB 2760-2014）、《菜籽油》（GB/T 1536-2004 ）、《食品安全国家标准 食品中真菌毒素限量》（GB 2761-2017）等标准及产品明示标准和质量要求。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540" w:lineRule="exact"/>
        <w:ind w:firstLine="640" w:firstLineChars="200"/>
        <w:textAlignment w:val="auto"/>
        <w:outlineLvl w:val="1"/>
        <w:rPr>
          <w:rFonts w:ascii="Times New Roman" w:hAnsi="Times New Roman" w:eastAsia="楷体_GB2312" w:cs="Times New Roman"/>
          <w:bCs/>
          <w:sz w:val="32"/>
          <w:szCs w:val="32"/>
        </w:rPr>
      </w:pPr>
      <w:r>
        <w:rPr>
          <w:rFonts w:hint="eastAsia" w:ascii="Times New Roman" w:hAnsi="Times New Roman" w:eastAsia="楷体_GB2312" w:cs="Times New Roman"/>
          <w:bCs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楷体_GB2312" w:cs="Times New Roman"/>
          <w:bCs/>
          <w:sz w:val="32"/>
          <w:szCs w:val="32"/>
          <w:lang w:val="en-US" w:eastAsia="zh-CN"/>
        </w:rPr>
        <w:t>二</w:t>
      </w:r>
      <w:r>
        <w:rPr>
          <w:rFonts w:hint="eastAsia" w:ascii="Times New Roman" w:hAnsi="Times New Roman" w:eastAsia="楷体_GB2312" w:cs="Times New Roman"/>
          <w:bCs/>
          <w:sz w:val="32"/>
          <w:szCs w:val="32"/>
          <w:lang w:eastAsia="zh-CN"/>
        </w:rPr>
        <w:t>）</w:t>
      </w:r>
      <w:r>
        <w:rPr>
          <w:rFonts w:ascii="Times New Roman" w:hAnsi="Times New Roman" w:eastAsia="楷体_GB2312" w:cs="Times New Roman"/>
          <w:bCs/>
          <w:sz w:val="32"/>
          <w:szCs w:val="32"/>
        </w:rPr>
        <w:t>检验项目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napToGrid/>
        <w:spacing w:line="540" w:lineRule="exact"/>
        <w:ind w:firstLine="640" w:firstLineChars="200"/>
        <w:textAlignment w:val="auto"/>
        <w:rPr>
          <w:sz w:val="32"/>
          <w:szCs w:val="32"/>
        </w:rPr>
      </w:pP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食用油、油脂及其制品的检验项目包括酸值/酸价、过氧化值、黄曲霉毒素B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vertAlign w:val="subscript"/>
          <w:lang w:val="en-US" w:eastAsia="zh-CN" w:bidi="ar-SA"/>
        </w:rPr>
        <w:t>1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、溶剂残留量、特丁基对苯二酚（TBHQ）、乙基麦芽酚。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TimesNewRoman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方正小标宋简体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8112CF3"/>
    <w:rsid w:val="049467C2"/>
    <w:rsid w:val="073656DC"/>
    <w:rsid w:val="12A5535A"/>
    <w:rsid w:val="15AA6BD0"/>
    <w:rsid w:val="171935C1"/>
    <w:rsid w:val="199B4512"/>
    <w:rsid w:val="1AFF6DD3"/>
    <w:rsid w:val="22EA6C69"/>
    <w:rsid w:val="28497181"/>
    <w:rsid w:val="2F172616"/>
    <w:rsid w:val="38112CF3"/>
    <w:rsid w:val="3A432D46"/>
    <w:rsid w:val="3E0A67DA"/>
    <w:rsid w:val="411D7BCE"/>
    <w:rsid w:val="42130D0C"/>
    <w:rsid w:val="45907C1B"/>
    <w:rsid w:val="4837129F"/>
    <w:rsid w:val="4FF376C4"/>
    <w:rsid w:val="56934C0E"/>
    <w:rsid w:val="5858451A"/>
    <w:rsid w:val="587924B3"/>
    <w:rsid w:val="591C18AD"/>
    <w:rsid w:val="68CF56D1"/>
    <w:rsid w:val="78517B8A"/>
    <w:rsid w:val="7B2B3E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3">
    <w:name w:val="heading 2"/>
    <w:basedOn w:val="1"/>
    <w:next w:val="4"/>
    <w:link w:val="11"/>
    <w:semiHidden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0"/>
    </w:rPr>
  </w:style>
  <w:style w:type="paragraph" w:styleId="5">
    <w:name w:val="heading 3"/>
    <w:basedOn w:val="1"/>
    <w:next w:val="1"/>
    <w:link w:val="10"/>
    <w:semiHidden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rFonts w:eastAsia="方正仿宋_GBK" w:asciiTheme="minorAscii" w:hAnsiTheme="minorAscii"/>
      <w:b/>
      <w:sz w:val="32"/>
    </w:rPr>
  </w:style>
  <w:style w:type="character" w:default="1" w:styleId="9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 w:afterLines="0" w:afterAutospacing="0"/>
    </w:pPr>
  </w:style>
  <w:style w:type="paragraph" w:styleId="4">
    <w:name w:val="Normal Indent"/>
    <w:basedOn w:val="1"/>
    <w:qFormat/>
    <w:uiPriority w:val="0"/>
    <w:pPr>
      <w:ind w:firstLine="420" w:firstLineChars="200"/>
    </w:pPr>
  </w:style>
  <w:style w:type="paragraph" w:styleId="6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7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customStyle="1" w:styleId="10">
    <w:name w:val="标题 3 Char"/>
    <w:basedOn w:val="9"/>
    <w:link w:val="5"/>
    <w:qFormat/>
    <w:uiPriority w:val="0"/>
    <w:rPr>
      <w:rFonts w:eastAsia="方正仿宋_GBK" w:cs="方正仿宋_GBK" w:asciiTheme="minorAscii" w:hAnsiTheme="minorAscii"/>
      <w:b/>
      <w:bCs/>
      <w:sz w:val="30"/>
      <w:szCs w:val="30"/>
    </w:rPr>
  </w:style>
  <w:style w:type="character" w:customStyle="1" w:styleId="11">
    <w:name w:val="标题 2 Char"/>
    <w:link w:val="3"/>
    <w:qFormat/>
    <w:uiPriority w:val="0"/>
    <w:rPr>
      <w:rFonts w:ascii="Arial" w:hAnsi="Arial" w:eastAsia="黑体"/>
      <w:b/>
      <w:sz w:val="30"/>
    </w:rPr>
  </w:style>
  <w:style w:type="character" w:customStyle="1" w:styleId="12">
    <w:name w:val="fontstyle01"/>
    <w:qFormat/>
    <w:uiPriority w:val="0"/>
    <w:rPr>
      <w:rFonts w:hint="eastAsia" w:ascii="仿宋_GB2312" w:eastAsia="仿宋_GB2312"/>
      <w:color w:val="000000"/>
      <w:sz w:val="22"/>
      <w:szCs w:val="22"/>
    </w:rPr>
  </w:style>
  <w:style w:type="character" w:customStyle="1" w:styleId="13">
    <w:name w:val="fontstyle21"/>
    <w:qFormat/>
    <w:uiPriority w:val="0"/>
    <w:rPr>
      <w:rFonts w:hint="default" w:ascii="TimesNewRoman" w:hAnsi="TimesNewRoman"/>
      <w:color w:val="000000"/>
      <w:sz w:val="22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Office_11.1.0.11194_F1E327BC-269C-435d-A152-05C5408002CA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2021-08-05T02:44:00Z</dcterms:created>
  <dc:creator>王熏熏</dc:creator>
  <cp:lastModifiedBy>王熏熏</cp:lastModifiedBy>
  <dcterms:modified xsi:type="dcterms:W3CDTF">2021-12-23T03:12:55Z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2052-11.1.0.11194</vt:lpwstr>
  </property>
  <property fmtid="{D5CDD505-2E9C-101B-9397-08002B2CF9AE}" pid="3" name="ICV">
    <vt:lpwstr>D131FF9A5D4D4B82808092E20C45EF0C</vt:lpwstr>
  </property>
</Properties>
</file>