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eastAsia="黑体" w:cs="黑体"/>
          <w:sz w:val="32"/>
          <w:szCs w:val="32"/>
          <w:lang w:val="en-US" w:eastAsia="zh-CN" w:bidi="ar-SA"/>
        </w:rPr>
      </w:pPr>
      <w:r>
        <w:rPr>
          <w:rFonts w:hint="eastAsia" w:ascii="黑体" w:eastAsia="黑体" w:cs="黑体"/>
          <w:sz w:val="32"/>
          <w:szCs w:val="32"/>
          <w:lang w:eastAsia="zh-CN" w:bidi="ar-SA"/>
        </w:rPr>
        <w:t>附件</w:t>
      </w:r>
      <w:r>
        <w:rPr>
          <w:rFonts w:hint="eastAsia" w:ascii="黑体" w:eastAsia="黑体" w:cs="黑体"/>
          <w:sz w:val="32"/>
          <w:szCs w:val="32"/>
          <w:lang w:val="en-US" w:eastAsia="zh-CN" w:bidi="ar-SA"/>
        </w:rPr>
        <w:t>4</w:t>
      </w:r>
    </w:p>
    <w:p>
      <w:pPr>
        <w:spacing w:line="600" w:lineRule="exact"/>
        <w:jc w:val="center"/>
        <w:rPr>
          <w:rStyle w:val="12"/>
          <w:rFonts w:ascii="Times New Roman" w:hAnsi="Times New Roman" w:eastAsia="方正小标宋简体" w:cs="Times New Roman"/>
          <w:b w:val="0"/>
          <w:sz w:val="44"/>
          <w:szCs w:val="44"/>
        </w:rPr>
      </w:pPr>
      <w:r>
        <w:rPr>
          <w:rStyle w:val="12"/>
          <w:rFonts w:ascii="Times New Roman" w:hAnsi="Times New Roman" w:eastAsia="方正小标宋简体" w:cs="Times New Roman"/>
          <w:b w:val="0"/>
          <w:sz w:val="44"/>
          <w:szCs w:val="44"/>
        </w:rPr>
        <w:t>不合格项目解读</w:t>
      </w:r>
    </w:p>
    <w:p>
      <w:pPr>
        <w:spacing w:line="600" w:lineRule="exact"/>
        <w:jc w:val="center"/>
        <w:rPr>
          <w:rFonts w:ascii="黑体" w:hAnsi="黑体" w:eastAsia="黑体"/>
          <w:color w:val="FF0000"/>
          <w:sz w:val="32"/>
          <w:szCs w:val="32"/>
        </w:rPr>
      </w:pPr>
    </w:p>
    <w:p>
      <w:pPr>
        <w:keepNext w:val="0"/>
        <w:keepLines w:val="0"/>
        <w:pageBreakBefore w:val="0"/>
        <w:widowControl/>
        <w:suppressLineNumbers w:val="0"/>
        <w:suppressAutoHyphens/>
        <w:kinsoku/>
        <w:wordWrap/>
        <w:overflowPunct/>
        <w:topLinePunct w:val="0"/>
        <w:autoSpaceDE/>
        <w:autoSpaceDN/>
        <w:spacing w:line="570" w:lineRule="exact"/>
        <w:ind w:firstLine="640" w:firstLineChars="200"/>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一、餐饮食品不合格项目阴离子合成洗涤剂解读</w:t>
      </w:r>
    </w:p>
    <w:p>
      <w:pPr>
        <w:keepNext w:val="0"/>
        <w:keepLines w:val="0"/>
        <w:pageBreakBefore w:val="0"/>
        <w:widowControl/>
        <w:suppressLineNumbers w:val="0"/>
        <w:suppressAutoHyphens/>
        <w:kinsoku/>
        <w:wordWrap/>
        <w:overflowPunct/>
        <w:topLinePunct w:val="0"/>
        <w:autoSpaceDE/>
        <w:autoSpaceDN/>
        <w:spacing w:line="57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阴离子合成洗涤剂是日常生活中经常用到的洗衣粉、洗洁精、洗衣液、肥皂等洗涤剂的主要成分，其主要成分是十二烷基磺酸钠，是一种低毒的化学物质，它具有使用方便、易溶解、稳定性好、成本低等优点，被我们在日常生活中广泛使用。但是，如果餐具清洗不干净,就会造成洗涤剂在餐具上的残留,对人体的健康产生不良影响。复用消毒餐具中阴离子合成洗涤剂的含量应符合国家强制性标准GB 14934-2016《食品安全国家标准 消毒餐（饮）具》的规定，标准中规定阴离子合成洗涤剂（以十二烷基苯磺酸钠计）的限量要求为“不得检出”，也就是说复用餐具在清洗消毒过程中使用的洗消剂应彻底清洗干净，消毒待使用的餐具中阴离子合成洗涤剂不能有残留。</w:t>
      </w:r>
    </w:p>
    <w:p>
      <w:pPr>
        <w:keepNext w:val="0"/>
        <w:keepLines w:val="0"/>
        <w:pageBreakBefore w:val="0"/>
        <w:widowControl/>
        <w:suppressLineNumbers w:val="0"/>
        <w:suppressAutoHyphens/>
        <w:kinsoku/>
        <w:wordWrap/>
        <w:overflowPunct/>
        <w:topLinePunct w:val="0"/>
        <w:autoSpaceDE/>
        <w:autoSpaceDN/>
        <w:spacing w:line="57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黑体" w:hAnsi="黑体" w:eastAsia="黑体" w:cs="黑体"/>
          <w:kern w:val="2"/>
          <w:sz w:val="32"/>
          <w:szCs w:val="32"/>
          <w:lang w:val="en-US" w:eastAsia="zh-CN" w:bidi="ar-SA"/>
        </w:rPr>
        <w:t>二、餐饮食品不合格项目糖精钠解读</w:t>
      </w:r>
    </w:p>
    <w:p>
      <w:pPr>
        <w:keepNext w:val="0"/>
        <w:keepLines w:val="0"/>
        <w:pageBreakBefore w:val="0"/>
        <w:widowControl/>
        <w:suppressLineNumbers w:val="0"/>
        <w:suppressAutoHyphens/>
        <w:kinsoku/>
        <w:wordWrap/>
        <w:overflowPunct/>
        <w:topLinePunct w:val="0"/>
        <w:autoSpaceDE/>
        <w:autoSpaceDN/>
        <w:spacing w:line="57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糖精钠作为甜味剂添加在食品中已有很多年了，价格低廉，其甜度比蔗糖甜300-500倍，在生物体内不被分解，由肾排出体外。其实糖精钠除了在味觉上引起甜的感觉外，对人体无任何营养价值。馒头检出糖精钠原因可能是企业为增加产品甜味或降低成本而超范围使用。</w:t>
      </w:r>
    </w:p>
    <w:p>
      <w:pPr>
        <w:keepNext w:val="0"/>
        <w:keepLines w:val="0"/>
        <w:pageBreakBefore w:val="0"/>
        <w:widowControl/>
        <w:suppressLineNumbers w:val="0"/>
        <w:suppressAutoHyphens/>
        <w:kinsoku/>
        <w:wordWrap/>
        <w:overflowPunct/>
        <w:topLinePunct w:val="0"/>
        <w:autoSpaceDE/>
        <w:autoSpaceDN/>
        <w:spacing w:line="570" w:lineRule="exact"/>
        <w:ind w:firstLine="640" w:firstLineChars="200"/>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三、餐饮食品（油条）不合格项目铝的残留量(干样品，以Al计)解读</w:t>
      </w:r>
    </w:p>
    <w:p>
      <w:pPr>
        <w:keepNext w:val="0"/>
        <w:keepLines w:val="0"/>
        <w:pageBreakBefore w:val="0"/>
        <w:widowControl/>
        <w:suppressLineNumbers w:val="0"/>
        <w:suppressAutoHyphens/>
        <w:kinsoku/>
        <w:wordWrap/>
        <w:overflowPunct/>
        <w:topLinePunct w:val="0"/>
        <w:autoSpaceDE/>
        <w:autoSpaceDN/>
        <w:spacing w:line="570" w:lineRule="exact"/>
        <w:ind w:firstLine="640" w:firstLineChars="200"/>
        <w:rPr>
          <w:rFonts w:hint="eastAsia"/>
          <w:lang w:val="en-US" w:eastAsia="zh-CN"/>
        </w:rPr>
      </w:pPr>
      <w:r>
        <w:rPr>
          <w:rFonts w:hint="eastAsia" w:ascii="仿宋_GB2312" w:hAnsi="仿宋_GB2312" w:eastAsia="仿宋_GB2312" w:cs="仿宋_GB2312"/>
          <w:kern w:val="2"/>
          <w:sz w:val="32"/>
          <w:szCs w:val="32"/>
          <w:lang w:val="en-US" w:eastAsia="zh-CN" w:bidi="ar-SA"/>
        </w:rPr>
        <w:t>铝属于低毒金属，但人体摄入后，只有少量铝排出体外，大量铝会在人体蓄积。长期食用铝超标的食物会损伤大脑。《食品安全国家标准 食品添加剂使用标准》（GB 2760-2014）规定硫酸铝钾（钾明矾）、硫酸铝氨（铵明矾）在油炸面制品中铝的残留量（干样品，以Al计）≤100mg/kg。油条中铝的残留量不合格的原因可能是商家为了改善口感超量使用硫酸铝钾（钾明矾）、硫酸铝氨（铵明矾）。</w:t>
      </w:r>
    </w:p>
    <w:p>
      <w:pPr>
        <w:keepNext w:val="0"/>
        <w:keepLines w:val="0"/>
        <w:pageBreakBefore w:val="0"/>
        <w:widowControl/>
        <w:suppressLineNumbers w:val="0"/>
        <w:suppressAutoHyphens/>
        <w:kinsoku/>
        <w:wordWrap/>
        <w:overflowPunct/>
        <w:topLinePunct w:val="0"/>
        <w:autoSpaceDE/>
        <w:autoSpaceDN/>
        <w:spacing w:line="570" w:lineRule="exact"/>
        <w:ind w:firstLine="640" w:firstLineChars="200"/>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四、食用农产品(辣椒)</w:t>
      </w:r>
      <w:r>
        <w:rPr>
          <w:rFonts w:hint="eastAsia" w:ascii="黑体" w:hAnsi="黑体" w:eastAsia="黑体" w:cs="黑体"/>
          <w:kern w:val="2"/>
          <w:sz w:val="32"/>
          <w:szCs w:val="32"/>
          <w:lang w:val="en-US" w:eastAsia="zh-CN" w:bidi="ar-SA"/>
        </w:rPr>
        <w:t>不合格项目镉（以Cd计）解读</w:t>
      </w:r>
    </w:p>
    <w:p>
      <w:pPr>
        <w:keepNext w:val="0"/>
        <w:keepLines w:val="0"/>
        <w:pageBreakBefore w:val="0"/>
        <w:widowControl/>
        <w:suppressLineNumbers w:val="0"/>
        <w:suppressAutoHyphens/>
        <w:kinsoku/>
        <w:wordWrap/>
        <w:overflowPunct/>
        <w:topLinePunct w:val="0"/>
        <w:autoSpaceDE/>
        <w:autoSpaceDN/>
        <w:spacing w:line="570" w:lineRule="exact"/>
        <w:ind w:firstLine="640" w:firstLineChars="200"/>
        <w:rPr>
          <w:rFonts w:hint="eastAsia" w:ascii="黑体" w:hAnsi="黑体" w:eastAsia="黑体" w:cs="黑体"/>
          <w:kern w:val="2"/>
          <w:sz w:val="32"/>
          <w:szCs w:val="32"/>
          <w:lang w:val="en-US" w:eastAsia="zh-CN" w:bidi="ar-SA"/>
        </w:rPr>
      </w:pPr>
      <w:r>
        <w:rPr>
          <w:rFonts w:hint="eastAsia" w:ascii="仿宋_GB2312" w:hAnsi="仿宋_GB2312" w:eastAsia="仿宋_GB2312" w:cs="仿宋_GB2312"/>
          <w:kern w:val="2"/>
          <w:sz w:val="32"/>
          <w:szCs w:val="32"/>
          <w:lang w:val="en-US" w:eastAsia="zh-CN" w:bidi="ar-SA"/>
        </w:rPr>
        <w:t>镉是一种蓄积性的重金属元素，可通过食物链进入人体。长期食用镉超标的食品，可能会对人体肾脏和肝脏造成损害，还会影响免疫系统。《食品安全国家标准 食品中污染物限量》（GB 2762-2017）中规定，辣椒中镉（以Cd计）的限量值为0.05mg/kg。辣椒中镉（以Cd计）检测值超标的原因，可能是由于其生长过程中富集环境的镉元素导致。</w:t>
      </w:r>
    </w:p>
    <w:p>
      <w:pPr>
        <w:keepNext w:val="0"/>
        <w:keepLines w:val="0"/>
        <w:pageBreakBefore w:val="0"/>
        <w:widowControl/>
        <w:suppressLineNumbers w:val="0"/>
        <w:suppressAutoHyphens/>
        <w:kinsoku/>
        <w:wordWrap/>
        <w:overflowPunct/>
        <w:topLinePunct w:val="0"/>
        <w:autoSpaceDE/>
        <w:autoSpaceDN/>
        <w:spacing w:line="570" w:lineRule="exact"/>
        <w:ind w:firstLine="640" w:firstLineChars="200"/>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五、食用农产品不合格项目甲胺磷解读</w:t>
      </w:r>
    </w:p>
    <w:p>
      <w:pPr>
        <w:keepNext w:val="0"/>
        <w:keepLines w:val="0"/>
        <w:pageBreakBefore w:val="0"/>
        <w:widowControl/>
        <w:suppressLineNumbers w:val="0"/>
        <w:suppressAutoHyphens/>
        <w:kinsoku/>
        <w:wordWrap/>
        <w:overflowPunct/>
        <w:topLinePunct w:val="0"/>
        <w:autoSpaceDE/>
        <w:autoSpaceDN/>
        <w:spacing w:line="57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甲胺磷是一种杀虫谱广、杀虫效果好、使用成本低、抗性发展缓慢的有机磷杀虫剂，只是由于其高毒性，不合理使用易造成农产品污染，危害人畜安全。不合格原因可能是种植户在种植过程中超量食用了该农药，导致其检出超标。</w:t>
      </w:r>
    </w:p>
    <w:p>
      <w:pPr>
        <w:keepNext w:val="0"/>
        <w:keepLines w:val="0"/>
        <w:pageBreakBefore w:val="0"/>
        <w:widowControl/>
        <w:suppressLineNumbers w:val="0"/>
        <w:suppressAutoHyphens/>
        <w:kinsoku/>
        <w:wordWrap/>
        <w:overflowPunct/>
        <w:topLinePunct w:val="0"/>
        <w:autoSpaceDE/>
        <w:autoSpaceDN/>
        <w:spacing w:line="570" w:lineRule="exact"/>
        <w:ind w:firstLine="640" w:firstLineChars="200"/>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六、食用农产品不合格项目乙酰甲胺解读</w:t>
      </w:r>
    </w:p>
    <w:p>
      <w:pPr>
        <w:keepNext w:val="0"/>
        <w:keepLines w:val="0"/>
        <w:pageBreakBefore w:val="0"/>
        <w:widowControl/>
        <w:suppressLineNumbers w:val="0"/>
        <w:suppressAutoHyphens/>
        <w:kinsoku/>
        <w:wordWrap/>
        <w:overflowPunct/>
        <w:topLinePunct w:val="0"/>
        <w:autoSpaceDE/>
        <w:autoSpaceDN/>
        <w:spacing w:line="57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乙酰甲胺磷又名高灭磷，属低毒杀虫剂。乙酰甲胺磷为口服</w:t>
      </w:r>
      <w:r>
        <w:rPr>
          <w:rFonts w:hint="default" w:ascii="仿宋_GB2312" w:hAnsi="仿宋_GB2312" w:eastAsia="仿宋_GB2312" w:cs="仿宋_GB2312"/>
          <w:kern w:val="2"/>
          <w:sz w:val="32"/>
          <w:szCs w:val="32"/>
          <w:lang w:val="en-US" w:eastAsia="zh-CN" w:bidi="ar-SA"/>
        </w:rPr>
        <w:fldChar w:fldCharType="begin"/>
      </w:r>
      <w:r>
        <w:rPr>
          <w:rFonts w:hint="default" w:ascii="仿宋_GB2312" w:hAnsi="仿宋_GB2312" w:eastAsia="仿宋_GB2312" w:cs="仿宋_GB2312"/>
          <w:kern w:val="2"/>
          <w:sz w:val="32"/>
          <w:szCs w:val="32"/>
          <w:lang w:val="en-US" w:eastAsia="zh-CN" w:bidi="ar-SA"/>
        </w:rPr>
        <w:instrText xml:space="preserve"> HYPERLINK "https://baike.so.com/doc/5348065-5583515.html" \t "https://baike.so.com/doc/_blank" </w:instrText>
      </w:r>
      <w:r>
        <w:rPr>
          <w:rFonts w:hint="default" w:ascii="仿宋_GB2312" w:hAnsi="仿宋_GB2312" w:eastAsia="仿宋_GB2312" w:cs="仿宋_GB2312"/>
          <w:kern w:val="2"/>
          <w:sz w:val="32"/>
          <w:szCs w:val="32"/>
          <w:lang w:val="en-US" w:eastAsia="zh-CN" w:bidi="ar-SA"/>
        </w:rPr>
        <w:fldChar w:fldCharType="separate"/>
      </w:r>
      <w:r>
        <w:rPr>
          <w:rFonts w:hint="default" w:ascii="仿宋_GB2312" w:hAnsi="仿宋_GB2312" w:eastAsia="仿宋_GB2312" w:cs="仿宋_GB2312"/>
          <w:kern w:val="2"/>
          <w:sz w:val="32"/>
          <w:szCs w:val="32"/>
          <w:lang w:val="en-US" w:eastAsia="zh-CN" w:bidi="ar-SA"/>
        </w:rPr>
        <w:t>杀虫剂</w:t>
      </w:r>
      <w:r>
        <w:rPr>
          <w:rFonts w:hint="default" w:ascii="仿宋_GB2312" w:hAnsi="仿宋_GB2312" w:eastAsia="仿宋_GB2312" w:cs="仿宋_GB2312"/>
          <w:kern w:val="2"/>
          <w:sz w:val="32"/>
          <w:szCs w:val="32"/>
          <w:lang w:val="en-US" w:eastAsia="zh-CN" w:bidi="ar-SA"/>
        </w:rPr>
        <w:fldChar w:fldCharType="end"/>
      </w:r>
      <w:r>
        <w:rPr>
          <w:rFonts w:hint="default" w:ascii="仿宋_GB2312" w:hAnsi="仿宋_GB2312" w:eastAsia="仿宋_GB2312" w:cs="仿宋_GB2312"/>
          <w:kern w:val="2"/>
          <w:sz w:val="32"/>
          <w:szCs w:val="32"/>
          <w:lang w:val="en-US" w:eastAsia="zh-CN" w:bidi="ar-SA"/>
        </w:rPr>
        <w:t>，具有胃毒和触杀作用，并可杀卵，有一定的熏蒸作用，是缓效型杀虫剂，防治多种咀嚼式、刺吸式口器害虫和害螨及卫生害虫。</w:t>
      </w:r>
      <w:r>
        <w:rPr>
          <w:rFonts w:hint="eastAsia" w:ascii="仿宋_GB2312" w:hAnsi="仿宋_GB2312" w:eastAsia="仿宋_GB2312" w:cs="仿宋_GB2312"/>
          <w:kern w:val="2"/>
          <w:sz w:val="32"/>
          <w:szCs w:val="32"/>
          <w:lang w:val="en-US" w:eastAsia="zh-CN" w:bidi="ar-SA"/>
        </w:rPr>
        <w:t>不合格原因可能是种植户未按照正确方法使用，导致其检出超标。</w:t>
      </w:r>
    </w:p>
    <w:p>
      <w:pPr>
        <w:keepNext w:val="0"/>
        <w:keepLines w:val="0"/>
        <w:pageBreakBefore w:val="0"/>
        <w:widowControl/>
        <w:suppressLineNumbers w:val="0"/>
        <w:suppressAutoHyphens/>
        <w:kinsoku/>
        <w:wordWrap/>
        <w:overflowPunct/>
        <w:topLinePunct w:val="0"/>
        <w:autoSpaceDE/>
        <w:autoSpaceDN/>
        <w:spacing w:line="570" w:lineRule="exact"/>
        <w:ind w:firstLine="640" w:firstLineChars="200"/>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七、食用农产品不合格项目</w:t>
      </w:r>
      <w:r>
        <w:rPr>
          <w:rFonts w:hint="default" w:ascii="黑体" w:hAnsi="黑体" w:eastAsia="黑体" w:cs="黑体"/>
          <w:kern w:val="2"/>
          <w:sz w:val="32"/>
          <w:szCs w:val="32"/>
          <w:lang w:val="en-US" w:eastAsia="zh-CN" w:bidi="ar-SA"/>
        </w:rPr>
        <w:t>4-氯苯氧乙酸钠</w:t>
      </w:r>
      <w:r>
        <w:rPr>
          <w:rFonts w:hint="eastAsia" w:ascii="黑体" w:hAnsi="黑体" w:eastAsia="黑体" w:cs="黑体"/>
          <w:kern w:val="2"/>
          <w:sz w:val="32"/>
          <w:szCs w:val="32"/>
          <w:lang w:val="en-US" w:eastAsia="zh-CN" w:bidi="ar-SA"/>
        </w:rPr>
        <w:t>解读</w:t>
      </w:r>
    </w:p>
    <w:p>
      <w:pPr>
        <w:keepNext w:val="0"/>
        <w:keepLines w:val="0"/>
        <w:pageBreakBefore w:val="0"/>
        <w:widowControl/>
        <w:suppressLineNumbers w:val="0"/>
        <w:suppressAutoHyphens/>
        <w:kinsoku/>
        <w:wordWrap/>
        <w:overflowPunct/>
        <w:topLinePunct w:val="0"/>
        <w:autoSpaceDE/>
        <w:autoSpaceDN/>
        <w:spacing w:line="570" w:lineRule="exact"/>
        <w:ind w:firstLine="640" w:firstLineChars="200"/>
        <w:rPr>
          <w:rFonts w:hint="eastAsia" w:ascii="仿宋_GB2312" w:hAnsi="仿宋_GB2312" w:eastAsia="仿宋_GB2312" w:cs="仿宋_GB2312"/>
          <w:kern w:val="2"/>
          <w:sz w:val="32"/>
          <w:szCs w:val="32"/>
          <w:lang w:val="en-US" w:eastAsia="zh-CN" w:bidi="ar-SA"/>
        </w:rPr>
      </w:pPr>
      <w:r>
        <w:rPr>
          <w:rFonts w:hint="default" w:ascii="仿宋_GB2312" w:hAnsi="仿宋_GB2312" w:eastAsia="仿宋_GB2312" w:cs="仿宋_GB2312"/>
          <w:kern w:val="2"/>
          <w:sz w:val="32"/>
          <w:szCs w:val="32"/>
          <w:lang w:val="en-US" w:eastAsia="zh-CN" w:bidi="ar-SA"/>
        </w:rPr>
        <w:t>4-氯苯氧乙酸钠（以4-氯苯氧乙酸计）又称防落素、保果灵，是一种植物生长调节剂。主要用于防止落花落果、抑制豆类生根等。《国家食品药品监督管理总局 农业部 国家卫生和计划生育委员会关于豆芽生产过程中禁止使用6-苄基腺嘌呤等物质的公告（2015年第11号）》中规定，生产者不得在豆芽生产过程中使用 6-苄基腺嘌呤、4-氯苯氧乙酸钠、赤霉素等物质，豆芽经营者不得经营含有6-苄基腺嘌呤、4-氯苯氧乙酸钠、赤霉素等物质的豆芽。豆芽中检出4-氯苯氧乙酸钠，可能是由于生产者在豆芽生产过程中为了抑制豆芽生根，提高豆芽产量，从而违规使用相关农药。</w:t>
      </w:r>
      <w:bookmarkStart w:id="0" w:name="_GoBack"/>
      <w:bookmarkEnd w:id="0"/>
    </w:p>
    <w:p>
      <w:pPr>
        <w:keepNext w:val="0"/>
        <w:keepLines w:val="0"/>
        <w:pageBreakBefore w:val="0"/>
        <w:widowControl/>
        <w:suppressLineNumbers w:val="0"/>
        <w:suppressAutoHyphens/>
        <w:kinsoku/>
        <w:wordWrap/>
        <w:overflowPunct/>
        <w:topLinePunct w:val="0"/>
        <w:autoSpaceDE/>
        <w:autoSpaceDN/>
        <w:spacing w:line="570" w:lineRule="exact"/>
        <w:ind w:firstLine="640" w:firstLineChars="200"/>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八、蔬菜制品不合格项目二氧化硫解读</w:t>
      </w:r>
    </w:p>
    <w:p>
      <w:pPr>
        <w:keepNext w:val="0"/>
        <w:keepLines w:val="0"/>
        <w:pageBreakBefore w:val="0"/>
        <w:widowControl/>
        <w:suppressLineNumbers w:val="0"/>
        <w:suppressAutoHyphens/>
        <w:kinsoku/>
        <w:wordWrap/>
        <w:overflowPunct/>
        <w:topLinePunct w:val="0"/>
        <w:autoSpaceDE/>
        <w:autoSpaceDN/>
        <w:spacing w:line="570" w:lineRule="exact"/>
        <w:ind w:firstLine="640" w:firstLineChars="200"/>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氧化硫是国内外允许使用的一种食品添加剂，通常情况下以焦亚硫酸钾、焦亚硫酸钠、亚硫酸钠、亚硫酸氢钠、低亚硫酸钠等亚硫酸盐的形式添加于食品中，或采用硫磺熏蒸的方式用于食品加工处理，具有漂白、防腐和抗氧化的作用。二氧化硫进入人体后最终转化为硫酸盐并随尿液排出体外，少量摄入不会对身体带来健康危害，但若过量食用可能引起如恶心、呕吐等胃肠道反应。《食品安全国家标准 食品添加剂使用标准》（GB 2760-2014）中规定，蔬菜干制品中二氧化硫残留量不应超过0.2g/kg。蔬菜干制品中二氧化硫残留量不合格原因可能是生产加工过程未严格管控原料，或加工过程超限量使用相关食品添加剂。</w:t>
      </w: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FB" w:usb2="0000002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Lucida Sans"/>
    <w:panose1 w:val="020F0502020204030204"/>
    <w:charset w:val="00"/>
    <w:family w:val="swiss"/>
    <w:pitch w:val="default"/>
    <w:sig w:usb0="00000000" w:usb1="00000000" w:usb2="00000001" w:usb3="00000000" w:csb0="0000019F" w:csb1="00000000"/>
  </w:font>
  <w:font w:name="方正仿宋_GBK">
    <w:panose1 w:val="02000000000000000000"/>
    <w:charset w:val="86"/>
    <w:family w:val="auto"/>
    <w:pitch w:val="default"/>
    <w:sig w:usb0="00000001" w:usb1="0800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Lucida Sans">
    <w:panose1 w:val="020B0602030504020204"/>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FD74D4"/>
    <w:rsid w:val="073656DC"/>
    <w:rsid w:val="140B2B1E"/>
    <w:rsid w:val="166D3649"/>
    <w:rsid w:val="171935C1"/>
    <w:rsid w:val="1AFF6DD3"/>
    <w:rsid w:val="22EA6C69"/>
    <w:rsid w:val="26FD74D4"/>
    <w:rsid w:val="3A432D46"/>
    <w:rsid w:val="411D7BCE"/>
    <w:rsid w:val="42130D0C"/>
    <w:rsid w:val="443E66C0"/>
    <w:rsid w:val="4837129F"/>
    <w:rsid w:val="56934C0E"/>
    <w:rsid w:val="587924B3"/>
    <w:rsid w:val="5EB521F0"/>
    <w:rsid w:val="68984BE4"/>
    <w:rsid w:val="68CF56D1"/>
    <w:rsid w:val="75221BB9"/>
    <w:rsid w:val="78517B8A"/>
    <w:rsid w:val="7E62074A"/>
    <w:rsid w:val="FFF4ED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2"/>
    <w:basedOn w:val="1"/>
    <w:next w:val="5"/>
    <w:link w:val="15"/>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0"/>
    </w:rPr>
  </w:style>
  <w:style w:type="paragraph" w:styleId="6">
    <w:name w:val="heading 3"/>
    <w:basedOn w:val="1"/>
    <w:next w:val="1"/>
    <w:link w:val="14"/>
    <w:semiHidden/>
    <w:unhideWhenUsed/>
    <w:qFormat/>
    <w:uiPriority w:val="0"/>
    <w:pPr>
      <w:keepNext/>
      <w:keepLines/>
      <w:spacing w:before="260" w:beforeLines="0" w:beforeAutospacing="0" w:after="260" w:afterLines="0" w:afterAutospacing="0" w:line="413" w:lineRule="auto"/>
      <w:outlineLvl w:val="2"/>
    </w:pPr>
    <w:rPr>
      <w:rFonts w:eastAsia="方正仿宋_GBK" w:asciiTheme="minorAscii" w:hAnsiTheme="minorAscii"/>
      <w:b/>
      <w:sz w:val="32"/>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adjustRightInd w:val="0"/>
      <w:ind w:left="0" w:leftChars="0" w:firstLine="880" w:firstLineChars="200"/>
    </w:pPr>
    <w:rPr>
      <w:rFonts w:ascii="Calibri" w:hAnsi="Calibri" w:eastAsia="仿宋" w:cs="Times New Roman"/>
      <w:sz w:val="32"/>
    </w:rPr>
  </w:style>
  <w:style w:type="paragraph" w:styleId="3">
    <w:name w:val="Body Text Indent"/>
    <w:basedOn w:val="1"/>
    <w:unhideWhenUsed/>
    <w:qFormat/>
    <w:uiPriority w:val="99"/>
    <w:pPr>
      <w:spacing w:after="120"/>
      <w:ind w:left="420" w:leftChars="200"/>
    </w:pPr>
  </w:style>
  <w:style w:type="paragraph" w:styleId="5">
    <w:name w:val="Normal Indent"/>
    <w:basedOn w:val="1"/>
    <w:qFormat/>
    <w:uiPriority w:val="0"/>
    <w:pPr>
      <w:ind w:firstLine="420" w:firstLineChars="200"/>
    </w:pPr>
  </w:style>
  <w:style w:type="paragraph" w:styleId="7">
    <w:name w:val="Body Text"/>
    <w:basedOn w:val="1"/>
    <w:qFormat/>
    <w:uiPriority w:val="0"/>
    <w:pPr>
      <w:spacing w:after="120" w:afterLines="0" w:afterAutospacing="0"/>
    </w:pPr>
  </w:style>
  <w:style w:type="paragraph" w:styleId="8">
    <w:name w:val="footer"/>
    <w:basedOn w:val="1"/>
    <w:unhideWhenUsed/>
    <w:qFormat/>
    <w:uiPriority w:val="99"/>
    <w:pPr>
      <w:tabs>
        <w:tab w:val="center" w:pos="4153"/>
        <w:tab w:val="right" w:pos="8306"/>
      </w:tabs>
      <w:snapToGrid w:val="0"/>
      <w:spacing w:line="240" w:lineRule="atLeast"/>
      <w:ind w:firstLine="200" w:firstLineChars="200"/>
      <w:jc w:val="left"/>
    </w:pPr>
    <w:rPr>
      <w:rFonts w:ascii="Times New Roman" w:hAnsi="Times New Roman" w:eastAsia="仿宋_GB2312"/>
      <w:sz w:val="18"/>
      <w:szCs w:val="18"/>
    </w:rPr>
  </w:style>
  <w:style w:type="paragraph" w:styleId="9">
    <w:name w:val="Normal (Web)"/>
    <w:basedOn w:val="1"/>
    <w:qFormat/>
    <w:uiPriority w:val="0"/>
    <w:pPr>
      <w:spacing w:beforeAutospacing="1" w:afterAutospacing="1"/>
      <w:jc w:val="left"/>
    </w:pPr>
    <w:rPr>
      <w:rFonts w:cs="Times New Roman"/>
      <w:kern w:val="0"/>
      <w:sz w:val="24"/>
    </w:rPr>
  </w:style>
  <w:style w:type="character" w:styleId="12">
    <w:name w:val="Strong"/>
    <w:qFormat/>
    <w:uiPriority w:val="22"/>
    <w:rPr>
      <w:b/>
      <w:bCs/>
    </w:rPr>
  </w:style>
  <w:style w:type="character" w:styleId="13">
    <w:name w:val="Hyperlink"/>
    <w:basedOn w:val="11"/>
    <w:qFormat/>
    <w:uiPriority w:val="0"/>
    <w:rPr>
      <w:color w:val="0000FF"/>
      <w:u w:val="single"/>
    </w:rPr>
  </w:style>
  <w:style w:type="character" w:customStyle="1" w:styleId="14">
    <w:name w:val="标题 3 Char"/>
    <w:basedOn w:val="11"/>
    <w:link w:val="6"/>
    <w:qFormat/>
    <w:uiPriority w:val="0"/>
    <w:rPr>
      <w:rFonts w:eastAsia="方正仿宋_GBK" w:cs="方正仿宋_GBK" w:asciiTheme="minorAscii" w:hAnsiTheme="minorAscii"/>
      <w:b/>
      <w:bCs/>
      <w:sz w:val="30"/>
      <w:szCs w:val="30"/>
    </w:rPr>
  </w:style>
  <w:style w:type="character" w:customStyle="1" w:styleId="15">
    <w:name w:val="标题 2 Char"/>
    <w:link w:val="4"/>
    <w:qFormat/>
    <w:uiPriority w:val="0"/>
    <w:rPr>
      <w:rFonts w:ascii="Arial" w:hAnsi="Arial" w:eastAsia="黑体"/>
      <w:b/>
      <w:sz w:val="3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2021-08-05T14:47:00Z</dcterms:created>
  <dc:creator>王熏熏</dc:creator>
  <cp:lastModifiedBy>user</cp:lastModifiedBy>
  <dcterms:modified xsi:type="dcterms:W3CDTF">2021-12-02T15:39:27Z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ED94B3C5CCA54CD28AFDD0B8CB785C92</vt:lpwstr>
  </property>
</Properties>
</file>