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both"/>
        <w:outlineLvl w:val="0"/>
        <w:rPr>
          <w:rFonts w:hint="eastAsia" w:ascii="方正小标宋简体" w:hAnsi="宋体" w:eastAsia="方正小标宋简体"/>
          <w:color w:val="000000"/>
          <w:sz w:val="72"/>
          <w:szCs w:val="72"/>
          <w:lang w:eastAsia="zh-CN"/>
        </w:rPr>
      </w:pPr>
      <w:bookmarkStart w:id="0" w:name="_Toc15306267"/>
    </w:p>
    <w:p>
      <w:pPr>
        <w:spacing w:line="600" w:lineRule="exact"/>
        <w:jc w:val="center"/>
        <w:outlineLvl w:val="0"/>
        <w:rPr>
          <w:rFonts w:ascii="方正小标宋简体" w:hAnsi="宋体" w:eastAsia="方正小标宋简体"/>
          <w:color w:val="000000"/>
          <w:sz w:val="72"/>
          <w:szCs w:val="72"/>
        </w:rPr>
      </w:pPr>
    </w:p>
    <w:p>
      <w:pPr>
        <w:adjustRightInd w:val="0"/>
        <w:snapToGrid w:val="0"/>
        <w:spacing w:line="360" w:lineRule="auto"/>
        <w:jc w:val="both"/>
        <w:outlineLvl w:val="0"/>
        <w:rPr>
          <w:rFonts w:ascii="方正小标宋简体" w:hAnsi="宋体" w:eastAsia="方正小标宋简体"/>
          <w:color w:val="000000"/>
          <w:sz w:val="52"/>
          <w:szCs w:val="52"/>
        </w:rPr>
      </w:pPr>
      <w:bookmarkStart w:id="1" w:name="_Toc15396475"/>
      <w:bookmarkStart w:id="2" w:name="_Toc15377193"/>
      <w:bookmarkStart w:id="3" w:name="_Toc15396597"/>
      <w:bookmarkStart w:id="4" w:name="_Toc15378441"/>
      <w:bookmarkStart w:id="5" w:name="_Toc15377425"/>
    </w:p>
    <w:p>
      <w:pPr>
        <w:adjustRightInd w:val="0"/>
        <w:snapToGrid w:val="0"/>
        <w:spacing w:line="360" w:lineRule="auto"/>
        <w:jc w:val="center"/>
        <w:outlineLvl w:val="0"/>
        <w:rPr>
          <w:rFonts w:ascii="方正小标宋简体" w:hAnsi="宋体" w:eastAsia="方正小标宋简体"/>
          <w:color w:val="000000"/>
          <w:sz w:val="72"/>
          <w:szCs w:val="72"/>
        </w:rPr>
      </w:pPr>
      <w:r>
        <w:rPr>
          <w:rFonts w:ascii="方正小标宋简体" w:hAnsi="宋体" w:eastAsia="方正小标宋简体"/>
          <w:color w:val="000000"/>
          <w:sz w:val="52"/>
          <w:szCs w:val="52"/>
        </w:rPr>
        <w:t>2018</w:t>
      </w:r>
      <w:r>
        <w:rPr>
          <w:rFonts w:hint="eastAsia" w:ascii="方正小标宋简体" w:hAnsi="宋体" w:eastAsia="方正小标宋简体"/>
          <w:color w:val="000000"/>
          <w:sz w:val="52"/>
          <w:szCs w:val="52"/>
        </w:rPr>
        <w:t>年度</w:t>
      </w:r>
      <w:bookmarkEnd w:id="1"/>
      <w:bookmarkEnd w:id="2"/>
      <w:bookmarkEnd w:id="3"/>
      <w:bookmarkEnd w:id="4"/>
      <w:bookmarkEnd w:id="5"/>
    </w:p>
    <w:p>
      <w:pPr>
        <w:adjustRightInd w:val="0"/>
        <w:snapToGrid w:val="0"/>
        <w:spacing w:line="360" w:lineRule="auto"/>
        <w:jc w:val="center"/>
        <w:outlineLvl w:val="0"/>
        <w:rPr>
          <w:rFonts w:ascii="方正小标宋简体" w:hAnsi="宋体" w:eastAsia="方正小标宋简体"/>
          <w:color w:val="000000"/>
          <w:sz w:val="72"/>
          <w:szCs w:val="72"/>
        </w:rPr>
      </w:pPr>
      <w:bookmarkStart w:id="6" w:name="_Toc15396598"/>
      <w:bookmarkStart w:id="7" w:name="_Toc15377426"/>
      <w:bookmarkStart w:id="8" w:name="_Toc15396476"/>
      <w:bookmarkStart w:id="9" w:name="_Toc15377194"/>
      <w:bookmarkStart w:id="10" w:name="_Toc15378442"/>
      <w:r>
        <w:rPr>
          <w:rFonts w:hint="eastAsia" w:ascii="方正小标宋简体" w:hAnsi="宋体" w:eastAsia="方正小标宋简体"/>
          <w:color w:val="000000"/>
          <w:sz w:val="52"/>
          <w:szCs w:val="52"/>
        </w:rPr>
        <w:t>四川省广元市</w:t>
      </w:r>
      <w:bookmarkEnd w:id="0"/>
      <w:bookmarkStart w:id="11" w:name="_Toc15306268"/>
      <w:r>
        <w:rPr>
          <w:rFonts w:hint="eastAsia" w:ascii="方正小标宋简体" w:hAnsi="宋体" w:eastAsia="方正小标宋简体"/>
          <w:color w:val="000000"/>
          <w:sz w:val="52"/>
          <w:szCs w:val="52"/>
        </w:rPr>
        <w:t>工商行政管理局决算</w:t>
      </w:r>
      <w:bookmarkEnd w:id="6"/>
      <w:bookmarkEnd w:id="7"/>
      <w:bookmarkEnd w:id="8"/>
      <w:bookmarkEnd w:id="9"/>
      <w:bookmarkEnd w:id="10"/>
      <w:bookmarkEnd w:id="11"/>
    </w:p>
    <w:p>
      <w:pPr>
        <w:adjustRightInd w:val="0"/>
        <w:snapToGrid w:val="0"/>
        <w:spacing w:line="360" w:lineRule="auto"/>
        <w:jc w:val="center"/>
        <w:outlineLvl w:val="0"/>
        <w:rPr>
          <w:rFonts w:ascii="方正小标宋简体" w:hAnsi="宋体" w:eastAsia="方正小标宋简体"/>
          <w:color w:val="000000"/>
          <w:sz w:val="72"/>
          <w:szCs w:val="72"/>
        </w:rPr>
      </w:pPr>
    </w:p>
    <w:p>
      <w:pPr>
        <w:adjustRightInd w:val="0"/>
        <w:snapToGrid w:val="0"/>
        <w:spacing w:line="360" w:lineRule="auto"/>
        <w:jc w:val="center"/>
        <w:outlineLvl w:val="0"/>
        <w:rPr>
          <w:rFonts w:ascii="方正小标宋简体" w:hAnsi="宋体" w:eastAsia="方正小标宋简体"/>
          <w:color w:val="000000"/>
          <w:sz w:val="72"/>
          <w:szCs w:val="72"/>
        </w:rPr>
      </w:pPr>
      <w:r>
        <w:rPr>
          <w:rFonts w:hint="eastAsia" w:ascii="方正小标宋简体" w:hAnsi="宋体" w:eastAsia="方正小标宋简体"/>
          <w:color w:val="000000"/>
          <w:sz w:val="72"/>
          <w:szCs w:val="72"/>
        </w:rPr>
        <w:t>编</w:t>
      </w:r>
    </w:p>
    <w:p>
      <w:pPr>
        <w:adjustRightInd w:val="0"/>
        <w:snapToGrid w:val="0"/>
        <w:spacing w:line="360" w:lineRule="auto"/>
        <w:jc w:val="center"/>
        <w:outlineLvl w:val="0"/>
        <w:rPr>
          <w:rFonts w:ascii="方正小标宋简体" w:hAnsi="宋体" w:eastAsia="方正小标宋简体"/>
          <w:color w:val="000000"/>
          <w:sz w:val="72"/>
          <w:szCs w:val="72"/>
        </w:rPr>
      </w:pPr>
      <w:r>
        <w:rPr>
          <w:rFonts w:hint="eastAsia" w:ascii="方正小标宋简体" w:hAnsi="宋体" w:eastAsia="方正小标宋简体"/>
          <w:color w:val="000000"/>
          <w:sz w:val="72"/>
          <w:szCs w:val="72"/>
        </w:rPr>
        <w:t>制</w:t>
      </w:r>
    </w:p>
    <w:p>
      <w:pPr>
        <w:adjustRightInd w:val="0"/>
        <w:snapToGrid w:val="0"/>
        <w:spacing w:line="360" w:lineRule="auto"/>
        <w:jc w:val="center"/>
        <w:outlineLvl w:val="0"/>
        <w:rPr>
          <w:rFonts w:ascii="方正小标宋简体" w:hAnsi="宋体" w:eastAsia="方正小标宋简体"/>
          <w:color w:val="000000"/>
          <w:sz w:val="72"/>
          <w:szCs w:val="72"/>
        </w:rPr>
      </w:pPr>
      <w:r>
        <w:rPr>
          <w:rFonts w:hint="eastAsia" w:ascii="方正小标宋简体" w:hAnsi="宋体" w:eastAsia="方正小标宋简体"/>
          <w:color w:val="000000"/>
          <w:sz w:val="72"/>
          <w:szCs w:val="72"/>
        </w:rPr>
        <w:t>说</w:t>
      </w:r>
    </w:p>
    <w:p>
      <w:pPr>
        <w:adjustRightInd w:val="0"/>
        <w:snapToGrid w:val="0"/>
        <w:spacing w:line="360" w:lineRule="auto"/>
        <w:jc w:val="center"/>
        <w:outlineLvl w:val="0"/>
        <w:rPr>
          <w:rFonts w:ascii="方正小标宋简体" w:hAnsi="宋体" w:eastAsia="方正小标宋简体"/>
          <w:color w:val="000000"/>
          <w:sz w:val="72"/>
          <w:szCs w:val="72"/>
        </w:rPr>
      </w:pPr>
      <w:r>
        <w:rPr>
          <w:rFonts w:hint="eastAsia" w:ascii="方正小标宋简体" w:hAnsi="宋体" w:eastAsia="方正小标宋简体"/>
          <w:color w:val="000000"/>
          <w:sz w:val="72"/>
          <w:szCs w:val="72"/>
        </w:rPr>
        <w:t>明</w:t>
      </w:r>
    </w:p>
    <w:p>
      <w:pPr>
        <w:widowControl/>
        <w:jc w:val="center"/>
        <w:rPr>
          <w:rFonts w:ascii="方正小标宋简体" w:hAnsi="宋体" w:eastAsia="方正小标宋简体"/>
          <w:color w:val="000000"/>
          <w:sz w:val="36"/>
          <w:szCs w:val="36"/>
        </w:rPr>
      </w:pPr>
      <w:r>
        <w:rPr>
          <w:rFonts w:ascii="方正小标宋简体" w:hAnsi="宋体" w:eastAsia="方正小标宋简体"/>
          <w:color w:val="000000"/>
          <w:sz w:val="36"/>
          <w:szCs w:val="36"/>
        </w:rPr>
        <w:br w:type="page"/>
      </w:r>
    </w:p>
    <w:p>
      <w:pPr>
        <w:widowControl/>
        <w:jc w:val="center"/>
        <w:rPr>
          <w:rFonts w:ascii="黑体" w:hAnsi="黑体" w:eastAsia="黑体"/>
          <w:color w:val="000000"/>
          <w:sz w:val="48"/>
          <w:szCs w:val="48"/>
        </w:rPr>
      </w:pPr>
      <w:r>
        <w:rPr>
          <w:rFonts w:hint="eastAsia" w:ascii="黑体" w:hAnsi="黑体" w:eastAsia="黑体"/>
          <w:color w:val="000000"/>
          <w:sz w:val="48"/>
          <w:szCs w:val="48"/>
        </w:rPr>
        <w:t>目</w:t>
      </w:r>
      <w:r>
        <w:rPr>
          <w:rFonts w:hint="eastAsia" w:ascii="黑体" w:hAnsi="黑体" w:eastAsia="黑体"/>
          <w:color w:val="000000"/>
          <w:sz w:val="48"/>
          <w:szCs w:val="48"/>
          <w:lang w:val="en-US" w:eastAsia="zh-CN"/>
        </w:rPr>
        <w:t xml:space="preserve">  </w:t>
      </w:r>
      <w:r>
        <w:rPr>
          <w:rFonts w:hint="eastAsia" w:ascii="黑体" w:hAnsi="黑体" w:eastAsia="黑体"/>
          <w:color w:val="000000"/>
          <w:sz w:val="48"/>
          <w:szCs w:val="48"/>
        </w:rPr>
        <w:t>录</w:t>
      </w:r>
    </w:p>
    <w:p>
      <w:pPr>
        <w:widowControl/>
        <w:jc w:val="center"/>
        <w:rPr>
          <w:rFonts w:ascii="黑体" w:hAnsi="黑体" w:eastAsia="黑体" w:cstheme="minorBidi"/>
          <w:sz w:val="28"/>
          <w:szCs w:val="28"/>
        </w:rPr>
      </w:pPr>
      <w:r>
        <w:rPr>
          <w:rFonts w:ascii="黑体" w:hAnsi="黑体" w:eastAsia="黑体"/>
          <w:color w:val="000000"/>
          <w:sz w:val="48"/>
          <w:szCs w:val="48"/>
        </w:rPr>
        <w:fldChar w:fldCharType="begin"/>
      </w:r>
      <w:r>
        <w:rPr>
          <w:rFonts w:ascii="黑体" w:hAnsi="黑体" w:eastAsia="黑体"/>
          <w:color w:val="000000"/>
          <w:sz w:val="48"/>
          <w:szCs w:val="48"/>
        </w:rPr>
        <w:instrText xml:space="preserve"> TOC \o "1-2" \h \z \u </w:instrText>
      </w:r>
      <w:r>
        <w:rPr>
          <w:rFonts w:ascii="黑体" w:hAnsi="黑体" w:eastAsia="黑体"/>
          <w:color w:val="000000"/>
          <w:sz w:val="48"/>
          <w:szCs w:val="48"/>
        </w:rPr>
        <w:fldChar w:fldCharType="separate"/>
      </w:r>
    </w:p>
    <w:p>
      <w:pPr>
        <w:pStyle w:val="10"/>
        <w:rPr>
          <w:rFonts w:hint="eastAsia" w:eastAsia="仿宋"/>
          <w:lang w:val="en-US" w:eastAsia="zh-CN"/>
        </w:rPr>
      </w:pPr>
      <w:r>
        <w:rPr>
          <w:rFonts w:hint="eastAsia"/>
        </w:rPr>
        <w:t>公开时间：2019年9月</w:t>
      </w:r>
      <w:r>
        <w:rPr>
          <w:rFonts w:hint="eastAsia"/>
          <w:lang w:val="en-US" w:eastAsia="zh-CN"/>
        </w:rPr>
        <w:t>26日</w:t>
      </w:r>
    </w:p>
    <w:p/>
    <w:p>
      <w:pPr>
        <w:pStyle w:val="10"/>
        <w:rPr>
          <w:rFonts w:cstheme="minorBidi"/>
        </w:rPr>
      </w:pPr>
      <w:r>
        <w:fldChar w:fldCharType="begin"/>
      </w:r>
      <w:r>
        <w:instrText xml:space="preserve"> HYPERLINK \l "_Toc15396599" </w:instrText>
      </w:r>
      <w:r>
        <w:fldChar w:fldCharType="separate"/>
      </w:r>
      <w:r>
        <w:rPr>
          <w:rStyle w:val="18"/>
          <w:rFonts w:hint="eastAsia"/>
        </w:rPr>
        <w:t>第一部分部门概况</w:t>
      </w:r>
      <w:r>
        <w:tab/>
      </w:r>
      <w:r>
        <w:rPr>
          <w:rFonts w:hint="eastAsia"/>
        </w:rPr>
        <w:t>4</w:t>
      </w:r>
      <w:r>
        <w:rPr>
          <w:rFonts w:hint="eastAsia"/>
        </w:rPr>
        <w:fldChar w:fldCharType="end"/>
      </w:r>
    </w:p>
    <w:p>
      <w:pPr>
        <w:pStyle w:val="11"/>
        <w:rPr>
          <w:rFonts w:ascii="仿宋" w:hAnsi="仿宋" w:eastAsia="仿宋" w:cstheme="minorBidi"/>
          <w:sz w:val="28"/>
          <w:szCs w:val="28"/>
        </w:rPr>
      </w:pPr>
      <w:r>
        <w:fldChar w:fldCharType="begin"/>
      </w:r>
      <w:r>
        <w:instrText xml:space="preserve"> HYPERLINK \l "_Toc15396600" </w:instrText>
      </w:r>
      <w:r>
        <w:fldChar w:fldCharType="separate"/>
      </w:r>
      <w:r>
        <w:rPr>
          <w:rStyle w:val="18"/>
          <w:rFonts w:hint="eastAsia" w:ascii="仿宋" w:hAnsi="仿宋" w:eastAsia="仿宋"/>
          <w:sz w:val="28"/>
          <w:szCs w:val="28"/>
        </w:rPr>
        <w:t>一、基本职能及主要工作</w:t>
      </w:r>
      <w:r>
        <w:rPr>
          <w:rFonts w:ascii="仿宋" w:hAnsi="仿宋" w:eastAsia="仿宋"/>
          <w:sz w:val="28"/>
          <w:szCs w:val="28"/>
        </w:rPr>
        <w:tab/>
      </w:r>
      <w:r>
        <w:rPr>
          <w:rFonts w:hint="eastAsia" w:ascii="仿宋" w:hAnsi="仿宋" w:eastAsia="仿宋"/>
          <w:sz w:val="28"/>
          <w:szCs w:val="28"/>
        </w:rPr>
        <w:t>4</w:t>
      </w:r>
      <w:r>
        <w:rPr>
          <w:rFonts w:hint="eastAsia" w:ascii="仿宋" w:hAnsi="仿宋" w:eastAsia="仿宋"/>
          <w:sz w:val="28"/>
          <w:szCs w:val="28"/>
        </w:rPr>
        <w:fldChar w:fldCharType="end"/>
      </w:r>
    </w:p>
    <w:p>
      <w:pPr>
        <w:pStyle w:val="11"/>
        <w:rPr>
          <w:rFonts w:ascii="仿宋" w:hAnsi="仿宋" w:eastAsia="仿宋" w:cstheme="minorBidi"/>
          <w:sz w:val="28"/>
          <w:szCs w:val="28"/>
        </w:rPr>
      </w:pPr>
      <w:r>
        <w:fldChar w:fldCharType="begin"/>
      </w:r>
      <w:r>
        <w:instrText xml:space="preserve"> HYPERLINK \l "_Toc15396601" </w:instrText>
      </w:r>
      <w:r>
        <w:fldChar w:fldCharType="separate"/>
      </w:r>
      <w:r>
        <w:rPr>
          <w:rStyle w:val="18"/>
          <w:rFonts w:hint="eastAsia" w:ascii="仿宋" w:hAnsi="仿宋" w:eastAsia="仿宋"/>
          <w:sz w:val="28"/>
          <w:szCs w:val="28"/>
        </w:rPr>
        <w:t>二、机构设置</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_Toc15396601 \h </w:instrText>
      </w:r>
      <w:r>
        <w:rPr>
          <w:rFonts w:ascii="仿宋" w:hAnsi="仿宋" w:eastAsia="仿宋"/>
          <w:sz w:val="28"/>
          <w:szCs w:val="28"/>
        </w:rPr>
        <w:fldChar w:fldCharType="separate"/>
      </w:r>
      <w:r>
        <w:rPr>
          <w:rFonts w:ascii="仿宋" w:hAnsi="仿宋" w:eastAsia="仿宋"/>
          <w:sz w:val="28"/>
          <w:szCs w:val="28"/>
        </w:rPr>
        <w:t>8</w:t>
      </w:r>
      <w:r>
        <w:rPr>
          <w:rFonts w:ascii="仿宋" w:hAnsi="仿宋" w:eastAsia="仿宋"/>
          <w:sz w:val="28"/>
          <w:szCs w:val="28"/>
        </w:rPr>
        <w:fldChar w:fldCharType="end"/>
      </w:r>
      <w:r>
        <w:rPr>
          <w:rFonts w:ascii="仿宋" w:hAnsi="仿宋" w:eastAsia="仿宋"/>
          <w:sz w:val="28"/>
          <w:szCs w:val="28"/>
        </w:rPr>
        <w:fldChar w:fldCharType="end"/>
      </w:r>
    </w:p>
    <w:p>
      <w:pPr>
        <w:pStyle w:val="10"/>
      </w:pPr>
      <w:r>
        <w:fldChar w:fldCharType="begin"/>
      </w:r>
      <w:r>
        <w:instrText xml:space="preserve"> HYPERLINK \l "_Toc15396602" </w:instrText>
      </w:r>
      <w:r>
        <w:fldChar w:fldCharType="separate"/>
      </w:r>
      <w:r>
        <w:rPr>
          <w:rStyle w:val="18"/>
          <w:rFonts w:hint="eastAsia"/>
        </w:rPr>
        <w:t>第二部分</w:t>
      </w:r>
      <w:r>
        <w:rPr>
          <w:rStyle w:val="18"/>
        </w:rPr>
        <w:t xml:space="preserve"> 2018</w:t>
      </w:r>
      <w:r>
        <w:rPr>
          <w:rStyle w:val="18"/>
          <w:rFonts w:hint="eastAsia"/>
        </w:rPr>
        <w:t>年度部门决算情况说明</w:t>
      </w:r>
      <w:r>
        <w:tab/>
      </w:r>
      <w:r>
        <w:fldChar w:fldCharType="begin"/>
      </w:r>
      <w:r>
        <w:instrText xml:space="preserve"> PAGEREF _Toc15396602 \h </w:instrText>
      </w:r>
      <w:r>
        <w:fldChar w:fldCharType="separate"/>
      </w:r>
      <w:r>
        <w:t>10</w:t>
      </w:r>
      <w:r>
        <w:fldChar w:fldCharType="end"/>
      </w:r>
      <w:r>
        <w:fldChar w:fldCharType="end"/>
      </w:r>
    </w:p>
    <w:p>
      <w:pPr>
        <w:pStyle w:val="11"/>
        <w:rPr>
          <w:rFonts w:ascii="仿宋" w:hAnsi="仿宋" w:eastAsia="仿宋" w:cstheme="minorBidi"/>
          <w:sz w:val="28"/>
          <w:szCs w:val="28"/>
        </w:rPr>
      </w:pPr>
      <w:r>
        <w:fldChar w:fldCharType="begin"/>
      </w:r>
      <w:r>
        <w:instrText xml:space="preserve"> HYPERLINK \l "_Toc15396603" </w:instrText>
      </w:r>
      <w:r>
        <w:fldChar w:fldCharType="separate"/>
      </w:r>
      <w:r>
        <w:rPr>
          <w:rStyle w:val="18"/>
          <w:rFonts w:hint="eastAsia" w:ascii="仿宋" w:hAnsi="仿宋" w:eastAsia="仿宋" w:cstheme="majorBidi"/>
          <w:bCs/>
          <w:sz w:val="28"/>
          <w:szCs w:val="28"/>
        </w:rPr>
        <w:t>一、</w:t>
      </w:r>
      <w:r>
        <w:rPr>
          <w:rStyle w:val="18"/>
          <w:rFonts w:hint="eastAsia" w:ascii="仿宋" w:hAnsi="仿宋" w:eastAsia="仿宋"/>
          <w:sz w:val="28"/>
          <w:szCs w:val="28"/>
        </w:rPr>
        <w:t>收</w:t>
      </w:r>
      <w:r>
        <w:rPr>
          <w:rStyle w:val="18"/>
          <w:rFonts w:hint="eastAsia" w:ascii="仿宋" w:hAnsi="仿宋" w:eastAsia="仿宋" w:cstheme="majorBidi"/>
          <w:bCs/>
          <w:sz w:val="28"/>
          <w:szCs w:val="28"/>
        </w:rPr>
        <w:t>入支出决算总体情况说明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_Toc15396603 \h </w:instrText>
      </w:r>
      <w:r>
        <w:rPr>
          <w:rFonts w:ascii="仿宋" w:hAnsi="仿宋" w:eastAsia="仿宋"/>
          <w:sz w:val="28"/>
          <w:szCs w:val="28"/>
        </w:rPr>
        <w:fldChar w:fldCharType="separate"/>
      </w:r>
      <w:r>
        <w:rPr>
          <w:rFonts w:ascii="仿宋" w:hAnsi="仿宋" w:eastAsia="仿宋"/>
          <w:sz w:val="28"/>
          <w:szCs w:val="28"/>
        </w:rPr>
        <w:t>10</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cstheme="minorBidi"/>
          <w:sz w:val="28"/>
          <w:szCs w:val="28"/>
        </w:rPr>
      </w:pPr>
      <w:r>
        <w:fldChar w:fldCharType="begin"/>
      </w:r>
      <w:r>
        <w:instrText xml:space="preserve"> HYPERLINK \l "_Toc15396604" </w:instrText>
      </w:r>
      <w:r>
        <w:fldChar w:fldCharType="separate"/>
      </w:r>
      <w:r>
        <w:rPr>
          <w:rStyle w:val="18"/>
          <w:rFonts w:hint="eastAsia" w:ascii="仿宋" w:hAnsi="仿宋" w:eastAsia="仿宋" w:cstheme="majorBidi"/>
          <w:bCs/>
          <w:sz w:val="28"/>
          <w:szCs w:val="28"/>
        </w:rPr>
        <w:t>二、</w:t>
      </w:r>
      <w:r>
        <w:rPr>
          <w:rStyle w:val="18"/>
          <w:rFonts w:hint="eastAsia" w:ascii="仿宋" w:hAnsi="仿宋" w:eastAsia="仿宋"/>
          <w:sz w:val="28"/>
          <w:szCs w:val="28"/>
        </w:rPr>
        <w:t>收</w:t>
      </w:r>
      <w:r>
        <w:rPr>
          <w:rStyle w:val="18"/>
          <w:rFonts w:hint="eastAsia" w:ascii="仿宋" w:hAnsi="仿宋" w:eastAsia="仿宋" w:cstheme="majorBidi"/>
          <w:bCs/>
          <w:sz w:val="28"/>
          <w:szCs w:val="28"/>
        </w:rPr>
        <w:t>入决算情况说明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_Toc15396604 \h </w:instrText>
      </w:r>
      <w:r>
        <w:rPr>
          <w:rFonts w:ascii="仿宋" w:hAnsi="仿宋" w:eastAsia="仿宋"/>
          <w:sz w:val="28"/>
          <w:szCs w:val="28"/>
        </w:rPr>
        <w:fldChar w:fldCharType="separate"/>
      </w:r>
      <w:r>
        <w:rPr>
          <w:rFonts w:ascii="仿宋" w:hAnsi="仿宋" w:eastAsia="仿宋"/>
          <w:sz w:val="28"/>
          <w:szCs w:val="28"/>
        </w:rPr>
        <w:t>10</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cstheme="minorBidi"/>
          <w:sz w:val="28"/>
          <w:szCs w:val="28"/>
        </w:rPr>
      </w:pPr>
      <w:r>
        <w:fldChar w:fldCharType="begin"/>
      </w:r>
      <w:r>
        <w:instrText xml:space="preserve"> HYPERLINK \l "_Toc15396605" </w:instrText>
      </w:r>
      <w:r>
        <w:fldChar w:fldCharType="separate"/>
      </w:r>
      <w:r>
        <w:rPr>
          <w:rStyle w:val="18"/>
          <w:rFonts w:hint="eastAsia" w:ascii="仿宋" w:hAnsi="仿宋" w:eastAsia="仿宋" w:cstheme="majorBidi"/>
          <w:bCs/>
          <w:sz w:val="28"/>
          <w:szCs w:val="28"/>
        </w:rPr>
        <w:t>三、</w:t>
      </w:r>
      <w:r>
        <w:rPr>
          <w:rStyle w:val="18"/>
          <w:rFonts w:hint="eastAsia" w:ascii="仿宋" w:hAnsi="仿宋" w:eastAsia="仿宋"/>
          <w:sz w:val="28"/>
          <w:szCs w:val="28"/>
        </w:rPr>
        <w:t>支</w:t>
      </w:r>
      <w:r>
        <w:rPr>
          <w:rStyle w:val="18"/>
          <w:rFonts w:hint="eastAsia" w:ascii="仿宋" w:hAnsi="仿宋" w:eastAsia="仿宋" w:cstheme="majorBidi"/>
          <w:bCs/>
          <w:sz w:val="28"/>
          <w:szCs w:val="28"/>
        </w:rPr>
        <w:t>出决算情况说明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_Toc15396605 \h </w:instrText>
      </w:r>
      <w:r>
        <w:rPr>
          <w:rFonts w:ascii="仿宋" w:hAnsi="仿宋" w:eastAsia="仿宋"/>
          <w:sz w:val="28"/>
          <w:szCs w:val="28"/>
        </w:rPr>
        <w:fldChar w:fldCharType="separate"/>
      </w:r>
      <w:r>
        <w:rPr>
          <w:rFonts w:ascii="仿宋" w:hAnsi="仿宋" w:eastAsia="仿宋"/>
          <w:sz w:val="28"/>
          <w:szCs w:val="28"/>
        </w:rPr>
        <w:t>10</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cstheme="minorBidi"/>
          <w:sz w:val="28"/>
          <w:szCs w:val="28"/>
        </w:rPr>
      </w:pPr>
      <w:r>
        <w:fldChar w:fldCharType="begin"/>
      </w:r>
      <w:r>
        <w:instrText xml:space="preserve"> HYPERLINK \l "_Toc15396606" </w:instrText>
      </w:r>
      <w:r>
        <w:fldChar w:fldCharType="separate"/>
      </w:r>
      <w:r>
        <w:rPr>
          <w:rStyle w:val="18"/>
          <w:rFonts w:hint="eastAsia" w:ascii="仿宋" w:hAnsi="仿宋" w:eastAsia="仿宋"/>
          <w:sz w:val="28"/>
          <w:szCs w:val="28"/>
        </w:rPr>
        <w:t>四、财</w:t>
      </w:r>
      <w:r>
        <w:rPr>
          <w:rStyle w:val="18"/>
          <w:rFonts w:hint="eastAsia" w:ascii="仿宋" w:hAnsi="仿宋" w:eastAsia="仿宋" w:cstheme="majorBidi"/>
          <w:bCs/>
          <w:sz w:val="28"/>
          <w:szCs w:val="28"/>
        </w:rPr>
        <w:t>政拨款收入支出决算总体情况说明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_Toc15396606 \h </w:instrText>
      </w:r>
      <w:r>
        <w:rPr>
          <w:rFonts w:ascii="仿宋" w:hAnsi="仿宋" w:eastAsia="仿宋"/>
          <w:sz w:val="28"/>
          <w:szCs w:val="28"/>
        </w:rPr>
        <w:fldChar w:fldCharType="separate"/>
      </w:r>
      <w:r>
        <w:rPr>
          <w:rFonts w:ascii="仿宋" w:hAnsi="仿宋" w:eastAsia="仿宋"/>
          <w:sz w:val="28"/>
          <w:szCs w:val="28"/>
        </w:rPr>
        <w:t>10</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cstheme="minorBidi"/>
          <w:sz w:val="28"/>
          <w:szCs w:val="28"/>
        </w:rPr>
      </w:pPr>
      <w:r>
        <w:fldChar w:fldCharType="begin"/>
      </w:r>
      <w:r>
        <w:instrText xml:space="preserve"> HYPERLINK \l "_Toc15396607" </w:instrText>
      </w:r>
      <w:r>
        <w:fldChar w:fldCharType="separate"/>
      </w:r>
      <w:r>
        <w:rPr>
          <w:rStyle w:val="18"/>
          <w:rFonts w:hint="eastAsia" w:ascii="仿宋" w:hAnsi="仿宋" w:eastAsia="仿宋"/>
          <w:sz w:val="28"/>
          <w:szCs w:val="28"/>
        </w:rPr>
        <w:t>五、一</w:t>
      </w:r>
      <w:r>
        <w:rPr>
          <w:rStyle w:val="18"/>
          <w:rFonts w:hint="eastAsia" w:ascii="仿宋" w:hAnsi="仿宋" w:eastAsia="仿宋" w:cstheme="majorBidi"/>
          <w:bCs/>
          <w:sz w:val="28"/>
          <w:szCs w:val="28"/>
        </w:rPr>
        <w:t>般公共预算财政拨款支出决算情况说明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_Toc15396607 \h </w:instrText>
      </w:r>
      <w:r>
        <w:rPr>
          <w:rFonts w:ascii="仿宋" w:hAnsi="仿宋" w:eastAsia="仿宋"/>
          <w:sz w:val="28"/>
          <w:szCs w:val="28"/>
        </w:rPr>
        <w:fldChar w:fldCharType="separate"/>
      </w:r>
      <w:r>
        <w:rPr>
          <w:rFonts w:ascii="仿宋" w:hAnsi="仿宋" w:eastAsia="仿宋"/>
          <w:sz w:val="28"/>
          <w:szCs w:val="28"/>
        </w:rPr>
        <w:t>10</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cstheme="minorBidi"/>
          <w:sz w:val="28"/>
          <w:szCs w:val="28"/>
        </w:rPr>
      </w:pPr>
      <w:r>
        <w:fldChar w:fldCharType="begin"/>
      </w:r>
      <w:r>
        <w:instrText xml:space="preserve"> HYPERLINK \l "_Toc15396608" </w:instrText>
      </w:r>
      <w:r>
        <w:fldChar w:fldCharType="separate"/>
      </w:r>
      <w:r>
        <w:rPr>
          <w:rStyle w:val="18"/>
          <w:rFonts w:hint="eastAsia" w:ascii="仿宋" w:hAnsi="仿宋" w:eastAsia="仿宋"/>
          <w:sz w:val="28"/>
          <w:szCs w:val="28"/>
        </w:rPr>
        <w:t>六、一</w:t>
      </w:r>
      <w:r>
        <w:rPr>
          <w:rStyle w:val="18"/>
          <w:rFonts w:hint="eastAsia" w:ascii="仿宋" w:hAnsi="仿宋" w:eastAsia="仿宋" w:cstheme="majorBidi"/>
          <w:bCs/>
          <w:sz w:val="28"/>
          <w:szCs w:val="28"/>
        </w:rPr>
        <w:t>般公共预算财政拨款基本支出决算情况说明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_Toc15396608 \h </w:instrText>
      </w:r>
      <w:r>
        <w:rPr>
          <w:rFonts w:ascii="仿宋" w:hAnsi="仿宋" w:eastAsia="仿宋"/>
          <w:sz w:val="28"/>
          <w:szCs w:val="28"/>
        </w:rPr>
        <w:fldChar w:fldCharType="separate"/>
      </w:r>
      <w:r>
        <w:rPr>
          <w:rFonts w:ascii="仿宋" w:hAnsi="仿宋" w:eastAsia="仿宋"/>
          <w:sz w:val="28"/>
          <w:szCs w:val="28"/>
        </w:rPr>
        <w:t>12</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cstheme="minorBidi"/>
          <w:sz w:val="28"/>
          <w:szCs w:val="28"/>
        </w:rPr>
      </w:pPr>
      <w:r>
        <w:fldChar w:fldCharType="begin"/>
      </w:r>
      <w:r>
        <w:instrText xml:space="preserve"> HYPERLINK \l "_Toc15396609" </w:instrText>
      </w:r>
      <w:r>
        <w:fldChar w:fldCharType="separate"/>
      </w:r>
      <w:r>
        <w:rPr>
          <w:rStyle w:val="18"/>
          <w:rFonts w:hint="eastAsia" w:ascii="仿宋" w:hAnsi="仿宋" w:eastAsia="仿宋"/>
          <w:sz w:val="28"/>
          <w:szCs w:val="28"/>
        </w:rPr>
        <w:t>七、</w:t>
      </w:r>
      <w:r>
        <w:rPr>
          <w:rStyle w:val="18"/>
          <w:rFonts w:ascii="仿宋" w:hAnsi="仿宋" w:eastAsia="仿宋"/>
          <w:sz w:val="28"/>
          <w:szCs w:val="28"/>
        </w:rPr>
        <w:t>“</w:t>
      </w:r>
      <w:r>
        <w:rPr>
          <w:rStyle w:val="18"/>
          <w:rFonts w:hint="eastAsia" w:ascii="仿宋" w:hAnsi="仿宋" w:eastAsia="仿宋" w:cstheme="majorBidi"/>
          <w:bCs/>
          <w:sz w:val="28"/>
          <w:szCs w:val="28"/>
        </w:rPr>
        <w:t>三公”经费财政拨款支出决算情况说明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_Toc15396609 \h </w:instrText>
      </w:r>
      <w:r>
        <w:rPr>
          <w:rFonts w:ascii="仿宋" w:hAnsi="仿宋" w:eastAsia="仿宋"/>
          <w:sz w:val="28"/>
          <w:szCs w:val="28"/>
        </w:rPr>
        <w:fldChar w:fldCharType="separate"/>
      </w:r>
      <w:r>
        <w:rPr>
          <w:rFonts w:ascii="仿宋" w:hAnsi="仿宋" w:eastAsia="仿宋"/>
          <w:sz w:val="28"/>
          <w:szCs w:val="28"/>
        </w:rPr>
        <w:t>13</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cstheme="minorBidi"/>
          <w:sz w:val="28"/>
          <w:szCs w:val="28"/>
        </w:rPr>
      </w:pPr>
      <w:r>
        <w:fldChar w:fldCharType="begin"/>
      </w:r>
      <w:r>
        <w:instrText xml:space="preserve"> HYPERLINK \l "_Toc15396610" </w:instrText>
      </w:r>
      <w:r>
        <w:fldChar w:fldCharType="separate"/>
      </w:r>
      <w:r>
        <w:rPr>
          <w:rStyle w:val="18"/>
          <w:rFonts w:hint="eastAsia" w:ascii="仿宋" w:hAnsi="仿宋" w:eastAsia="仿宋"/>
          <w:sz w:val="28"/>
          <w:szCs w:val="28"/>
        </w:rPr>
        <w:t>八、</w:t>
      </w:r>
      <w:r>
        <w:rPr>
          <w:rStyle w:val="18"/>
          <w:rFonts w:hint="eastAsia" w:ascii="仿宋" w:hAnsi="仿宋" w:eastAsia="仿宋" w:cstheme="majorBidi"/>
          <w:bCs/>
          <w:sz w:val="28"/>
          <w:szCs w:val="28"/>
        </w:rPr>
        <w:t>政府性基金预算支出决算情况说明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_Toc15396610 \h </w:instrText>
      </w:r>
      <w:r>
        <w:rPr>
          <w:rFonts w:ascii="仿宋" w:hAnsi="仿宋" w:eastAsia="仿宋"/>
          <w:sz w:val="28"/>
          <w:szCs w:val="28"/>
        </w:rPr>
        <w:fldChar w:fldCharType="separate"/>
      </w:r>
      <w:r>
        <w:rPr>
          <w:rFonts w:ascii="仿宋" w:hAnsi="仿宋" w:eastAsia="仿宋"/>
          <w:sz w:val="28"/>
          <w:szCs w:val="28"/>
        </w:rPr>
        <w:t>14</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cstheme="minorBidi"/>
          <w:sz w:val="28"/>
          <w:szCs w:val="28"/>
        </w:rPr>
      </w:pPr>
      <w:r>
        <w:fldChar w:fldCharType="begin"/>
      </w:r>
      <w:r>
        <w:instrText xml:space="preserve"> HYPERLINK \l "_Toc15396611" </w:instrText>
      </w:r>
      <w:r>
        <w:fldChar w:fldCharType="separate"/>
      </w:r>
      <w:r>
        <w:rPr>
          <w:rStyle w:val="18"/>
          <w:rFonts w:hint="eastAsia" w:ascii="仿宋" w:hAnsi="仿宋" w:eastAsia="仿宋" w:cstheme="majorBidi"/>
          <w:bCs/>
          <w:sz w:val="28"/>
          <w:szCs w:val="28"/>
        </w:rPr>
        <w:t>九、</w:t>
      </w:r>
      <w:r>
        <w:rPr>
          <w:rStyle w:val="18"/>
          <w:rFonts w:hint="eastAsia" w:ascii="仿宋" w:hAnsi="仿宋" w:eastAsia="仿宋"/>
          <w:sz w:val="28"/>
          <w:szCs w:val="28"/>
        </w:rPr>
        <w:t xml:space="preserve"> 国</w:t>
      </w:r>
      <w:r>
        <w:rPr>
          <w:rStyle w:val="18"/>
          <w:rFonts w:hint="eastAsia" w:ascii="仿宋" w:hAnsi="仿宋" w:eastAsia="仿宋" w:cstheme="majorBidi"/>
          <w:bCs/>
          <w:sz w:val="28"/>
          <w:szCs w:val="28"/>
        </w:rPr>
        <w:t>有资本经营预算支出决算情况说明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_Toc15396611 \h </w:instrText>
      </w:r>
      <w:r>
        <w:rPr>
          <w:rFonts w:ascii="仿宋" w:hAnsi="仿宋" w:eastAsia="仿宋"/>
          <w:sz w:val="28"/>
          <w:szCs w:val="28"/>
        </w:rPr>
        <w:fldChar w:fldCharType="separate"/>
      </w:r>
      <w:r>
        <w:rPr>
          <w:rFonts w:ascii="仿宋" w:hAnsi="仿宋" w:eastAsia="仿宋"/>
          <w:sz w:val="28"/>
          <w:szCs w:val="28"/>
        </w:rPr>
        <w:t>14</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cstheme="minorBidi"/>
          <w:sz w:val="28"/>
          <w:szCs w:val="28"/>
        </w:rPr>
      </w:pPr>
      <w:r>
        <w:fldChar w:fldCharType="begin"/>
      </w:r>
      <w:r>
        <w:instrText xml:space="preserve"> HYPERLINK \l "_Toc15396612" </w:instrText>
      </w:r>
      <w:r>
        <w:fldChar w:fldCharType="separate"/>
      </w:r>
      <w:r>
        <w:rPr>
          <w:rStyle w:val="18"/>
          <w:rFonts w:hint="eastAsia" w:ascii="仿宋" w:hAnsi="仿宋" w:eastAsia="仿宋"/>
          <w:sz w:val="28"/>
          <w:szCs w:val="28"/>
        </w:rPr>
        <w:t>十</w:t>
      </w:r>
      <w:r>
        <w:rPr>
          <w:rStyle w:val="18"/>
          <w:rFonts w:hint="eastAsia" w:ascii="仿宋" w:hAnsi="仿宋" w:eastAsia="仿宋" w:cstheme="majorBidi"/>
          <w:bCs/>
          <w:sz w:val="28"/>
          <w:szCs w:val="28"/>
        </w:rPr>
        <w:t>一、其他重要事项的情况说明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_Toc15396612 \h </w:instrText>
      </w:r>
      <w:r>
        <w:rPr>
          <w:rFonts w:ascii="仿宋" w:hAnsi="仿宋" w:eastAsia="仿宋"/>
          <w:sz w:val="28"/>
          <w:szCs w:val="28"/>
        </w:rPr>
        <w:fldChar w:fldCharType="separate"/>
      </w:r>
      <w:r>
        <w:rPr>
          <w:rFonts w:ascii="仿宋" w:hAnsi="仿宋" w:eastAsia="仿宋"/>
          <w:sz w:val="28"/>
          <w:szCs w:val="28"/>
        </w:rPr>
        <w:t>25</w:t>
      </w:r>
      <w:r>
        <w:rPr>
          <w:rFonts w:ascii="仿宋" w:hAnsi="仿宋" w:eastAsia="仿宋"/>
          <w:sz w:val="28"/>
          <w:szCs w:val="28"/>
        </w:rPr>
        <w:fldChar w:fldCharType="end"/>
      </w:r>
      <w:r>
        <w:rPr>
          <w:rFonts w:ascii="仿宋" w:hAnsi="仿宋" w:eastAsia="仿宋"/>
          <w:sz w:val="28"/>
          <w:szCs w:val="28"/>
        </w:rPr>
        <w:fldChar w:fldCharType="end"/>
      </w:r>
    </w:p>
    <w:p>
      <w:pPr>
        <w:pStyle w:val="10"/>
        <w:rPr>
          <w:rFonts w:cstheme="minorBidi"/>
        </w:rPr>
      </w:pPr>
      <w:r>
        <w:fldChar w:fldCharType="begin"/>
      </w:r>
      <w:r>
        <w:instrText xml:space="preserve"> HYPERLINK \l "_Toc15396613" </w:instrText>
      </w:r>
      <w:r>
        <w:fldChar w:fldCharType="separate"/>
      </w:r>
      <w:r>
        <w:rPr>
          <w:rStyle w:val="18"/>
          <w:rFonts w:hint="eastAsia"/>
          <w:bCs/>
          <w:kern w:val="44"/>
        </w:rPr>
        <w:t>第三部分</w:t>
      </w:r>
      <w:r>
        <w:rPr>
          <w:rStyle w:val="18"/>
          <w:rFonts w:hint="eastAsia"/>
        </w:rPr>
        <w:t xml:space="preserve"> 名</w:t>
      </w:r>
      <w:r>
        <w:rPr>
          <w:rStyle w:val="18"/>
          <w:rFonts w:hint="eastAsia"/>
          <w:bCs/>
          <w:kern w:val="44"/>
        </w:rPr>
        <w:t>词解释</w:t>
      </w:r>
      <w:r>
        <w:tab/>
      </w:r>
      <w:r>
        <w:fldChar w:fldCharType="begin"/>
      </w:r>
      <w:r>
        <w:instrText xml:space="preserve"> PAGEREF _Toc15396613 \h </w:instrText>
      </w:r>
      <w:r>
        <w:fldChar w:fldCharType="separate"/>
      </w:r>
      <w:r>
        <w:t>26</w:t>
      </w:r>
      <w:r>
        <w:fldChar w:fldCharType="end"/>
      </w:r>
      <w:r>
        <w:fldChar w:fldCharType="end"/>
      </w:r>
    </w:p>
    <w:p>
      <w:pPr>
        <w:pStyle w:val="10"/>
        <w:rPr>
          <w:rFonts w:ascii="仿宋" w:hAnsi="仿宋" w:eastAsia="仿宋" w:cstheme="minorBidi"/>
          <w:sz w:val="28"/>
          <w:szCs w:val="28"/>
        </w:rPr>
      </w:pPr>
      <w:r>
        <w:fldChar w:fldCharType="begin"/>
      </w:r>
      <w:r>
        <w:instrText xml:space="preserve"> HYPERLINK \l "_Toc15396614" </w:instrText>
      </w:r>
      <w:r>
        <w:fldChar w:fldCharType="separate"/>
      </w:r>
      <w:r>
        <w:rPr>
          <w:rStyle w:val="18"/>
          <w:rFonts w:hint="eastAsia"/>
        </w:rPr>
        <w:t>第</w:t>
      </w:r>
      <w:r>
        <w:rPr>
          <w:rStyle w:val="18"/>
          <w:rFonts w:hint="eastAsia"/>
          <w:bCs/>
          <w:kern w:val="44"/>
        </w:rPr>
        <w:t>四部分附件</w:t>
      </w:r>
      <w:r>
        <w:tab/>
      </w:r>
      <w:r>
        <w:fldChar w:fldCharType="begin"/>
      </w:r>
      <w:r>
        <w:instrText xml:space="preserve"> PAGEREF _Toc15396614 \h </w:instrText>
      </w:r>
      <w:r>
        <w:fldChar w:fldCharType="separate"/>
      </w:r>
      <w:r>
        <w:t>28</w:t>
      </w:r>
      <w:r>
        <w:fldChar w:fldCharType="end"/>
      </w:r>
      <w:r>
        <w:fldChar w:fldCharType="end"/>
      </w:r>
    </w:p>
    <w:p>
      <w:pPr>
        <w:pStyle w:val="10"/>
        <w:rPr>
          <w:rFonts w:cstheme="minorBidi"/>
        </w:rPr>
      </w:pPr>
      <w:r>
        <w:fldChar w:fldCharType="begin"/>
      </w:r>
      <w:r>
        <w:instrText xml:space="preserve"> HYPERLINK \l "_Toc15396618" </w:instrText>
      </w:r>
      <w:r>
        <w:fldChar w:fldCharType="separate"/>
      </w:r>
      <w:r>
        <w:rPr>
          <w:rStyle w:val="18"/>
          <w:rFonts w:hint="eastAsia"/>
        </w:rPr>
        <w:t>第</w:t>
      </w:r>
      <w:r>
        <w:rPr>
          <w:rStyle w:val="18"/>
          <w:rFonts w:hint="eastAsia"/>
          <w:bCs/>
          <w:kern w:val="44"/>
        </w:rPr>
        <w:t>五部分附表</w:t>
      </w:r>
      <w:r>
        <w:tab/>
      </w:r>
      <w:r>
        <w:fldChar w:fldCharType="begin"/>
      </w:r>
      <w:r>
        <w:instrText xml:space="preserve"> PAGEREF _Toc15396618 \h </w:instrText>
      </w:r>
      <w:r>
        <w:fldChar w:fldCharType="separate"/>
      </w:r>
      <w:r>
        <w:t>33</w:t>
      </w:r>
      <w:r>
        <w:fldChar w:fldCharType="end"/>
      </w:r>
      <w:r>
        <w:fldChar w:fldCharType="end"/>
      </w:r>
    </w:p>
    <w:p>
      <w:pPr>
        <w:pStyle w:val="11"/>
        <w:rPr>
          <w:rFonts w:ascii="仿宋" w:hAnsi="仿宋" w:eastAsia="仿宋" w:cstheme="minorBidi"/>
          <w:sz w:val="28"/>
          <w:szCs w:val="28"/>
        </w:rPr>
      </w:pPr>
      <w:r>
        <w:rPr>
          <w:rFonts w:hint="eastAsia" w:ascii="仿宋" w:hAnsi="仿宋" w:eastAsia="仿宋"/>
          <w:sz w:val="28"/>
          <w:szCs w:val="28"/>
        </w:rPr>
        <w:t>一、</w:t>
      </w:r>
      <w:r>
        <w:fldChar w:fldCharType="begin"/>
      </w:r>
      <w:r>
        <w:instrText xml:space="preserve"> HYPERLINK \l "_Toc15396619" </w:instrText>
      </w:r>
      <w:r>
        <w:fldChar w:fldCharType="separate"/>
      </w:r>
      <w:r>
        <w:rPr>
          <w:rStyle w:val="18"/>
          <w:rFonts w:hint="eastAsia" w:ascii="仿宋" w:hAnsi="仿宋" w:eastAsia="仿宋"/>
          <w:sz w:val="28"/>
          <w:szCs w:val="28"/>
        </w:rPr>
        <w:t>收入支出决算总表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_Toc15396619 \h </w:instrText>
      </w:r>
      <w:r>
        <w:rPr>
          <w:rFonts w:ascii="仿宋" w:hAnsi="仿宋" w:eastAsia="仿宋"/>
          <w:sz w:val="28"/>
          <w:szCs w:val="28"/>
        </w:rPr>
        <w:fldChar w:fldCharType="separate"/>
      </w:r>
      <w:r>
        <w:rPr>
          <w:rFonts w:ascii="仿宋" w:hAnsi="仿宋" w:eastAsia="仿宋"/>
          <w:sz w:val="28"/>
          <w:szCs w:val="28"/>
        </w:rPr>
        <w:t>33</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cstheme="minorBidi"/>
          <w:sz w:val="28"/>
          <w:szCs w:val="28"/>
        </w:rPr>
      </w:pPr>
      <w:r>
        <w:rPr>
          <w:rFonts w:hint="eastAsia" w:ascii="仿宋" w:hAnsi="仿宋" w:eastAsia="仿宋"/>
          <w:sz w:val="28"/>
          <w:szCs w:val="28"/>
        </w:rPr>
        <w:t>二、</w:t>
      </w:r>
      <w:r>
        <w:fldChar w:fldCharType="begin"/>
      </w:r>
      <w:r>
        <w:instrText xml:space="preserve"> HYPERLINK \l "_Toc15396620" </w:instrText>
      </w:r>
      <w:r>
        <w:fldChar w:fldCharType="separate"/>
      </w:r>
      <w:r>
        <w:rPr>
          <w:rStyle w:val="18"/>
          <w:rFonts w:hint="eastAsia" w:ascii="仿宋" w:hAnsi="仿宋" w:eastAsia="仿宋"/>
          <w:sz w:val="28"/>
          <w:szCs w:val="28"/>
        </w:rPr>
        <w:t>收入总表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_Toc15396620 \h </w:instrText>
      </w:r>
      <w:r>
        <w:rPr>
          <w:rFonts w:ascii="仿宋" w:hAnsi="仿宋" w:eastAsia="仿宋"/>
          <w:sz w:val="28"/>
          <w:szCs w:val="28"/>
        </w:rPr>
        <w:fldChar w:fldCharType="separate"/>
      </w:r>
      <w:r>
        <w:rPr>
          <w:rFonts w:ascii="仿宋" w:hAnsi="仿宋" w:eastAsia="仿宋"/>
          <w:sz w:val="28"/>
          <w:szCs w:val="28"/>
        </w:rPr>
        <w:t>33</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cstheme="minorBidi"/>
          <w:sz w:val="28"/>
          <w:szCs w:val="28"/>
        </w:rPr>
      </w:pPr>
      <w:r>
        <w:rPr>
          <w:rFonts w:hint="eastAsia" w:ascii="仿宋" w:hAnsi="仿宋" w:eastAsia="仿宋"/>
          <w:sz w:val="28"/>
          <w:szCs w:val="28"/>
        </w:rPr>
        <w:t>三、</w:t>
      </w:r>
      <w:r>
        <w:fldChar w:fldCharType="begin"/>
      </w:r>
      <w:r>
        <w:instrText xml:space="preserve"> HYPERLINK \l "_Toc15396621" </w:instrText>
      </w:r>
      <w:r>
        <w:fldChar w:fldCharType="separate"/>
      </w:r>
      <w:r>
        <w:rPr>
          <w:rStyle w:val="18"/>
          <w:rFonts w:hint="eastAsia" w:ascii="仿宋" w:hAnsi="仿宋" w:eastAsia="仿宋"/>
          <w:sz w:val="28"/>
          <w:szCs w:val="28"/>
        </w:rPr>
        <w:t>支出总表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_Toc15396621 \h </w:instrText>
      </w:r>
      <w:r>
        <w:rPr>
          <w:rFonts w:ascii="仿宋" w:hAnsi="仿宋" w:eastAsia="仿宋"/>
          <w:sz w:val="28"/>
          <w:szCs w:val="28"/>
        </w:rPr>
        <w:fldChar w:fldCharType="separate"/>
      </w:r>
      <w:r>
        <w:rPr>
          <w:rFonts w:ascii="仿宋" w:hAnsi="仿宋" w:eastAsia="仿宋"/>
          <w:sz w:val="28"/>
          <w:szCs w:val="28"/>
        </w:rPr>
        <w:t>33</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cstheme="minorBidi"/>
          <w:sz w:val="28"/>
          <w:szCs w:val="28"/>
        </w:rPr>
      </w:pPr>
      <w:r>
        <w:rPr>
          <w:rFonts w:hint="eastAsia" w:ascii="仿宋" w:hAnsi="仿宋" w:eastAsia="仿宋"/>
          <w:sz w:val="28"/>
          <w:szCs w:val="28"/>
        </w:rPr>
        <w:t>四、</w:t>
      </w:r>
      <w:r>
        <w:fldChar w:fldCharType="begin"/>
      </w:r>
      <w:r>
        <w:instrText xml:space="preserve"> HYPERLINK \l "_Toc15396622" </w:instrText>
      </w:r>
      <w:r>
        <w:fldChar w:fldCharType="separate"/>
      </w:r>
      <w:r>
        <w:rPr>
          <w:rStyle w:val="18"/>
          <w:rFonts w:hint="eastAsia" w:ascii="仿宋" w:hAnsi="仿宋" w:eastAsia="仿宋"/>
          <w:sz w:val="28"/>
          <w:szCs w:val="28"/>
        </w:rPr>
        <w:t>财政拨款收入支出决算总表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_Toc15396622 \h </w:instrText>
      </w:r>
      <w:r>
        <w:rPr>
          <w:rFonts w:ascii="仿宋" w:hAnsi="仿宋" w:eastAsia="仿宋"/>
          <w:sz w:val="28"/>
          <w:szCs w:val="28"/>
        </w:rPr>
        <w:fldChar w:fldCharType="separate"/>
      </w:r>
      <w:r>
        <w:rPr>
          <w:rFonts w:ascii="仿宋" w:hAnsi="仿宋" w:eastAsia="仿宋"/>
          <w:sz w:val="28"/>
          <w:szCs w:val="28"/>
        </w:rPr>
        <w:t>33</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sz w:val="28"/>
          <w:szCs w:val="28"/>
        </w:rPr>
      </w:pPr>
      <w:r>
        <w:rPr>
          <w:rFonts w:hint="eastAsia" w:ascii="仿宋" w:hAnsi="仿宋" w:eastAsia="仿宋"/>
          <w:sz w:val="28"/>
          <w:szCs w:val="28"/>
        </w:rPr>
        <w:t>五、</w:t>
      </w:r>
      <w:r>
        <w:fldChar w:fldCharType="begin"/>
      </w:r>
      <w:r>
        <w:instrText xml:space="preserve"> HYPERLINK \l "_Toc15396623" </w:instrText>
      </w:r>
      <w:r>
        <w:fldChar w:fldCharType="separate"/>
      </w:r>
      <w:r>
        <w:rPr>
          <w:rFonts w:hint="eastAsia" w:ascii="仿宋" w:hAnsi="仿宋" w:eastAsia="仿宋"/>
          <w:sz w:val="28"/>
          <w:szCs w:val="28"/>
        </w:rPr>
        <w:t>财政拨款支出决算明细表（政府经济分类科目）</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_Toc15396623 \h </w:instrText>
      </w:r>
      <w:r>
        <w:rPr>
          <w:rFonts w:ascii="仿宋" w:hAnsi="仿宋" w:eastAsia="仿宋"/>
          <w:sz w:val="28"/>
          <w:szCs w:val="28"/>
        </w:rPr>
        <w:fldChar w:fldCharType="separate"/>
      </w:r>
      <w:r>
        <w:rPr>
          <w:rFonts w:ascii="仿宋" w:hAnsi="仿宋" w:eastAsia="仿宋"/>
          <w:sz w:val="28"/>
          <w:szCs w:val="28"/>
        </w:rPr>
        <w:t>33</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cstheme="minorBidi"/>
          <w:sz w:val="28"/>
          <w:szCs w:val="28"/>
        </w:rPr>
      </w:pPr>
      <w:r>
        <w:rPr>
          <w:rFonts w:hint="eastAsia" w:ascii="仿宋" w:hAnsi="仿宋" w:eastAsia="仿宋"/>
          <w:sz w:val="28"/>
          <w:szCs w:val="28"/>
        </w:rPr>
        <w:t>六、</w:t>
      </w:r>
      <w:r>
        <w:fldChar w:fldCharType="begin"/>
      </w:r>
      <w:r>
        <w:instrText xml:space="preserve"> HYPERLINK \l "_Toc15396624" </w:instrText>
      </w:r>
      <w:r>
        <w:fldChar w:fldCharType="separate"/>
      </w:r>
      <w:r>
        <w:rPr>
          <w:rStyle w:val="18"/>
          <w:rFonts w:hint="eastAsia" w:ascii="仿宋" w:hAnsi="仿宋" w:eastAsia="仿宋"/>
          <w:sz w:val="28"/>
          <w:szCs w:val="28"/>
        </w:rPr>
        <w:t>一般公共预算财政拨款支出决算表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_Toc15396624 \h </w:instrText>
      </w:r>
      <w:r>
        <w:rPr>
          <w:rFonts w:ascii="仿宋" w:hAnsi="仿宋" w:eastAsia="仿宋"/>
          <w:sz w:val="28"/>
          <w:szCs w:val="28"/>
        </w:rPr>
        <w:fldChar w:fldCharType="separate"/>
      </w:r>
      <w:r>
        <w:rPr>
          <w:rFonts w:ascii="仿宋" w:hAnsi="仿宋" w:eastAsia="仿宋"/>
          <w:sz w:val="28"/>
          <w:szCs w:val="28"/>
        </w:rPr>
        <w:t>33</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cstheme="minorBidi"/>
          <w:sz w:val="28"/>
          <w:szCs w:val="28"/>
        </w:rPr>
      </w:pPr>
      <w:r>
        <w:rPr>
          <w:rFonts w:hint="eastAsia" w:ascii="仿宋" w:hAnsi="仿宋" w:eastAsia="仿宋"/>
          <w:sz w:val="28"/>
          <w:szCs w:val="28"/>
        </w:rPr>
        <w:t>七、</w:t>
      </w:r>
      <w:r>
        <w:fldChar w:fldCharType="begin"/>
      </w:r>
      <w:r>
        <w:instrText xml:space="preserve"> HYPERLINK \l "_Toc15396625" </w:instrText>
      </w:r>
      <w:r>
        <w:fldChar w:fldCharType="separate"/>
      </w:r>
      <w:r>
        <w:rPr>
          <w:rStyle w:val="18"/>
          <w:rFonts w:hint="eastAsia" w:ascii="仿宋" w:hAnsi="仿宋" w:eastAsia="仿宋"/>
          <w:sz w:val="28"/>
          <w:szCs w:val="28"/>
        </w:rPr>
        <w:t>一般公共预算财政拨款支出决算明细表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_Toc15396625 \h </w:instrText>
      </w:r>
      <w:r>
        <w:rPr>
          <w:rFonts w:ascii="仿宋" w:hAnsi="仿宋" w:eastAsia="仿宋"/>
          <w:sz w:val="28"/>
          <w:szCs w:val="28"/>
        </w:rPr>
        <w:fldChar w:fldCharType="separate"/>
      </w:r>
      <w:r>
        <w:rPr>
          <w:rFonts w:ascii="仿宋" w:hAnsi="仿宋" w:eastAsia="仿宋"/>
          <w:sz w:val="28"/>
          <w:szCs w:val="28"/>
        </w:rPr>
        <w:t>33</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cstheme="minorBidi"/>
          <w:sz w:val="28"/>
          <w:szCs w:val="28"/>
        </w:rPr>
      </w:pPr>
      <w:r>
        <w:rPr>
          <w:rFonts w:hint="eastAsia" w:ascii="仿宋" w:hAnsi="仿宋" w:eastAsia="仿宋"/>
          <w:sz w:val="28"/>
          <w:szCs w:val="28"/>
        </w:rPr>
        <w:t>八、</w:t>
      </w:r>
      <w:r>
        <w:fldChar w:fldCharType="begin"/>
      </w:r>
      <w:r>
        <w:instrText xml:space="preserve"> HYPERLINK \l "_Toc15396626" </w:instrText>
      </w:r>
      <w:r>
        <w:fldChar w:fldCharType="separate"/>
      </w:r>
      <w:r>
        <w:rPr>
          <w:rStyle w:val="18"/>
          <w:rFonts w:hint="eastAsia" w:ascii="仿宋" w:hAnsi="仿宋" w:eastAsia="仿宋"/>
          <w:sz w:val="28"/>
          <w:szCs w:val="28"/>
        </w:rPr>
        <w:t>一般公共预算财政拨款基本支出决算表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_Toc15396626 \h </w:instrText>
      </w:r>
      <w:r>
        <w:rPr>
          <w:rFonts w:ascii="仿宋" w:hAnsi="仿宋" w:eastAsia="仿宋"/>
          <w:sz w:val="28"/>
          <w:szCs w:val="28"/>
        </w:rPr>
        <w:fldChar w:fldCharType="separate"/>
      </w:r>
      <w:r>
        <w:rPr>
          <w:rFonts w:ascii="仿宋" w:hAnsi="仿宋" w:eastAsia="仿宋"/>
          <w:sz w:val="28"/>
          <w:szCs w:val="28"/>
        </w:rPr>
        <w:t>33</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cstheme="minorBidi"/>
          <w:sz w:val="28"/>
          <w:szCs w:val="28"/>
        </w:rPr>
      </w:pPr>
      <w:r>
        <w:rPr>
          <w:rFonts w:hint="eastAsia" w:ascii="仿宋" w:hAnsi="仿宋" w:eastAsia="仿宋"/>
          <w:sz w:val="28"/>
          <w:szCs w:val="28"/>
        </w:rPr>
        <w:t>九、</w:t>
      </w:r>
      <w:r>
        <w:fldChar w:fldCharType="begin"/>
      </w:r>
      <w:r>
        <w:instrText xml:space="preserve"> HYPERLINK \l "_Toc15396627" </w:instrText>
      </w:r>
      <w:r>
        <w:fldChar w:fldCharType="separate"/>
      </w:r>
      <w:r>
        <w:rPr>
          <w:rStyle w:val="18"/>
          <w:rFonts w:hint="eastAsia" w:ascii="仿宋" w:hAnsi="仿宋" w:eastAsia="仿宋"/>
          <w:sz w:val="28"/>
          <w:szCs w:val="28"/>
        </w:rPr>
        <w:t>一般公共预算财政拨款项目支出决算表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_Toc15396627 \h </w:instrText>
      </w:r>
      <w:r>
        <w:rPr>
          <w:rFonts w:ascii="仿宋" w:hAnsi="仿宋" w:eastAsia="仿宋"/>
          <w:sz w:val="28"/>
          <w:szCs w:val="28"/>
        </w:rPr>
        <w:fldChar w:fldCharType="separate"/>
      </w:r>
      <w:r>
        <w:rPr>
          <w:rFonts w:ascii="仿宋" w:hAnsi="仿宋" w:eastAsia="仿宋"/>
          <w:sz w:val="28"/>
          <w:szCs w:val="28"/>
        </w:rPr>
        <w:t>33</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cstheme="minorBidi"/>
          <w:sz w:val="28"/>
          <w:szCs w:val="28"/>
        </w:rPr>
      </w:pPr>
      <w:r>
        <w:rPr>
          <w:rFonts w:hint="eastAsia" w:ascii="仿宋" w:hAnsi="仿宋" w:eastAsia="仿宋"/>
          <w:sz w:val="28"/>
          <w:szCs w:val="28"/>
        </w:rPr>
        <w:t>十、</w:t>
      </w:r>
      <w:r>
        <w:fldChar w:fldCharType="begin"/>
      </w:r>
      <w:r>
        <w:instrText xml:space="preserve"> HYPERLINK \l "_Toc15396628" </w:instrText>
      </w:r>
      <w:r>
        <w:fldChar w:fldCharType="separate"/>
      </w:r>
      <w:r>
        <w:rPr>
          <w:rStyle w:val="18"/>
          <w:rFonts w:hint="eastAsia" w:ascii="仿宋" w:hAnsi="仿宋" w:eastAsia="仿宋"/>
          <w:sz w:val="28"/>
          <w:szCs w:val="28"/>
        </w:rPr>
        <w:t>一般公共预算财政拨款“三公”经费支出决算表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_Toc15396628 \h </w:instrText>
      </w:r>
      <w:r>
        <w:rPr>
          <w:rFonts w:ascii="仿宋" w:hAnsi="仿宋" w:eastAsia="仿宋"/>
          <w:sz w:val="28"/>
          <w:szCs w:val="28"/>
        </w:rPr>
        <w:fldChar w:fldCharType="separate"/>
      </w:r>
      <w:r>
        <w:rPr>
          <w:rFonts w:ascii="仿宋" w:hAnsi="仿宋" w:eastAsia="仿宋"/>
          <w:sz w:val="28"/>
          <w:szCs w:val="28"/>
        </w:rPr>
        <w:t>33</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cstheme="minorBidi"/>
          <w:sz w:val="28"/>
          <w:szCs w:val="28"/>
        </w:rPr>
      </w:pPr>
      <w:r>
        <w:rPr>
          <w:rFonts w:hint="eastAsia" w:ascii="仿宋" w:hAnsi="仿宋" w:eastAsia="仿宋"/>
          <w:sz w:val="28"/>
          <w:szCs w:val="28"/>
        </w:rPr>
        <w:t>十一、</w:t>
      </w:r>
      <w:r>
        <w:fldChar w:fldCharType="begin"/>
      </w:r>
      <w:r>
        <w:instrText xml:space="preserve"> HYPERLINK \l "_Toc15396629" </w:instrText>
      </w:r>
      <w:r>
        <w:fldChar w:fldCharType="separate"/>
      </w:r>
      <w:r>
        <w:rPr>
          <w:rStyle w:val="18"/>
          <w:rFonts w:hint="eastAsia" w:ascii="仿宋" w:hAnsi="仿宋" w:eastAsia="仿宋"/>
          <w:sz w:val="28"/>
          <w:szCs w:val="28"/>
        </w:rPr>
        <w:t>政府性基金预算财政拨款收入支出决算表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_Toc15396629 \h </w:instrText>
      </w:r>
      <w:r>
        <w:rPr>
          <w:rFonts w:ascii="仿宋" w:hAnsi="仿宋" w:eastAsia="仿宋"/>
          <w:sz w:val="28"/>
          <w:szCs w:val="28"/>
        </w:rPr>
        <w:fldChar w:fldCharType="separate"/>
      </w:r>
      <w:r>
        <w:rPr>
          <w:rFonts w:ascii="仿宋" w:hAnsi="仿宋" w:eastAsia="仿宋"/>
          <w:sz w:val="28"/>
          <w:szCs w:val="28"/>
        </w:rPr>
        <w:t>33</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cstheme="minorBidi"/>
          <w:sz w:val="28"/>
          <w:szCs w:val="28"/>
        </w:rPr>
      </w:pPr>
      <w:r>
        <w:rPr>
          <w:rFonts w:hint="eastAsia" w:ascii="仿宋" w:hAnsi="仿宋" w:eastAsia="仿宋"/>
          <w:sz w:val="28"/>
          <w:szCs w:val="28"/>
        </w:rPr>
        <w:t>十二、</w:t>
      </w:r>
      <w:r>
        <w:fldChar w:fldCharType="begin"/>
      </w:r>
      <w:r>
        <w:instrText xml:space="preserve"> HYPERLINK \l "_Toc15396630" </w:instrText>
      </w:r>
      <w:r>
        <w:fldChar w:fldCharType="separate"/>
      </w:r>
      <w:r>
        <w:rPr>
          <w:rStyle w:val="18"/>
          <w:rFonts w:hint="eastAsia" w:ascii="仿宋" w:hAnsi="仿宋" w:eastAsia="仿宋"/>
          <w:sz w:val="28"/>
          <w:szCs w:val="28"/>
        </w:rPr>
        <w:t>政府性基金预算财政拨款“三公”经费支出决算表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_Toc15396630 \h </w:instrText>
      </w:r>
      <w:r>
        <w:rPr>
          <w:rFonts w:ascii="仿宋" w:hAnsi="仿宋" w:eastAsia="仿宋"/>
          <w:sz w:val="28"/>
          <w:szCs w:val="28"/>
        </w:rPr>
        <w:fldChar w:fldCharType="separate"/>
      </w:r>
      <w:r>
        <w:rPr>
          <w:rFonts w:ascii="仿宋" w:hAnsi="仿宋" w:eastAsia="仿宋"/>
          <w:sz w:val="28"/>
          <w:szCs w:val="28"/>
        </w:rPr>
        <w:t>33</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cstheme="minorBidi"/>
          <w:sz w:val="24"/>
        </w:rPr>
      </w:pPr>
      <w:r>
        <w:rPr>
          <w:rFonts w:hint="eastAsia" w:ascii="仿宋" w:hAnsi="仿宋" w:eastAsia="仿宋"/>
          <w:sz w:val="28"/>
          <w:szCs w:val="28"/>
        </w:rPr>
        <w:t>十三、</w:t>
      </w:r>
      <w:r>
        <w:fldChar w:fldCharType="begin"/>
      </w:r>
      <w:r>
        <w:instrText xml:space="preserve"> HYPERLINK \l "_Toc15396631" </w:instrText>
      </w:r>
      <w:r>
        <w:fldChar w:fldCharType="separate"/>
      </w:r>
      <w:r>
        <w:rPr>
          <w:rStyle w:val="18"/>
          <w:rFonts w:hint="eastAsia" w:ascii="仿宋" w:hAnsi="仿宋" w:eastAsia="仿宋"/>
          <w:sz w:val="28"/>
          <w:szCs w:val="28"/>
        </w:rPr>
        <w:t>国有资本经营预算支出决算表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_Toc15396631 \h </w:instrText>
      </w:r>
      <w:r>
        <w:rPr>
          <w:rFonts w:ascii="仿宋" w:hAnsi="仿宋" w:eastAsia="仿宋"/>
          <w:sz w:val="28"/>
          <w:szCs w:val="28"/>
        </w:rPr>
        <w:fldChar w:fldCharType="separate"/>
      </w:r>
      <w:r>
        <w:rPr>
          <w:rFonts w:ascii="仿宋" w:hAnsi="仿宋" w:eastAsia="仿宋"/>
          <w:sz w:val="28"/>
          <w:szCs w:val="28"/>
        </w:rPr>
        <w:t>33</w:t>
      </w:r>
      <w:r>
        <w:rPr>
          <w:rFonts w:ascii="仿宋" w:hAnsi="仿宋" w:eastAsia="仿宋"/>
          <w:sz w:val="28"/>
          <w:szCs w:val="28"/>
        </w:rPr>
        <w:fldChar w:fldCharType="end"/>
      </w:r>
      <w:r>
        <w:rPr>
          <w:rFonts w:ascii="仿宋" w:hAnsi="仿宋" w:eastAsia="仿宋"/>
          <w:sz w:val="28"/>
          <w:szCs w:val="28"/>
        </w:rPr>
        <w:fldChar w:fldCharType="end"/>
      </w:r>
    </w:p>
    <w:p>
      <w:pPr>
        <w:widowControl/>
        <w:jc w:val="center"/>
        <w:rPr>
          <w:rFonts w:ascii="方正小标宋简体" w:hAnsi="宋体" w:eastAsia="方正小标宋简体"/>
          <w:color w:val="000000"/>
          <w:sz w:val="36"/>
          <w:szCs w:val="36"/>
        </w:rPr>
      </w:pPr>
      <w:r>
        <w:rPr>
          <w:rFonts w:ascii="仿宋" w:hAnsi="仿宋" w:eastAsia="仿宋"/>
          <w:color w:val="000000"/>
          <w:sz w:val="24"/>
        </w:rPr>
        <w:fldChar w:fldCharType="end"/>
      </w:r>
    </w:p>
    <w:p>
      <w:pPr>
        <w:widowControl/>
        <w:numPr>
          <w:ilvl w:val="0"/>
          <w:numId w:val="1"/>
        </w:numPr>
        <w:jc w:val="center"/>
        <w:rPr>
          <w:rStyle w:val="22"/>
          <w:rFonts w:ascii="黑体" w:hAnsi="黑体" w:eastAsia="黑体"/>
          <w:b w:val="0"/>
          <w:bCs w:val="0"/>
          <w:sz w:val="36"/>
          <w:szCs w:val="36"/>
        </w:rPr>
      </w:pPr>
      <w:bookmarkStart w:id="12" w:name="_Toc15396599"/>
      <w:bookmarkStart w:id="13" w:name="_Toc15377196"/>
      <w:r>
        <w:rPr>
          <w:rFonts w:ascii="黑体" w:hAnsi="黑体" w:eastAsia="黑体"/>
          <w:b/>
        </w:rPr>
        <w:br w:type="page"/>
      </w:r>
      <w:r>
        <w:rPr>
          <w:rStyle w:val="22"/>
          <w:rFonts w:hint="eastAsia" w:ascii="黑体" w:hAnsi="黑体" w:eastAsia="黑体"/>
          <w:b w:val="0"/>
          <w:bCs w:val="0"/>
          <w:sz w:val="36"/>
          <w:szCs w:val="36"/>
        </w:rPr>
        <w:t>部门概况</w:t>
      </w:r>
      <w:bookmarkEnd w:id="12"/>
      <w:bookmarkEnd w:id="13"/>
      <w:bookmarkStart w:id="14" w:name="_Toc15396600"/>
      <w:bookmarkStart w:id="15" w:name="_Toc15377197"/>
    </w:p>
    <w:p>
      <w:pPr>
        <w:widowControl/>
        <w:jc w:val="left"/>
        <w:rPr>
          <w:rFonts w:ascii="黑体" w:hAnsi="黑体" w:eastAsia="黑体"/>
          <w:color w:val="000000"/>
        </w:rPr>
      </w:pPr>
    </w:p>
    <w:p>
      <w:pPr>
        <w:widowControl/>
        <w:ind w:firstLine="643" w:firstLineChars="200"/>
        <w:jc w:val="left"/>
        <w:rPr>
          <w:rStyle w:val="23"/>
          <w:rFonts w:hint="eastAsia" w:asciiTheme="majorEastAsia" w:hAnsiTheme="majorEastAsia" w:eastAsiaTheme="majorEastAsia" w:cstheme="majorEastAsia"/>
        </w:rPr>
      </w:pPr>
      <w:r>
        <w:rPr>
          <w:rFonts w:hint="eastAsia" w:asciiTheme="majorEastAsia" w:hAnsiTheme="majorEastAsia" w:eastAsiaTheme="majorEastAsia" w:cstheme="majorEastAsia"/>
          <w:b/>
          <w:bCs/>
          <w:color w:val="000000"/>
          <w:sz w:val="32"/>
          <w:szCs w:val="32"/>
        </w:rPr>
        <w:t>一、基</w:t>
      </w:r>
      <w:r>
        <w:rPr>
          <w:rStyle w:val="23"/>
          <w:rFonts w:hint="eastAsia" w:asciiTheme="majorEastAsia" w:hAnsiTheme="majorEastAsia" w:eastAsiaTheme="majorEastAsia" w:cstheme="majorEastAsia"/>
        </w:rPr>
        <w:t>本职能及主要工作</w:t>
      </w:r>
      <w:bookmarkEnd w:id="14"/>
      <w:bookmarkEnd w:id="15"/>
    </w:p>
    <w:p>
      <w:pPr>
        <w:widowControl/>
        <w:ind w:firstLine="640" w:firstLineChars="200"/>
        <w:jc w:val="left"/>
        <w:rPr>
          <w:rFonts w:hint="eastAsia" w:ascii="仿宋" w:hAnsi="仿宋" w:eastAsia="仿宋" w:cs="仿宋"/>
          <w:bCs/>
          <w:color w:val="000000"/>
          <w:sz w:val="32"/>
          <w:szCs w:val="32"/>
        </w:rPr>
      </w:pPr>
      <w:r>
        <w:rPr>
          <w:rFonts w:hint="eastAsia" w:ascii="仿宋" w:hAnsi="仿宋" w:eastAsia="仿宋" w:cs="仿宋"/>
          <w:bCs/>
          <w:color w:val="000000"/>
          <w:sz w:val="32"/>
          <w:szCs w:val="32"/>
        </w:rPr>
        <w:t xml:space="preserve">广元市工商行政管理局是负责市场监管和行政执法的政府职能部门，《广元市人民政府办公室关于印发广元市工商行政管理局主要职责内设机构和人员编制规定通知》（广府办发〔2015〕17号）明确了广元市工商行政管理局主要负责市场监督管理和行政执法等14项职能。 </w:t>
      </w:r>
    </w:p>
    <w:p>
      <w:pPr>
        <w:ind w:firstLine="640" w:firstLineChars="200"/>
        <w:rPr>
          <w:rFonts w:hint="eastAsia" w:ascii="仿宋" w:hAnsi="仿宋" w:eastAsia="仿宋" w:cs="仿宋"/>
          <w:bCs/>
          <w:color w:val="000000"/>
          <w:sz w:val="32"/>
          <w:szCs w:val="32"/>
        </w:rPr>
      </w:pPr>
      <w:r>
        <w:rPr>
          <w:rFonts w:hint="eastAsia" w:ascii="仿宋" w:hAnsi="仿宋" w:eastAsia="仿宋" w:cs="仿宋"/>
          <w:bCs/>
          <w:color w:val="000000"/>
          <w:sz w:val="32"/>
          <w:szCs w:val="32"/>
        </w:rPr>
        <w:t xml:space="preserve">（一）负责市场监督管理和行政执法。贯彻执行国家和省、市有关工商行政管理的方针、政策和法律、法规，起草有关地方性工商行政管理政策并组织实施，负责本部门依法行政工作，落实行政执法责任制。 </w:t>
      </w:r>
    </w:p>
    <w:p>
      <w:pPr>
        <w:ind w:firstLine="640" w:firstLineChars="200"/>
        <w:rPr>
          <w:rFonts w:hint="eastAsia" w:ascii="仿宋" w:hAnsi="仿宋" w:eastAsia="仿宋" w:cs="仿宋"/>
          <w:bCs/>
          <w:color w:val="000000"/>
          <w:sz w:val="32"/>
          <w:szCs w:val="32"/>
        </w:rPr>
      </w:pPr>
      <w:r>
        <w:rPr>
          <w:rFonts w:hint="eastAsia" w:ascii="仿宋" w:hAnsi="仿宋" w:eastAsia="仿宋" w:cs="仿宋"/>
          <w:bCs/>
          <w:color w:val="000000"/>
          <w:sz w:val="32"/>
          <w:szCs w:val="32"/>
        </w:rPr>
        <w:t xml:space="preserve">（二）负责各类企业、农民专业合作社和从事经营活动的单位、个人以及外国（地区）企业常驻代表机构等市场主体的登记注册和监督管理，承担依法查处取缔无照经营的责任。 </w:t>
      </w:r>
    </w:p>
    <w:p>
      <w:pPr>
        <w:ind w:firstLine="640" w:firstLineChars="200"/>
        <w:rPr>
          <w:rFonts w:hint="eastAsia" w:ascii="仿宋" w:hAnsi="仿宋" w:eastAsia="仿宋" w:cs="仿宋"/>
          <w:bCs/>
          <w:color w:val="000000"/>
          <w:sz w:val="32"/>
          <w:szCs w:val="32"/>
        </w:rPr>
      </w:pPr>
      <w:r>
        <w:rPr>
          <w:rFonts w:hint="eastAsia" w:ascii="仿宋" w:hAnsi="仿宋" w:eastAsia="仿宋" w:cs="仿宋"/>
          <w:bCs/>
          <w:color w:val="000000"/>
          <w:sz w:val="32"/>
          <w:szCs w:val="32"/>
        </w:rPr>
        <w:t xml:space="preserve">（三）承担依法规范和维护各类市场经营秩序的责任，依法查处市场违法行为，负责监督管理市场交易行为和网络交易及有关服务的行为。 </w:t>
      </w:r>
    </w:p>
    <w:p>
      <w:pPr>
        <w:ind w:firstLine="640" w:firstLineChars="200"/>
        <w:rPr>
          <w:rFonts w:hint="eastAsia" w:ascii="仿宋" w:hAnsi="仿宋" w:eastAsia="仿宋" w:cs="仿宋"/>
          <w:bCs/>
          <w:color w:val="000000"/>
          <w:sz w:val="32"/>
          <w:szCs w:val="32"/>
        </w:rPr>
      </w:pPr>
      <w:r>
        <w:rPr>
          <w:rFonts w:hint="eastAsia" w:ascii="仿宋" w:hAnsi="仿宋" w:eastAsia="仿宋" w:cs="仿宋"/>
          <w:bCs/>
          <w:color w:val="000000"/>
          <w:sz w:val="32"/>
          <w:szCs w:val="32"/>
        </w:rPr>
        <w:t xml:space="preserve">（四）承担监督管理流通领域商品质量的责任，组织开展有关服务领域消费维权工作，按分工查处制售假冒伪劣商品等违法行为，指导消费者咨询、申诉、举报受理、处理和网络体系建设等工作，保护经营者、消费者合法权益。 </w:t>
      </w:r>
    </w:p>
    <w:p>
      <w:pPr>
        <w:ind w:firstLine="640" w:firstLineChars="200"/>
        <w:rPr>
          <w:rFonts w:hint="eastAsia" w:ascii="仿宋" w:hAnsi="仿宋" w:eastAsia="仿宋" w:cs="仿宋"/>
          <w:bCs/>
          <w:color w:val="000000"/>
          <w:sz w:val="32"/>
          <w:szCs w:val="32"/>
        </w:rPr>
      </w:pPr>
      <w:r>
        <w:rPr>
          <w:rFonts w:hint="eastAsia" w:ascii="仿宋" w:hAnsi="仿宋" w:eastAsia="仿宋" w:cs="仿宋"/>
          <w:bCs/>
          <w:color w:val="000000"/>
          <w:sz w:val="32"/>
          <w:szCs w:val="32"/>
        </w:rPr>
        <w:t xml:space="preserve">（五）承担查处违法直销和传销案件的责任，依法监督管理直销企业和直销员及其直销活动。 </w:t>
      </w:r>
    </w:p>
    <w:p>
      <w:pPr>
        <w:ind w:firstLine="640" w:firstLineChars="200"/>
        <w:rPr>
          <w:rFonts w:hint="eastAsia" w:ascii="仿宋" w:hAnsi="仿宋" w:eastAsia="仿宋" w:cs="仿宋"/>
          <w:bCs/>
          <w:color w:val="000000"/>
          <w:sz w:val="32"/>
          <w:szCs w:val="32"/>
        </w:rPr>
      </w:pPr>
      <w:r>
        <w:rPr>
          <w:rFonts w:hint="eastAsia" w:ascii="仿宋" w:hAnsi="仿宋" w:eastAsia="仿宋" w:cs="仿宋"/>
          <w:bCs/>
          <w:color w:val="000000"/>
          <w:sz w:val="32"/>
          <w:szCs w:val="32"/>
        </w:rPr>
        <w:t xml:space="preserve">（六）依法查处不正当竞争、商业贿赂、走私贩私等经济违法行为。协助上级工商行政管理机关查处垄断协议、滥用市场支配地位、滥用行政权力排除限制竞争方面的反垄断执法工作（价格垄断行为除外）。 </w:t>
      </w:r>
    </w:p>
    <w:p>
      <w:pPr>
        <w:ind w:firstLine="640" w:firstLineChars="200"/>
        <w:rPr>
          <w:rFonts w:hint="eastAsia" w:ascii="仿宋" w:hAnsi="仿宋" w:eastAsia="仿宋" w:cs="仿宋"/>
          <w:bCs/>
          <w:color w:val="000000"/>
          <w:sz w:val="32"/>
          <w:szCs w:val="32"/>
        </w:rPr>
      </w:pPr>
      <w:r>
        <w:rPr>
          <w:rFonts w:hint="eastAsia" w:ascii="仿宋" w:hAnsi="仿宋" w:eastAsia="仿宋" w:cs="仿宋"/>
          <w:bCs/>
          <w:color w:val="000000"/>
          <w:sz w:val="32"/>
          <w:szCs w:val="32"/>
        </w:rPr>
        <w:t xml:space="preserve">（七）负责依法监督管理经纪人、经纪机构及经纪活动。 </w:t>
      </w:r>
    </w:p>
    <w:p>
      <w:pPr>
        <w:ind w:firstLine="640" w:firstLineChars="200"/>
        <w:rPr>
          <w:rFonts w:hint="eastAsia" w:ascii="仿宋" w:hAnsi="仿宋" w:eastAsia="仿宋" w:cs="仿宋"/>
          <w:bCs/>
          <w:color w:val="000000"/>
          <w:sz w:val="32"/>
          <w:szCs w:val="32"/>
        </w:rPr>
      </w:pPr>
      <w:r>
        <w:rPr>
          <w:rFonts w:hint="eastAsia" w:ascii="仿宋" w:hAnsi="仿宋" w:eastAsia="仿宋" w:cs="仿宋"/>
          <w:bCs/>
          <w:color w:val="000000"/>
          <w:sz w:val="32"/>
          <w:szCs w:val="32"/>
        </w:rPr>
        <w:t xml:space="preserve">（八）依法实施合同行政监督管理，依法查处合同欺诈等违法行为，组织开展合同争议行政调解工作；负责管理动产抵押物登记，组织监督管理拍卖行为。 </w:t>
      </w:r>
    </w:p>
    <w:p>
      <w:pPr>
        <w:ind w:firstLine="640" w:firstLineChars="200"/>
        <w:rPr>
          <w:rFonts w:hint="eastAsia" w:ascii="仿宋" w:hAnsi="仿宋" w:eastAsia="仿宋" w:cs="仿宋"/>
          <w:bCs/>
          <w:color w:val="000000"/>
          <w:sz w:val="32"/>
          <w:szCs w:val="32"/>
        </w:rPr>
      </w:pPr>
      <w:r>
        <w:rPr>
          <w:rFonts w:hint="eastAsia" w:ascii="仿宋" w:hAnsi="仿宋" w:eastAsia="仿宋" w:cs="仿宋"/>
          <w:bCs/>
          <w:color w:val="000000"/>
          <w:sz w:val="32"/>
          <w:szCs w:val="32"/>
        </w:rPr>
        <w:t xml:space="preserve">（九）指导广告业发展，负责广告活动的监督管理和行政执法工作。 </w:t>
      </w:r>
    </w:p>
    <w:p>
      <w:pPr>
        <w:ind w:firstLine="640" w:firstLineChars="200"/>
        <w:rPr>
          <w:rFonts w:hint="eastAsia" w:ascii="仿宋" w:hAnsi="仿宋" w:eastAsia="仿宋" w:cs="仿宋"/>
          <w:bCs/>
          <w:color w:val="000000"/>
          <w:sz w:val="32"/>
          <w:szCs w:val="32"/>
        </w:rPr>
      </w:pPr>
      <w:r>
        <w:rPr>
          <w:rFonts w:hint="eastAsia" w:ascii="仿宋" w:hAnsi="仿宋" w:eastAsia="仿宋" w:cs="仿宋"/>
          <w:bCs/>
          <w:color w:val="000000"/>
          <w:sz w:val="32"/>
          <w:szCs w:val="32"/>
        </w:rPr>
        <w:t xml:space="preserve">（十）负责商标监督管理工作，依法保护商标专用权和查处商标侵权行为，加强驰名商标保护工作，负责特殊标志、官方标志的管理和保护。 </w:t>
      </w:r>
    </w:p>
    <w:p>
      <w:pPr>
        <w:ind w:firstLine="640" w:firstLineChars="200"/>
        <w:rPr>
          <w:rFonts w:hint="eastAsia" w:ascii="仿宋" w:hAnsi="仿宋" w:eastAsia="仿宋" w:cs="仿宋"/>
          <w:bCs/>
          <w:color w:val="000000"/>
          <w:sz w:val="32"/>
          <w:szCs w:val="32"/>
        </w:rPr>
      </w:pPr>
      <w:r>
        <w:rPr>
          <w:rFonts w:hint="eastAsia" w:ascii="仿宋" w:hAnsi="仿宋" w:eastAsia="仿宋" w:cs="仿宋"/>
          <w:bCs/>
          <w:color w:val="000000"/>
          <w:sz w:val="32"/>
          <w:szCs w:val="32"/>
        </w:rPr>
        <w:t xml:space="preserve">（十一）组织、协调市场主体信用分类管理，依法发布市场主体登记注册信用信息，为政府决策和社会公众提供信息服务。 </w:t>
      </w:r>
    </w:p>
    <w:p>
      <w:pPr>
        <w:ind w:firstLine="640" w:firstLineChars="200"/>
        <w:rPr>
          <w:rFonts w:hint="eastAsia" w:ascii="仿宋" w:hAnsi="仿宋" w:eastAsia="仿宋" w:cs="仿宋"/>
          <w:bCs/>
          <w:color w:val="000000"/>
          <w:sz w:val="32"/>
          <w:szCs w:val="32"/>
        </w:rPr>
      </w:pPr>
      <w:r>
        <w:rPr>
          <w:rFonts w:hint="eastAsia" w:ascii="仿宋" w:hAnsi="仿宋" w:eastAsia="仿宋" w:cs="仿宋"/>
          <w:bCs/>
          <w:color w:val="000000"/>
          <w:sz w:val="32"/>
          <w:szCs w:val="32"/>
        </w:rPr>
        <w:t xml:space="preserve">（十二）负责个体工商户、私营企业经营行为的服务和监督管理，承担市政府查处取缔无证无照经营工作联席会议办公室的具体工作。 </w:t>
      </w:r>
    </w:p>
    <w:p>
      <w:pPr>
        <w:ind w:firstLine="640" w:firstLineChars="200"/>
        <w:rPr>
          <w:rFonts w:hint="eastAsia" w:ascii="仿宋" w:hAnsi="仿宋" w:eastAsia="仿宋" w:cs="仿宋"/>
          <w:bCs/>
          <w:color w:val="000000"/>
          <w:sz w:val="32"/>
          <w:szCs w:val="32"/>
        </w:rPr>
      </w:pPr>
      <w:r>
        <w:rPr>
          <w:rFonts w:hint="eastAsia" w:ascii="仿宋" w:hAnsi="仿宋" w:eastAsia="仿宋" w:cs="仿宋"/>
          <w:bCs/>
          <w:color w:val="000000"/>
          <w:sz w:val="32"/>
          <w:szCs w:val="32"/>
        </w:rPr>
        <w:t xml:space="preserve">（十三）承担市政府公布的有关行政审批事项。 </w:t>
      </w:r>
    </w:p>
    <w:p>
      <w:pPr>
        <w:ind w:firstLine="640" w:firstLineChars="200"/>
        <w:rPr>
          <w:rFonts w:ascii="??_GB2312" w:hAnsi="仿宋" w:eastAsia="Times New Roman" w:cs="仿宋"/>
          <w:bCs/>
          <w:color w:val="000000"/>
          <w:sz w:val="32"/>
          <w:szCs w:val="32"/>
        </w:rPr>
      </w:pPr>
      <w:r>
        <w:rPr>
          <w:rFonts w:hint="eastAsia" w:ascii="仿宋" w:hAnsi="仿宋" w:eastAsia="仿宋" w:cs="仿宋"/>
          <w:bCs/>
          <w:color w:val="000000"/>
          <w:sz w:val="32"/>
          <w:szCs w:val="32"/>
        </w:rPr>
        <w:t>（十四）承办市政府交办的其他事项。</w:t>
      </w:r>
      <w:bookmarkStart w:id="16" w:name="_Toc15377199"/>
      <w:bookmarkStart w:id="17" w:name="_Toc15378446"/>
    </w:p>
    <w:p>
      <w:pPr>
        <w:ind w:firstLine="643" w:firstLineChars="200"/>
        <w:rPr>
          <w:rFonts w:hint="eastAsia" w:asciiTheme="majorEastAsia" w:hAnsiTheme="majorEastAsia" w:eastAsiaTheme="majorEastAsia" w:cstheme="majorEastAsia"/>
          <w:b/>
          <w:color w:val="000000"/>
          <w:sz w:val="32"/>
          <w:szCs w:val="32"/>
        </w:rPr>
      </w:pPr>
      <w:r>
        <w:rPr>
          <w:rFonts w:hint="eastAsia" w:asciiTheme="majorEastAsia" w:hAnsiTheme="majorEastAsia" w:eastAsiaTheme="majorEastAsia" w:cstheme="majorEastAsia"/>
          <w:b/>
          <w:color w:val="000000"/>
          <w:sz w:val="32"/>
          <w:szCs w:val="32"/>
        </w:rPr>
        <w:t>二、2018年重点工作完成情况</w:t>
      </w:r>
      <w:bookmarkEnd w:id="16"/>
      <w:bookmarkEnd w:id="17"/>
    </w:p>
    <w:p>
      <w:pPr>
        <w:ind w:firstLine="643" w:firstLineChars="200"/>
        <w:rPr>
          <w:rFonts w:hint="eastAsia" w:ascii="仿宋" w:hAnsi="仿宋" w:eastAsia="仿宋" w:cs="仿宋"/>
          <w:sz w:val="32"/>
          <w:szCs w:val="32"/>
        </w:rPr>
      </w:pPr>
      <w:r>
        <w:rPr>
          <w:rFonts w:hint="eastAsia" w:ascii="楷体" w:hAnsi="楷体" w:eastAsia="楷体" w:cs="楷体"/>
          <w:b/>
          <w:bCs/>
          <w:sz w:val="32"/>
          <w:szCs w:val="32"/>
        </w:rPr>
        <w:t>（一）商事制度改革亮点纷呈</w:t>
      </w:r>
      <w:r>
        <w:rPr>
          <w:rFonts w:hint="eastAsia" w:ascii="楷体" w:hAnsi="楷体" w:eastAsia="楷体" w:cs="楷体"/>
          <w:sz w:val="32"/>
          <w:szCs w:val="32"/>
        </w:rPr>
        <w:t>。</w:t>
      </w:r>
      <w:r>
        <w:rPr>
          <w:rFonts w:hint="eastAsia" w:ascii="仿宋" w:hAnsi="仿宋" w:eastAsia="仿宋" w:cs="仿宋"/>
          <w:sz w:val="32"/>
          <w:szCs w:val="32"/>
        </w:rPr>
        <w:t>“多证合一”登记制度改革稳步推进，名称自主申报改革试点（省定）取得明显成效，企业简易注销流程进一步优化；《广元市企业住所和经营场所登记管理办法》正式实施；服务供销社综合改革，参照农民专业合作社登记办法，解决全市基层供销合作社工商登记难题；开展“营业执照多点受理服务工作”，为群众提供了就近办理、非工作日也可办理营业执照的便利。打造“企业开办流程直通车”，市县（区）主城区内企业开办时间压缩至5个工作日完成，速度领先全国。实施全程电子化登记，全程电子化办照率位居全省前茅。</w:t>
      </w:r>
    </w:p>
    <w:p>
      <w:pPr>
        <w:ind w:firstLine="643" w:firstLineChars="200"/>
        <w:rPr>
          <w:rFonts w:hint="eastAsia" w:ascii="仿宋" w:hAnsi="仿宋" w:eastAsia="仿宋" w:cs="仿宋"/>
          <w:sz w:val="32"/>
          <w:szCs w:val="32"/>
        </w:rPr>
      </w:pPr>
      <w:r>
        <w:rPr>
          <w:rFonts w:hint="eastAsia" w:ascii="楷体" w:hAnsi="楷体" w:eastAsia="楷体" w:cs="楷体"/>
          <w:b/>
          <w:bCs/>
          <w:sz w:val="32"/>
          <w:szCs w:val="32"/>
        </w:rPr>
        <w:t>（二）事中事后监管更加规范</w:t>
      </w:r>
      <w:r>
        <w:rPr>
          <w:rFonts w:ascii="??_GB2312" w:hAnsi="仿宋" w:eastAsia="Times New Roman"/>
          <w:sz w:val="32"/>
          <w:szCs w:val="32"/>
        </w:rPr>
        <w:t>。</w:t>
      </w:r>
      <w:r>
        <w:rPr>
          <w:rFonts w:hint="eastAsia" w:ascii="仿宋" w:hAnsi="仿宋" w:eastAsia="仿宋" w:cs="仿宋"/>
          <w:sz w:val="32"/>
          <w:szCs w:val="32"/>
        </w:rPr>
        <w:t>“双随机、一公开”监管工作全面推进，广元市市场主体信用信息共享交换平台使用覆盖市、县305个部门，归集基础数据15万余条，推送登记信息1.9万条。全市共建立随机抽查事项清单2008个、市场主体库1333个，录入执法人员5956名。按计划完成 “双随机”抽查3038户，实现了抽查计划完成率、抽查结果公示率、抽查事项覆盖率3个100%。</w:t>
      </w:r>
    </w:p>
    <w:p>
      <w:pPr>
        <w:ind w:firstLine="643" w:firstLineChars="200"/>
        <w:rPr>
          <w:rFonts w:hint="eastAsia" w:ascii="仿宋" w:hAnsi="仿宋" w:eastAsia="仿宋" w:cs="仿宋"/>
          <w:sz w:val="32"/>
          <w:szCs w:val="32"/>
        </w:rPr>
      </w:pPr>
      <w:r>
        <w:rPr>
          <w:rFonts w:hint="eastAsia" w:ascii="楷体" w:hAnsi="楷体" w:eastAsia="楷体" w:cs="楷体"/>
          <w:b/>
          <w:bCs/>
          <w:sz w:val="32"/>
          <w:szCs w:val="32"/>
        </w:rPr>
        <w:t>（三）行政执法工作更加有力。</w:t>
      </w:r>
      <w:r>
        <w:rPr>
          <w:rFonts w:hint="eastAsia" w:ascii="仿宋" w:hAnsi="仿宋" w:eastAsia="仿宋" w:cs="仿宋"/>
          <w:sz w:val="32"/>
          <w:szCs w:val="32"/>
        </w:rPr>
        <w:t>一是“红盾春雷行动2018”再创佳绩。立案查处各类案件1471件，入选全省“红盾春雷行动2018”十大典型案件1件、通报表扬案件2件（全省共表扬17件）。二是围绕群众最关心的民生热点问题，查办医疗机构收取未提供医疗耗材费用案18件，有力地规范了医疗行业秩序；查办适用新《反法》案件10件，公用企业限制竞争和垄断行为突出问题集中整治行动受到国家总局表彰。三是大力开展普法宣传。组织开展“诚信守法</w:t>
      </w:r>
      <w:r>
        <w:rPr>
          <w:rFonts w:hint="eastAsia" w:ascii="仿宋" w:hAnsi="仿宋" w:eastAsia="仿宋" w:cs="仿宋"/>
          <w:b w:val="0"/>
          <w:bCs w:val="0"/>
          <w:sz w:val="32"/>
          <w:szCs w:val="32"/>
        </w:rPr>
        <w:t>企业示范创</w:t>
      </w:r>
      <w:r>
        <w:rPr>
          <w:rFonts w:hint="eastAsia" w:ascii="仿宋" w:hAnsi="仿宋" w:eastAsia="仿宋" w:cs="仿宋"/>
          <w:sz w:val="32"/>
          <w:szCs w:val="32"/>
        </w:rPr>
        <w:t>建”“法律进民企”等活动。</w:t>
      </w:r>
    </w:p>
    <w:p>
      <w:pPr>
        <w:ind w:firstLine="643" w:firstLineChars="200"/>
        <w:rPr>
          <w:rFonts w:hint="eastAsia" w:ascii="仿宋" w:hAnsi="仿宋" w:eastAsia="仿宋" w:cs="仿宋"/>
          <w:b w:val="0"/>
          <w:bCs w:val="0"/>
          <w:sz w:val="32"/>
          <w:szCs w:val="32"/>
        </w:rPr>
      </w:pPr>
      <w:r>
        <w:rPr>
          <w:rFonts w:hint="eastAsia" w:ascii="楷体" w:hAnsi="楷体" w:eastAsia="楷体" w:cs="楷体"/>
          <w:b/>
          <w:bCs/>
          <w:sz w:val="32"/>
          <w:szCs w:val="32"/>
        </w:rPr>
        <w:t>（四）市场监管工作重点突出。</w:t>
      </w:r>
      <w:r>
        <w:rPr>
          <w:rFonts w:hint="eastAsia" w:ascii="仿宋" w:hAnsi="仿宋" w:eastAsia="仿宋" w:cs="仿宋"/>
          <w:b w:val="0"/>
          <w:bCs w:val="0"/>
          <w:sz w:val="32"/>
          <w:szCs w:val="32"/>
        </w:rPr>
        <w:t>会同旅游部门大力开展旅游市场专项整治，服务“绿色广元、康养名都”品牌建设；全面落实中央环保督察反馈意见整改，打好环境保护“三大战役”攻坚战；开展“净市场、保省运”专项行动，对经营场所和户外广告开展“拉网式”巡查，为省运会营造优美的市场环境，受到组委会表扬；</w:t>
      </w:r>
    </w:p>
    <w:p>
      <w:pPr>
        <w:ind w:firstLine="643" w:firstLineChars="200"/>
        <w:rPr>
          <w:rFonts w:hint="eastAsia" w:ascii="仿宋" w:hAnsi="仿宋" w:eastAsia="仿宋" w:cs="仿宋"/>
          <w:sz w:val="32"/>
          <w:szCs w:val="32"/>
        </w:rPr>
      </w:pPr>
      <w:r>
        <w:rPr>
          <w:rFonts w:hint="eastAsia" w:ascii="楷体" w:hAnsi="楷体" w:eastAsia="楷体" w:cs="楷体"/>
          <w:b/>
          <w:bCs/>
          <w:sz w:val="32"/>
          <w:szCs w:val="32"/>
        </w:rPr>
        <w:t>（五）消费维权工作稳步推进。</w:t>
      </w:r>
      <w:r>
        <w:rPr>
          <w:rFonts w:hint="eastAsia" w:ascii="仿宋" w:hAnsi="仿宋" w:eastAsia="仿宋" w:cs="仿宋"/>
          <w:sz w:val="32"/>
          <w:szCs w:val="32"/>
        </w:rPr>
        <w:t>受理消费咨询2968件，处理消费投诉举报817件，为消费者挽回经济损失493.2万元，投诉举报处理率100%；“放心舒心消费城市”创建活动有序推进。《广元市放心舒心消费创建活动实施方案》经市政府第47次常务会议审定通过并印发实施，我局细化了工作措施，建立了创建活动联络员会议制度，各项工作正在稳步推进；农村和城乡结合部假冒伪劣商品整治行动取得明显成效。</w:t>
      </w:r>
    </w:p>
    <w:p>
      <w:pPr>
        <w:ind w:firstLine="643" w:firstLineChars="200"/>
        <w:rPr>
          <w:rFonts w:hint="eastAsia" w:ascii="仿宋" w:hAnsi="仿宋" w:eastAsia="仿宋" w:cs="仿宋"/>
          <w:sz w:val="32"/>
          <w:szCs w:val="32"/>
        </w:rPr>
      </w:pPr>
      <w:r>
        <w:rPr>
          <w:rFonts w:hint="eastAsia" w:ascii="楷体" w:hAnsi="楷体" w:eastAsia="楷体" w:cs="楷体"/>
          <w:b/>
          <w:bCs/>
          <w:sz w:val="32"/>
          <w:szCs w:val="32"/>
        </w:rPr>
        <w:t>（六）服务经济发展持续发力</w:t>
      </w:r>
      <w:r>
        <w:rPr>
          <w:rFonts w:ascii="??_GB2312" w:hAnsi="仿宋" w:eastAsia="Times New Roman"/>
          <w:sz w:val="32"/>
          <w:szCs w:val="32"/>
        </w:rPr>
        <w:t>。</w:t>
      </w:r>
      <w:r>
        <w:rPr>
          <w:rFonts w:hint="eastAsia" w:ascii="仿宋" w:hAnsi="仿宋" w:eastAsia="仿宋" w:cs="仿宋"/>
          <w:sz w:val="32"/>
          <w:szCs w:val="32"/>
        </w:rPr>
        <w:t>组织开展“工商进万企、问计放管服”活动，被省局通报表扬。建立《广元市地理标志商标梯次培育库（2018—2020）》；举办广元市地标精准扶贫工程暨马德里商标国际注册培训；组织市、县100多个单位和地理标志商标注册人使用人，参加国家知识产权局“地理标志精准扶贫西部宣讲团”在广元的宣讲活动，签订“一对一”帮扶协议；组织6家企业参加“2018中国国际商标品牌节暨中华品牌商标博览会”，苍溪县猕猴桃协会、广元市白龙茶叶有限公司被授予“2018年度品牌商标博览会金奖”。</w:t>
      </w:r>
    </w:p>
    <w:p>
      <w:pPr>
        <w:ind w:firstLine="643" w:firstLineChars="200"/>
        <w:rPr>
          <w:rFonts w:hint="eastAsia" w:ascii="仿宋" w:hAnsi="仿宋" w:eastAsia="仿宋" w:cs="仿宋"/>
          <w:sz w:val="32"/>
          <w:szCs w:val="32"/>
        </w:rPr>
      </w:pPr>
      <w:r>
        <w:rPr>
          <w:rFonts w:hint="eastAsia" w:ascii="楷体" w:hAnsi="楷体" w:eastAsia="楷体" w:cs="楷体"/>
          <w:b/>
          <w:bCs/>
          <w:sz w:val="32"/>
          <w:szCs w:val="32"/>
        </w:rPr>
        <w:t>（七）脱贫攻坚工作成效明显</w:t>
      </w:r>
      <w:r>
        <w:rPr>
          <w:rFonts w:ascii="??_GB2312" w:hAnsi="仿宋" w:eastAsia="Times New Roman"/>
          <w:sz w:val="32"/>
          <w:szCs w:val="32"/>
        </w:rPr>
        <w:t>。</w:t>
      </w:r>
      <w:r>
        <w:rPr>
          <w:rFonts w:hint="eastAsia" w:ascii="仿宋" w:hAnsi="仿宋" w:eastAsia="仿宋" w:cs="仿宋"/>
          <w:sz w:val="32"/>
          <w:szCs w:val="32"/>
        </w:rPr>
        <w:t>选派6名优秀干部充实驻村工作队，帮扶村的藤椒、魔芋、桑蚕产业发展良好，危旧房改造即将完成预定目标， 161户户办工程已全部完成政府统一施工项目，农户自建项目完成75户；开展“3.15”消费维权进帮扶村活动，开展送温暖活动。</w:t>
      </w:r>
    </w:p>
    <w:p>
      <w:pPr>
        <w:ind w:firstLine="643" w:firstLineChars="200"/>
        <w:rPr>
          <w:rFonts w:hint="eastAsia" w:ascii="仿宋" w:hAnsi="仿宋" w:eastAsia="仿宋" w:cs="仿宋"/>
          <w:sz w:val="32"/>
          <w:szCs w:val="32"/>
        </w:rPr>
      </w:pPr>
      <w:r>
        <w:rPr>
          <w:rFonts w:hint="eastAsia" w:ascii="楷体" w:hAnsi="楷体" w:eastAsia="楷体" w:cs="楷体"/>
          <w:b/>
          <w:bCs/>
          <w:sz w:val="32"/>
          <w:szCs w:val="32"/>
        </w:rPr>
        <w:t>（八）党的建设进一步加强。</w:t>
      </w:r>
      <w:r>
        <w:rPr>
          <w:rFonts w:hint="eastAsia" w:ascii="仿宋" w:hAnsi="仿宋" w:eastAsia="仿宋" w:cs="仿宋"/>
          <w:sz w:val="32"/>
          <w:szCs w:val="32"/>
        </w:rPr>
        <w:t>建立健全党建工作制度，全面履行主体责任，班子团结、合力明显，在市委组织部班子考查评价中受到好评。扎实推进“作风纪律深化年”活动，全年无违规违纪行为发生；组织非公企业党组织负责人、优秀共产党员开展“红色教育”活动，完善“两新”组织党支部建设标准，指导11个企业基层党组织开展专题组织生活会及民主评议党员工作。</w:t>
      </w:r>
      <w:bookmarkStart w:id="18" w:name="_Toc15396601"/>
      <w:bookmarkStart w:id="19" w:name="_Toc15377200"/>
    </w:p>
    <w:p>
      <w:pPr>
        <w:ind w:firstLine="643" w:firstLineChars="200"/>
        <w:rPr>
          <w:rStyle w:val="23"/>
          <w:rFonts w:hint="eastAsia" w:asciiTheme="majorEastAsia" w:hAnsiTheme="majorEastAsia" w:eastAsiaTheme="majorEastAsia" w:cstheme="majorEastAsia"/>
        </w:rPr>
      </w:pPr>
      <w:r>
        <w:rPr>
          <w:rFonts w:hint="eastAsia" w:asciiTheme="majorEastAsia" w:hAnsiTheme="majorEastAsia" w:eastAsiaTheme="majorEastAsia" w:cstheme="majorEastAsia"/>
          <w:b/>
          <w:bCs/>
          <w:color w:val="000000"/>
          <w:sz w:val="32"/>
          <w:szCs w:val="32"/>
        </w:rPr>
        <w:t>三、机</w:t>
      </w:r>
      <w:r>
        <w:rPr>
          <w:rStyle w:val="23"/>
          <w:rFonts w:hint="eastAsia" w:asciiTheme="majorEastAsia" w:hAnsiTheme="majorEastAsia" w:eastAsiaTheme="majorEastAsia" w:cstheme="majorEastAsia"/>
        </w:rPr>
        <w:t>构设置</w:t>
      </w:r>
      <w:bookmarkEnd w:id="18"/>
      <w:bookmarkEnd w:id="19"/>
    </w:p>
    <w:p>
      <w:pPr>
        <w:ind w:firstLine="640" w:firstLineChars="200"/>
        <w:rPr>
          <w:rFonts w:hint="eastAsia" w:ascii="仿宋" w:hAnsi="仿宋" w:eastAsia="仿宋" w:cs="仿宋"/>
          <w:sz w:val="32"/>
          <w:szCs w:val="32"/>
        </w:rPr>
      </w:pPr>
      <w:r>
        <w:rPr>
          <w:rFonts w:hint="eastAsia" w:ascii="仿宋" w:hAnsi="仿宋" w:eastAsia="仿宋" w:cs="仿宋"/>
          <w:sz w:val="32"/>
          <w:szCs w:val="32"/>
        </w:rPr>
        <w:t>广元市工商行政管理局直属行政单位</w:t>
      </w:r>
      <w:r>
        <w:rPr>
          <w:rFonts w:hint="eastAsia" w:ascii="仿宋" w:hAnsi="仿宋" w:eastAsia="仿宋" w:cs="仿宋"/>
          <w:sz w:val="32"/>
          <w:szCs w:val="32"/>
          <w:lang w:val="en-US" w:eastAsia="zh-CN"/>
        </w:rPr>
        <w:t>4</w:t>
      </w:r>
      <w:r>
        <w:rPr>
          <w:rFonts w:hint="eastAsia" w:ascii="仿宋" w:hAnsi="仿宋" w:eastAsia="仿宋" w:cs="仿宋"/>
          <w:sz w:val="32"/>
          <w:szCs w:val="32"/>
        </w:rPr>
        <w:t>个，直属事业单位2个。</w:t>
      </w:r>
    </w:p>
    <w:p>
      <w:pPr>
        <w:pStyle w:val="5"/>
        <w:adjustRightInd w:val="0"/>
        <w:snapToGrid w:val="0"/>
        <w:spacing w:before="93" w:line="600" w:lineRule="exact"/>
        <w:ind w:firstLine="672" w:firstLineChars="210"/>
        <w:rPr>
          <w:rFonts w:hint="eastAsia" w:ascii="仿宋" w:hAnsi="仿宋" w:eastAsia="仿宋" w:cs="仿宋"/>
          <w:color w:val="000000"/>
          <w:sz w:val="32"/>
          <w:szCs w:val="32"/>
        </w:rPr>
      </w:pPr>
      <w:r>
        <w:rPr>
          <w:rFonts w:hint="eastAsia" w:ascii="仿宋" w:hAnsi="仿宋" w:eastAsia="仿宋" w:cs="仿宋"/>
          <w:color w:val="000000"/>
          <w:sz w:val="32"/>
          <w:szCs w:val="32"/>
        </w:rPr>
        <w:t>纳入</w:t>
      </w:r>
      <w:r>
        <w:rPr>
          <w:rFonts w:hint="eastAsia" w:ascii="仿宋" w:hAnsi="仿宋" w:eastAsia="仿宋" w:cs="仿宋"/>
          <w:sz w:val="32"/>
          <w:szCs w:val="32"/>
        </w:rPr>
        <w:t>广元市工商行政管理局</w:t>
      </w:r>
      <w:r>
        <w:rPr>
          <w:rFonts w:hint="eastAsia" w:ascii="仿宋" w:hAnsi="仿宋" w:eastAsia="仿宋" w:cs="仿宋"/>
          <w:color w:val="000000"/>
          <w:sz w:val="32"/>
          <w:szCs w:val="32"/>
        </w:rPr>
        <w:t>2018年度部门决算编制范围的二级预算单位包括：</w:t>
      </w:r>
    </w:p>
    <w:p>
      <w:pPr>
        <w:pStyle w:val="5"/>
        <w:adjustRightInd w:val="0"/>
        <w:snapToGrid w:val="0"/>
        <w:spacing w:before="93" w:line="600" w:lineRule="exact"/>
        <w:ind w:left="672"/>
        <w:outlineLvl w:val="2"/>
        <w:rPr>
          <w:rFonts w:hint="eastAsia" w:ascii="仿宋" w:hAnsi="仿宋" w:eastAsia="仿宋" w:cs="仿宋"/>
          <w:snapToGrid w:val="0"/>
          <w:sz w:val="32"/>
          <w:szCs w:val="32"/>
          <w:lang w:val="en-US" w:eastAsia="zh-CN"/>
        </w:rPr>
      </w:pPr>
      <w:r>
        <w:rPr>
          <w:rFonts w:hint="eastAsia" w:ascii="仿宋" w:hAnsi="仿宋" w:eastAsia="仿宋" w:cs="仿宋"/>
          <w:snapToGrid w:val="0"/>
          <w:sz w:val="32"/>
          <w:szCs w:val="32"/>
          <w:lang w:val="en-US" w:eastAsia="zh-CN"/>
        </w:rPr>
        <w:t>1、</w:t>
      </w:r>
      <w:r>
        <w:rPr>
          <w:rFonts w:hint="eastAsia" w:ascii="仿宋" w:hAnsi="仿宋" w:eastAsia="仿宋" w:cs="仿宋"/>
          <w:snapToGrid w:val="0"/>
          <w:sz w:val="32"/>
          <w:szCs w:val="32"/>
        </w:rPr>
        <w:t>广元市</w:t>
      </w:r>
      <w:r>
        <w:rPr>
          <w:rFonts w:hint="eastAsia" w:ascii="仿宋" w:hAnsi="仿宋" w:eastAsia="仿宋" w:cs="仿宋"/>
          <w:sz w:val="32"/>
          <w:szCs w:val="32"/>
        </w:rPr>
        <w:t>广元市工商行政管理局</w:t>
      </w:r>
      <w:r>
        <w:rPr>
          <w:rFonts w:hint="eastAsia" w:ascii="仿宋" w:hAnsi="仿宋" w:eastAsia="仿宋" w:cs="仿宋"/>
          <w:sz w:val="32"/>
          <w:szCs w:val="32"/>
          <w:lang w:eastAsia="zh-CN"/>
        </w:rPr>
        <w:t>本级；</w:t>
      </w:r>
    </w:p>
    <w:p>
      <w:pPr>
        <w:pStyle w:val="5"/>
        <w:adjustRightInd w:val="0"/>
        <w:snapToGrid w:val="0"/>
        <w:spacing w:before="93" w:line="600" w:lineRule="exact"/>
        <w:ind w:left="672"/>
        <w:outlineLvl w:val="2"/>
        <w:rPr>
          <w:rFonts w:hint="eastAsia" w:ascii="仿宋" w:hAnsi="仿宋" w:eastAsia="仿宋" w:cs="仿宋"/>
          <w:snapToGrid w:val="0"/>
          <w:sz w:val="32"/>
          <w:szCs w:val="32"/>
          <w:lang w:eastAsia="zh-CN"/>
        </w:rPr>
      </w:pPr>
      <w:r>
        <w:rPr>
          <w:rFonts w:hint="eastAsia" w:ascii="仿宋" w:hAnsi="仿宋" w:eastAsia="仿宋" w:cs="仿宋"/>
          <w:snapToGrid w:val="0"/>
          <w:sz w:val="32"/>
          <w:szCs w:val="32"/>
          <w:lang w:val="en-US" w:eastAsia="zh-CN"/>
        </w:rPr>
        <w:t>2、</w:t>
      </w:r>
      <w:r>
        <w:rPr>
          <w:rFonts w:hint="eastAsia" w:ascii="仿宋" w:hAnsi="仿宋" w:eastAsia="仿宋" w:cs="仿宋"/>
          <w:snapToGrid w:val="0"/>
          <w:sz w:val="32"/>
          <w:szCs w:val="32"/>
        </w:rPr>
        <w:t>广元市</w:t>
      </w:r>
      <w:r>
        <w:rPr>
          <w:rFonts w:hint="eastAsia" w:ascii="仿宋" w:hAnsi="仿宋" w:eastAsia="仿宋" w:cs="仿宋"/>
          <w:sz w:val="32"/>
          <w:szCs w:val="32"/>
        </w:rPr>
        <w:t>广元市工商行政管理局经开</w:t>
      </w:r>
      <w:r>
        <w:rPr>
          <w:rFonts w:hint="eastAsia" w:ascii="仿宋" w:hAnsi="仿宋" w:eastAsia="仿宋" w:cs="仿宋"/>
          <w:snapToGrid w:val="0"/>
          <w:sz w:val="32"/>
          <w:szCs w:val="32"/>
        </w:rPr>
        <w:t>分局</w:t>
      </w:r>
      <w:r>
        <w:rPr>
          <w:rFonts w:hint="eastAsia" w:ascii="仿宋" w:hAnsi="仿宋" w:eastAsia="仿宋" w:cs="仿宋"/>
          <w:snapToGrid w:val="0"/>
          <w:sz w:val="32"/>
          <w:szCs w:val="32"/>
          <w:lang w:eastAsia="zh-CN"/>
        </w:rPr>
        <w:t>；</w:t>
      </w:r>
    </w:p>
    <w:p>
      <w:pPr>
        <w:pStyle w:val="5"/>
        <w:adjustRightInd w:val="0"/>
        <w:snapToGrid w:val="0"/>
        <w:spacing w:before="93" w:line="600" w:lineRule="exact"/>
        <w:ind w:left="672"/>
        <w:outlineLvl w:val="2"/>
        <w:rPr>
          <w:rFonts w:hint="eastAsia" w:ascii="仿宋" w:hAnsi="仿宋" w:eastAsia="仿宋" w:cs="仿宋"/>
          <w:sz w:val="32"/>
          <w:szCs w:val="32"/>
          <w:lang w:eastAsia="zh-CN"/>
        </w:rPr>
      </w:pPr>
      <w:r>
        <w:rPr>
          <w:rFonts w:hint="eastAsia" w:ascii="仿宋" w:hAnsi="仿宋" w:eastAsia="仿宋" w:cs="仿宋"/>
          <w:snapToGrid w:val="0"/>
          <w:sz w:val="32"/>
          <w:szCs w:val="32"/>
          <w:lang w:val="en-US" w:eastAsia="zh-CN"/>
        </w:rPr>
        <w:t>3、</w:t>
      </w:r>
      <w:r>
        <w:rPr>
          <w:rFonts w:hint="eastAsia" w:ascii="仿宋" w:hAnsi="仿宋" w:eastAsia="仿宋" w:cs="仿宋"/>
          <w:snapToGrid w:val="0"/>
          <w:sz w:val="32"/>
          <w:szCs w:val="32"/>
        </w:rPr>
        <w:t>广元市</w:t>
      </w:r>
      <w:r>
        <w:rPr>
          <w:rFonts w:hint="eastAsia" w:ascii="仿宋" w:hAnsi="仿宋" w:eastAsia="仿宋" w:cs="仿宋"/>
          <w:sz w:val="32"/>
          <w:szCs w:val="32"/>
        </w:rPr>
        <w:t>广元市工商行政管</w:t>
      </w:r>
      <w:r>
        <w:rPr>
          <w:rFonts w:hint="eastAsia" w:ascii="仿宋" w:hAnsi="仿宋" w:eastAsia="仿宋" w:cs="仿宋"/>
          <w:sz w:val="32"/>
          <w:szCs w:val="32"/>
          <w:lang w:eastAsia="zh-CN"/>
        </w:rPr>
        <w:t>市场主体监督分局；</w:t>
      </w:r>
    </w:p>
    <w:p>
      <w:pPr>
        <w:pStyle w:val="5"/>
        <w:adjustRightInd w:val="0"/>
        <w:snapToGrid w:val="0"/>
        <w:spacing w:before="93" w:line="600" w:lineRule="exact"/>
        <w:ind w:left="672"/>
        <w:outlineLvl w:val="2"/>
        <w:rPr>
          <w:rFonts w:hint="eastAsia" w:ascii="仿宋" w:hAnsi="仿宋" w:eastAsia="仿宋" w:cs="仿宋"/>
          <w:sz w:val="32"/>
          <w:szCs w:val="32"/>
          <w:lang w:eastAsia="zh-CN"/>
        </w:rPr>
      </w:pPr>
      <w:r>
        <w:rPr>
          <w:rFonts w:hint="eastAsia" w:ascii="仿宋" w:hAnsi="仿宋" w:eastAsia="仿宋" w:cs="仿宋"/>
          <w:sz w:val="32"/>
          <w:szCs w:val="32"/>
          <w:lang w:val="en-US" w:eastAsia="zh-CN"/>
        </w:rPr>
        <w:t>4、</w:t>
      </w:r>
      <w:r>
        <w:rPr>
          <w:rFonts w:hint="eastAsia" w:ascii="仿宋" w:hAnsi="仿宋" w:eastAsia="仿宋" w:cs="仿宋"/>
          <w:snapToGrid w:val="0"/>
          <w:sz w:val="32"/>
          <w:szCs w:val="32"/>
        </w:rPr>
        <w:t>广元市</w:t>
      </w:r>
      <w:r>
        <w:rPr>
          <w:rFonts w:hint="eastAsia" w:ascii="仿宋" w:hAnsi="仿宋" w:eastAsia="仿宋" w:cs="仿宋"/>
          <w:sz w:val="32"/>
          <w:szCs w:val="32"/>
        </w:rPr>
        <w:t>广元市工商行政管</w:t>
      </w:r>
      <w:r>
        <w:rPr>
          <w:rFonts w:hint="eastAsia" w:ascii="仿宋" w:hAnsi="仿宋" w:eastAsia="仿宋" w:cs="仿宋"/>
          <w:sz w:val="32"/>
          <w:szCs w:val="32"/>
          <w:lang w:eastAsia="zh-CN"/>
        </w:rPr>
        <w:t>经济检查支队；</w:t>
      </w:r>
    </w:p>
    <w:p>
      <w:pPr>
        <w:pStyle w:val="5"/>
        <w:adjustRightInd w:val="0"/>
        <w:snapToGrid w:val="0"/>
        <w:spacing w:before="93" w:line="600" w:lineRule="exact"/>
        <w:ind w:left="672"/>
        <w:outlineLvl w:val="2"/>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5、广元市个体私营经济服务中心；</w:t>
      </w:r>
    </w:p>
    <w:p>
      <w:pPr>
        <w:pStyle w:val="5"/>
        <w:adjustRightInd w:val="0"/>
        <w:snapToGrid w:val="0"/>
        <w:spacing w:before="93" w:line="600" w:lineRule="exact"/>
        <w:ind w:left="672"/>
        <w:outlineLvl w:val="2"/>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6、广元市保护消费者权益服务中心。</w:t>
      </w:r>
    </w:p>
    <w:p>
      <w:pPr>
        <w:widowControl/>
        <w:jc w:val="center"/>
        <w:rPr>
          <w:rStyle w:val="22"/>
          <w:rFonts w:ascii="黑体" w:hAnsi="黑体" w:eastAsia="黑体"/>
          <w:b w:val="0"/>
          <w:bCs w:val="0"/>
          <w:sz w:val="32"/>
          <w:szCs w:val="32"/>
        </w:rPr>
      </w:pPr>
      <w:r>
        <w:rPr>
          <w:rFonts w:ascii="??_GB2312" w:hAnsi="仿宋" w:eastAsia="Times New Roman"/>
          <w:color w:val="000000"/>
          <w:sz w:val="32"/>
          <w:szCs w:val="32"/>
        </w:rPr>
        <w:br w:type="page"/>
      </w:r>
      <w:bookmarkStart w:id="20" w:name="_Toc15396602"/>
      <w:bookmarkStart w:id="21" w:name="_Toc15377204"/>
      <w:r>
        <w:rPr>
          <w:rFonts w:hint="eastAsia" w:ascii="黑体" w:hAnsi="黑体" w:eastAsia="黑体"/>
          <w:color w:val="000000"/>
          <w:sz w:val="32"/>
          <w:szCs w:val="32"/>
        </w:rPr>
        <w:t>第二部分</w:t>
      </w:r>
      <w:r>
        <w:rPr>
          <w:rFonts w:ascii="黑体" w:hAnsi="黑体" w:eastAsia="黑体"/>
          <w:color w:val="000000"/>
          <w:sz w:val="32"/>
          <w:szCs w:val="32"/>
        </w:rPr>
        <w:t xml:space="preserve"> </w:t>
      </w:r>
      <w:r>
        <w:rPr>
          <w:rStyle w:val="22"/>
          <w:rFonts w:ascii="黑体" w:hAnsi="黑体" w:eastAsia="黑体"/>
          <w:b w:val="0"/>
          <w:bCs w:val="0"/>
          <w:sz w:val="32"/>
          <w:szCs w:val="32"/>
        </w:rPr>
        <w:t>2018</w:t>
      </w:r>
      <w:r>
        <w:rPr>
          <w:rStyle w:val="22"/>
          <w:rFonts w:hint="eastAsia" w:ascii="黑体" w:hAnsi="黑体" w:eastAsia="黑体"/>
          <w:b w:val="0"/>
          <w:bCs w:val="0"/>
          <w:sz w:val="32"/>
          <w:szCs w:val="32"/>
        </w:rPr>
        <w:t>年度部门决算情况说明</w:t>
      </w:r>
      <w:bookmarkEnd w:id="20"/>
      <w:bookmarkEnd w:id="21"/>
    </w:p>
    <w:p>
      <w:pPr>
        <w:rPr>
          <w:rFonts w:ascii="??_GB2312" w:eastAsia="Times New Roman"/>
          <w:sz w:val="32"/>
          <w:szCs w:val="32"/>
        </w:rPr>
      </w:pPr>
    </w:p>
    <w:p>
      <w:pPr>
        <w:pStyle w:val="33"/>
        <w:spacing w:line="600" w:lineRule="exact"/>
        <w:ind w:left="640" w:firstLine="0" w:firstLineChars="0"/>
        <w:outlineLvl w:val="1"/>
        <w:rPr>
          <w:rStyle w:val="23"/>
          <w:rFonts w:hint="eastAsia" w:asciiTheme="majorEastAsia" w:hAnsiTheme="majorEastAsia" w:eastAsiaTheme="majorEastAsia" w:cstheme="majorEastAsia"/>
          <w:b w:val="0"/>
        </w:rPr>
      </w:pPr>
      <w:bookmarkStart w:id="22" w:name="_Toc15377205"/>
      <w:bookmarkStart w:id="23" w:name="_Toc15396603"/>
      <w:r>
        <w:rPr>
          <w:rFonts w:hint="eastAsia" w:asciiTheme="majorEastAsia" w:hAnsiTheme="majorEastAsia" w:eastAsiaTheme="majorEastAsia" w:cstheme="majorEastAsia"/>
          <w:b/>
          <w:color w:val="000000"/>
          <w:sz w:val="32"/>
          <w:szCs w:val="32"/>
        </w:rPr>
        <w:t>一、收</w:t>
      </w:r>
      <w:r>
        <w:rPr>
          <w:rStyle w:val="23"/>
          <w:rFonts w:hint="eastAsia" w:asciiTheme="majorEastAsia" w:hAnsiTheme="majorEastAsia" w:eastAsiaTheme="majorEastAsia" w:cstheme="majorEastAsia"/>
        </w:rPr>
        <w:t>入支出决算总体情况说明</w:t>
      </w:r>
      <w:bookmarkEnd w:id="22"/>
      <w:bookmarkEnd w:id="23"/>
    </w:p>
    <w:p>
      <w:pPr>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2018年度收、支总计3959.92万元。与2017年相比，收、支总计各增加437.05万元，增长12.41%。主要变动原因是人员经费及公用经费的增加。</w:t>
      </w:r>
    </w:p>
    <w:p>
      <w:pPr>
        <w:pStyle w:val="33"/>
        <w:spacing w:line="600" w:lineRule="exact"/>
        <w:ind w:left="640" w:firstLine="0" w:firstLineChars="0"/>
        <w:outlineLvl w:val="1"/>
        <w:rPr>
          <w:rStyle w:val="23"/>
          <w:rFonts w:ascii="宋体" w:hAnsi="Times New Roman"/>
        </w:rPr>
      </w:pPr>
      <w:bookmarkStart w:id="24" w:name="_Toc15377206"/>
      <w:bookmarkStart w:id="25" w:name="_Toc15396604"/>
      <w:r>
        <w:rPr>
          <w:rStyle w:val="23"/>
          <w:rFonts w:hint="eastAsia" w:asciiTheme="majorEastAsia" w:hAnsiTheme="majorEastAsia" w:eastAsiaTheme="majorEastAsia" w:cstheme="majorEastAsia"/>
        </w:rPr>
        <w:t>二、收入决算情况说明</w:t>
      </w:r>
      <w:bookmarkEnd w:id="24"/>
      <w:bookmarkEnd w:id="25"/>
    </w:p>
    <w:p>
      <w:pPr>
        <w:spacing w:line="600" w:lineRule="exact"/>
        <w:ind w:firstLine="640" w:firstLineChars="200"/>
        <w:outlineLvl w:val="1"/>
        <w:rPr>
          <w:rFonts w:ascii="??_GB2312" w:eastAsia="Times New Roman"/>
          <w:color w:val="FF0000"/>
          <w:sz w:val="32"/>
          <w:szCs w:val="32"/>
        </w:rPr>
      </w:pPr>
      <w:r>
        <w:rPr>
          <w:rFonts w:hint="eastAsia" w:ascii="仿宋" w:hAnsi="仿宋" w:eastAsia="仿宋" w:cs="仿宋"/>
          <w:color w:val="000000"/>
          <w:sz w:val="32"/>
          <w:szCs w:val="32"/>
        </w:rPr>
        <w:t>2018年本年收入合计3537.40万元，其中：一般公共预算财政拨款收入3450.44万元，占97.54%；政府性基金预算财政拨款收入0万元，占0%；其他收入86.96万元，占2.46%。</w:t>
      </w:r>
    </w:p>
    <w:p>
      <w:pPr>
        <w:pStyle w:val="33"/>
        <w:spacing w:line="600" w:lineRule="exact"/>
        <w:ind w:left="640" w:firstLine="0" w:firstLineChars="0"/>
        <w:outlineLvl w:val="1"/>
        <w:rPr>
          <w:rStyle w:val="23"/>
          <w:rFonts w:hint="eastAsia" w:asciiTheme="majorEastAsia" w:hAnsiTheme="majorEastAsia" w:eastAsiaTheme="majorEastAsia" w:cstheme="majorEastAsia"/>
        </w:rPr>
      </w:pPr>
      <w:bookmarkStart w:id="26" w:name="_Toc15396605"/>
      <w:bookmarkStart w:id="27" w:name="_Toc15377207"/>
      <w:r>
        <w:rPr>
          <w:rStyle w:val="23"/>
          <w:rFonts w:hint="eastAsia" w:asciiTheme="majorEastAsia" w:hAnsiTheme="majorEastAsia" w:eastAsiaTheme="majorEastAsia" w:cstheme="majorEastAsia"/>
        </w:rPr>
        <w:t>三、支出决算情况说明</w:t>
      </w:r>
      <w:bookmarkEnd w:id="26"/>
      <w:bookmarkEnd w:id="27"/>
    </w:p>
    <w:p>
      <w:pPr>
        <w:spacing w:line="600" w:lineRule="exact"/>
        <w:ind w:firstLine="640"/>
        <w:rPr>
          <w:rFonts w:hint="eastAsia" w:ascii="仿宋" w:hAnsi="仿宋" w:eastAsia="仿宋" w:cs="仿宋"/>
          <w:color w:val="FF0000"/>
          <w:sz w:val="32"/>
          <w:szCs w:val="32"/>
        </w:rPr>
      </w:pPr>
      <w:r>
        <w:rPr>
          <w:rFonts w:hint="eastAsia" w:ascii="仿宋" w:hAnsi="仿宋" w:eastAsia="仿宋" w:cs="仿宋"/>
          <w:color w:val="000000"/>
          <w:sz w:val="32"/>
          <w:szCs w:val="32"/>
        </w:rPr>
        <w:t>2018年本年支出合计3565.17万元，其中：基本支出2989.91万元，占83.86%；项目支出575.26万元，占16.14%。</w:t>
      </w:r>
    </w:p>
    <w:p>
      <w:pPr>
        <w:spacing w:line="600" w:lineRule="exact"/>
        <w:ind w:firstLine="643" w:firstLineChars="200"/>
        <w:outlineLvl w:val="1"/>
        <w:rPr>
          <w:rStyle w:val="23"/>
          <w:rFonts w:hint="eastAsia" w:asciiTheme="majorEastAsia" w:hAnsiTheme="majorEastAsia" w:eastAsiaTheme="majorEastAsia" w:cstheme="majorEastAsia"/>
          <w:b w:val="0"/>
        </w:rPr>
      </w:pPr>
      <w:bookmarkStart w:id="28" w:name="_Toc15377208"/>
      <w:bookmarkStart w:id="29" w:name="_Toc15396606"/>
      <w:r>
        <w:rPr>
          <w:rFonts w:hint="eastAsia" w:asciiTheme="majorEastAsia" w:hAnsiTheme="majorEastAsia" w:eastAsiaTheme="majorEastAsia" w:cstheme="majorEastAsia"/>
          <w:b/>
          <w:bCs/>
          <w:color w:val="000000"/>
          <w:sz w:val="32"/>
          <w:szCs w:val="32"/>
        </w:rPr>
        <w:t>四、</w:t>
      </w:r>
      <w:r>
        <w:rPr>
          <w:rStyle w:val="23"/>
          <w:rFonts w:hint="eastAsia" w:asciiTheme="majorEastAsia" w:hAnsiTheme="majorEastAsia" w:eastAsiaTheme="majorEastAsia" w:cstheme="majorEastAsia"/>
        </w:rPr>
        <w:t>财政拨款收入支出决算总体情况说明</w:t>
      </w:r>
      <w:bookmarkEnd w:id="28"/>
      <w:bookmarkEnd w:id="29"/>
    </w:p>
    <w:p>
      <w:pPr>
        <w:spacing w:line="600" w:lineRule="exact"/>
        <w:ind w:firstLine="640" w:firstLineChars="200"/>
        <w:rPr>
          <w:rFonts w:hint="eastAsia" w:ascii="仿宋" w:hAnsi="仿宋" w:eastAsia="仿宋" w:cs="仿宋"/>
          <w:b/>
          <w:color w:val="00B050"/>
          <w:sz w:val="32"/>
          <w:szCs w:val="32"/>
        </w:rPr>
      </w:pPr>
      <w:r>
        <w:rPr>
          <w:rFonts w:hint="eastAsia" w:ascii="仿宋" w:hAnsi="仿宋" w:eastAsia="仿宋" w:cs="仿宋"/>
          <w:color w:val="000000"/>
          <w:sz w:val="32"/>
          <w:szCs w:val="32"/>
        </w:rPr>
        <w:t>2018年财政拨款收、支总计3872.96万元。与2017年相比，财政拨款收、支总计各增加485.21万元，增长14.32%。主要变动原因是人员经费变动。</w:t>
      </w:r>
    </w:p>
    <w:p>
      <w:pPr>
        <w:spacing w:line="600" w:lineRule="exact"/>
        <w:ind w:firstLine="643" w:firstLineChars="200"/>
        <w:outlineLvl w:val="1"/>
        <w:rPr>
          <w:rStyle w:val="23"/>
          <w:rFonts w:hint="eastAsia" w:asciiTheme="majorEastAsia" w:hAnsiTheme="majorEastAsia" w:eastAsiaTheme="majorEastAsia" w:cstheme="majorEastAsia"/>
          <w:b w:val="0"/>
        </w:rPr>
      </w:pPr>
      <w:bookmarkStart w:id="30" w:name="_Toc15396607"/>
      <w:bookmarkStart w:id="31" w:name="_Toc15377209"/>
      <w:r>
        <w:rPr>
          <w:rFonts w:hint="eastAsia" w:asciiTheme="majorEastAsia" w:hAnsiTheme="majorEastAsia" w:eastAsiaTheme="majorEastAsia" w:cstheme="majorEastAsia"/>
          <w:b/>
          <w:bCs/>
          <w:color w:val="000000"/>
          <w:sz w:val="32"/>
          <w:szCs w:val="32"/>
        </w:rPr>
        <w:t>五</w:t>
      </w:r>
      <w:r>
        <w:rPr>
          <w:rStyle w:val="23"/>
          <w:rFonts w:hint="eastAsia" w:asciiTheme="majorEastAsia" w:hAnsiTheme="majorEastAsia" w:eastAsiaTheme="majorEastAsia" w:cstheme="majorEastAsia"/>
        </w:rPr>
        <w:t>、一般公共预算财政拨款支出决算情况说明</w:t>
      </w:r>
      <w:bookmarkEnd w:id="30"/>
      <w:bookmarkEnd w:id="31"/>
    </w:p>
    <w:p>
      <w:pPr>
        <w:spacing w:line="600" w:lineRule="exact"/>
        <w:ind w:firstLine="643" w:firstLineChars="200"/>
        <w:outlineLvl w:val="2"/>
        <w:rPr>
          <w:rFonts w:hint="eastAsia" w:ascii="楷体" w:hAnsi="楷体" w:eastAsia="楷体" w:cs="楷体"/>
          <w:b/>
          <w:color w:val="000000"/>
          <w:sz w:val="32"/>
          <w:szCs w:val="32"/>
        </w:rPr>
      </w:pPr>
      <w:bookmarkStart w:id="32" w:name="_Toc15377210"/>
      <w:r>
        <w:rPr>
          <w:rFonts w:hint="eastAsia" w:ascii="楷体" w:hAnsi="楷体" w:eastAsia="楷体" w:cs="楷体"/>
          <w:b/>
          <w:color w:val="000000"/>
          <w:sz w:val="32"/>
          <w:szCs w:val="32"/>
        </w:rPr>
        <w:t>（一）一般公共预算财政拨款支出决算总体情况</w:t>
      </w:r>
      <w:bookmarkEnd w:id="32"/>
    </w:p>
    <w:p>
      <w:pPr>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2018年一般公共预算财政拨款支出3478.21万元，占本年支出合计的97.56%。与2017年相比，一般公共预算财政拨款增加232.40万元，增长7.16%。主要变动原因是行政运行费用增加。</w:t>
      </w:r>
    </w:p>
    <w:p>
      <w:pPr>
        <w:spacing w:line="600" w:lineRule="exact"/>
        <w:ind w:firstLine="643" w:firstLineChars="200"/>
        <w:outlineLvl w:val="2"/>
        <w:rPr>
          <w:rFonts w:hint="eastAsia" w:ascii="楷体" w:hAnsi="楷体" w:eastAsia="楷体" w:cs="楷体"/>
          <w:b/>
          <w:color w:val="000000"/>
          <w:sz w:val="32"/>
          <w:szCs w:val="32"/>
        </w:rPr>
      </w:pPr>
      <w:bookmarkStart w:id="33" w:name="_Toc15377211"/>
      <w:r>
        <w:rPr>
          <w:rFonts w:hint="eastAsia" w:ascii="楷体" w:hAnsi="楷体" w:eastAsia="楷体" w:cs="楷体"/>
          <w:b/>
          <w:color w:val="000000"/>
          <w:sz w:val="32"/>
          <w:szCs w:val="32"/>
        </w:rPr>
        <w:t>（二）一般公共预算财政拨款支出决算结构情况</w:t>
      </w:r>
      <w:bookmarkEnd w:id="33"/>
    </w:p>
    <w:p>
      <w:pPr>
        <w:spacing w:line="600" w:lineRule="exact"/>
        <w:ind w:firstLine="640"/>
        <w:rPr>
          <w:rFonts w:hint="eastAsia" w:ascii="仿宋" w:hAnsi="仿宋" w:eastAsia="仿宋" w:cs="仿宋"/>
          <w:color w:val="000000"/>
          <w:sz w:val="32"/>
          <w:szCs w:val="32"/>
        </w:rPr>
      </w:pPr>
      <w:r>
        <w:rPr>
          <w:rFonts w:hint="eastAsia" w:ascii="仿宋" w:hAnsi="仿宋" w:eastAsia="仿宋" w:cs="仿宋"/>
          <w:color w:val="000000"/>
          <w:sz w:val="32"/>
          <w:szCs w:val="32"/>
        </w:rPr>
        <w:t>2018年一般公共预算财政拨款支出3478.21万元，主要用于以下方面:</w:t>
      </w:r>
      <w:r>
        <w:rPr>
          <w:rFonts w:hint="eastAsia" w:ascii="仿宋" w:hAnsi="仿宋" w:eastAsia="仿宋" w:cs="仿宋"/>
          <w:b/>
          <w:color w:val="000000"/>
          <w:sz w:val="32"/>
          <w:szCs w:val="32"/>
        </w:rPr>
        <w:t>一般公共服务（类）</w:t>
      </w:r>
      <w:r>
        <w:rPr>
          <w:rFonts w:hint="eastAsia" w:ascii="仿宋" w:hAnsi="仿宋" w:eastAsia="仿宋" w:cs="仿宋"/>
          <w:color w:val="000000"/>
          <w:sz w:val="32"/>
          <w:szCs w:val="32"/>
        </w:rPr>
        <w:t>支出2929.29万元，占84.22%；</w:t>
      </w:r>
      <w:r>
        <w:rPr>
          <w:rFonts w:hint="eastAsia" w:ascii="仿宋" w:hAnsi="仿宋" w:eastAsia="仿宋" w:cs="仿宋"/>
          <w:b/>
          <w:color w:val="000000"/>
          <w:sz w:val="32"/>
          <w:szCs w:val="32"/>
        </w:rPr>
        <w:t>社会保障和就业（类）</w:t>
      </w:r>
      <w:r>
        <w:rPr>
          <w:rFonts w:hint="eastAsia" w:ascii="仿宋" w:hAnsi="仿宋" w:eastAsia="仿宋" w:cs="仿宋"/>
          <w:color w:val="000000"/>
          <w:sz w:val="32"/>
          <w:szCs w:val="32"/>
        </w:rPr>
        <w:t>支出256.18万元，占7.37%；</w:t>
      </w:r>
      <w:r>
        <w:rPr>
          <w:rFonts w:hint="eastAsia" w:ascii="仿宋" w:hAnsi="仿宋" w:eastAsia="仿宋" w:cs="仿宋"/>
          <w:b/>
          <w:bCs/>
          <w:color w:val="000000"/>
          <w:sz w:val="32"/>
          <w:szCs w:val="32"/>
        </w:rPr>
        <w:t>医疗卫生与计划生育</w:t>
      </w:r>
      <w:r>
        <w:rPr>
          <w:rFonts w:hint="eastAsia" w:ascii="仿宋" w:hAnsi="仿宋" w:eastAsia="仿宋" w:cs="仿宋"/>
          <w:b/>
          <w:color w:val="000000"/>
          <w:sz w:val="32"/>
          <w:szCs w:val="32"/>
        </w:rPr>
        <w:t>（类）</w:t>
      </w:r>
      <w:r>
        <w:rPr>
          <w:rFonts w:hint="eastAsia" w:ascii="仿宋" w:hAnsi="仿宋" w:eastAsia="仿宋" w:cs="仿宋"/>
          <w:color w:val="000000"/>
          <w:sz w:val="32"/>
          <w:szCs w:val="32"/>
        </w:rPr>
        <w:t>支出95.07万元，占2.73%；</w:t>
      </w:r>
      <w:r>
        <w:rPr>
          <w:rFonts w:hint="eastAsia" w:ascii="仿宋" w:hAnsi="仿宋" w:eastAsia="仿宋" w:cs="仿宋"/>
          <w:b/>
          <w:bCs/>
          <w:color w:val="000000"/>
          <w:sz w:val="32"/>
          <w:szCs w:val="32"/>
        </w:rPr>
        <w:t>住房保障</w:t>
      </w:r>
      <w:r>
        <w:rPr>
          <w:rFonts w:hint="eastAsia" w:ascii="仿宋" w:hAnsi="仿宋" w:eastAsia="仿宋" w:cs="仿宋"/>
          <w:b/>
          <w:color w:val="000000"/>
          <w:sz w:val="32"/>
          <w:szCs w:val="32"/>
        </w:rPr>
        <w:t>（类）</w:t>
      </w:r>
      <w:r>
        <w:rPr>
          <w:rFonts w:hint="eastAsia" w:ascii="仿宋" w:hAnsi="仿宋" w:eastAsia="仿宋" w:cs="仿宋"/>
          <w:color w:val="000000"/>
          <w:sz w:val="32"/>
          <w:szCs w:val="32"/>
        </w:rPr>
        <w:t>支出197.68万元，占5.68%。</w:t>
      </w:r>
    </w:p>
    <w:p>
      <w:pPr>
        <w:spacing w:line="600" w:lineRule="exact"/>
        <w:ind w:firstLine="643" w:firstLineChars="200"/>
        <w:outlineLvl w:val="2"/>
        <w:rPr>
          <w:rFonts w:hint="eastAsia" w:ascii="楷体" w:hAnsi="楷体" w:eastAsia="楷体" w:cs="楷体"/>
          <w:b/>
          <w:color w:val="000000"/>
          <w:sz w:val="32"/>
          <w:szCs w:val="32"/>
        </w:rPr>
      </w:pPr>
      <w:bookmarkStart w:id="34" w:name="_Toc15377212"/>
      <w:r>
        <w:rPr>
          <w:rFonts w:hint="eastAsia" w:ascii="楷体" w:hAnsi="楷体" w:eastAsia="楷体" w:cs="楷体"/>
          <w:b/>
          <w:color w:val="000000"/>
          <w:sz w:val="32"/>
          <w:szCs w:val="32"/>
        </w:rPr>
        <w:t>（三）一般公共预算财政拨款支出决算具体情况</w:t>
      </w:r>
      <w:bookmarkEnd w:id="34"/>
    </w:p>
    <w:p>
      <w:pPr>
        <w:spacing w:line="600" w:lineRule="exact"/>
        <w:ind w:firstLine="640" w:firstLineChars="200"/>
        <w:rPr>
          <w:rStyle w:val="14"/>
          <w:rFonts w:hint="eastAsia" w:ascii="仿宋" w:hAnsi="仿宋" w:eastAsia="仿宋" w:cs="仿宋"/>
          <w:color w:val="000000"/>
          <w:sz w:val="32"/>
          <w:szCs w:val="32"/>
        </w:rPr>
      </w:pPr>
      <w:bookmarkStart w:id="35" w:name="_Toc15377213"/>
      <w:bookmarkStart w:id="36" w:name="_Toc15377444"/>
      <w:bookmarkStart w:id="37" w:name="_Toc15378460"/>
      <w:r>
        <w:rPr>
          <w:rFonts w:hint="eastAsia" w:ascii="仿宋" w:hAnsi="仿宋" w:eastAsia="仿宋" w:cs="仿宋"/>
          <w:bCs/>
          <w:color w:val="000000"/>
          <w:sz w:val="32"/>
          <w:szCs w:val="32"/>
        </w:rPr>
        <w:t>2018</w:t>
      </w:r>
      <w:r>
        <w:rPr>
          <w:rFonts w:hint="eastAsia" w:ascii="仿宋" w:hAnsi="仿宋" w:eastAsia="仿宋" w:cs="仿宋"/>
          <w:b/>
          <w:color w:val="000000"/>
          <w:sz w:val="32"/>
          <w:szCs w:val="32"/>
        </w:rPr>
        <w:t>年般公共预算支出决算数为3478.21万元</w:t>
      </w:r>
      <w:r>
        <w:rPr>
          <w:rFonts w:hint="eastAsia" w:ascii="仿宋" w:hAnsi="仿宋" w:eastAsia="仿宋" w:cs="仿宋"/>
          <w:color w:val="000000"/>
          <w:sz w:val="32"/>
          <w:szCs w:val="32"/>
        </w:rPr>
        <w:t>，</w:t>
      </w:r>
      <w:r>
        <w:rPr>
          <w:rStyle w:val="14"/>
          <w:rFonts w:hint="eastAsia" w:ascii="仿宋" w:hAnsi="仿宋" w:eastAsia="仿宋" w:cs="仿宋"/>
          <w:bCs/>
          <w:color w:val="000000"/>
          <w:sz w:val="32"/>
          <w:szCs w:val="32"/>
        </w:rPr>
        <w:t>完成预89.81算%,</w:t>
      </w:r>
      <w:r>
        <w:rPr>
          <w:rFonts w:hint="eastAsia" w:ascii="仿宋" w:hAnsi="仿宋" w:eastAsia="仿宋" w:cs="仿宋"/>
          <w:b/>
          <w:color w:val="000000"/>
          <w:sz w:val="32"/>
          <w:szCs w:val="32"/>
        </w:rPr>
        <w:t>决算数小于预算数的主要原因人员经费减少</w:t>
      </w:r>
      <w:r>
        <w:rPr>
          <w:rStyle w:val="14"/>
          <w:rFonts w:hint="eastAsia" w:ascii="仿宋" w:hAnsi="仿宋" w:eastAsia="仿宋" w:cs="仿宋"/>
          <w:b w:val="0"/>
          <w:bCs/>
          <w:color w:val="000000"/>
          <w:sz w:val="32"/>
          <w:szCs w:val="32"/>
        </w:rPr>
        <w:t>。</w:t>
      </w:r>
    </w:p>
    <w:p>
      <w:pPr>
        <w:spacing w:line="600" w:lineRule="exact"/>
        <w:ind w:firstLine="643" w:firstLineChars="200"/>
        <w:rPr>
          <w:rStyle w:val="14"/>
          <w:rFonts w:hint="eastAsia" w:ascii="仿宋" w:hAnsi="仿宋" w:eastAsia="仿宋" w:cs="仿宋"/>
          <w:bCs/>
          <w:color w:val="000000"/>
          <w:sz w:val="32"/>
          <w:szCs w:val="32"/>
        </w:rPr>
      </w:pPr>
      <w:r>
        <w:rPr>
          <w:rStyle w:val="14"/>
          <w:rFonts w:hint="eastAsia" w:ascii="仿宋" w:hAnsi="仿宋" w:eastAsia="仿宋" w:cs="仿宋"/>
          <w:bCs/>
          <w:color w:val="000000"/>
          <w:sz w:val="32"/>
          <w:szCs w:val="32"/>
        </w:rPr>
        <w:t>其中：</w:t>
      </w:r>
      <w:bookmarkEnd w:id="35"/>
      <w:bookmarkEnd w:id="36"/>
      <w:bookmarkEnd w:id="37"/>
    </w:p>
    <w:p>
      <w:pPr>
        <w:numPr>
          <w:ilvl w:val="0"/>
          <w:numId w:val="2"/>
        </w:numPr>
        <w:spacing w:line="600" w:lineRule="exact"/>
        <w:ind w:firstLine="643" w:firstLineChars="200"/>
        <w:rPr>
          <w:rStyle w:val="14"/>
          <w:rFonts w:hint="eastAsia" w:ascii="仿宋" w:hAnsi="仿宋" w:eastAsia="仿宋" w:cs="仿宋"/>
          <w:bCs/>
          <w:color w:val="000000"/>
          <w:sz w:val="32"/>
          <w:szCs w:val="32"/>
        </w:rPr>
      </w:pPr>
      <w:r>
        <w:rPr>
          <w:rStyle w:val="14"/>
          <w:rFonts w:hint="eastAsia" w:ascii="仿宋" w:hAnsi="仿宋" w:eastAsia="仿宋" w:cs="仿宋"/>
          <w:bCs/>
          <w:color w:val="000000"/>
          <w:sz w:val="32"/>
          <w:szCs w:val="32"/>
        </w:rPr>
        <w:t>一般公共服务（类）工商行政</w:t>
      </w:r>
      <w:r>
        <w:rPr>
          <w:rStyle w:val="14"/>
          <w:rFonts w:hint="eastAsia" w:ascii="仿宋" w:hAnsi="仿宋" w:eastAsia="仿宋" w:cs="仿宋"/>
          <w:bCs/>
          <w:color w:val="000000"/>
          <w:sz w:val="32"/>
          <w:szCs w:val="32"/>
          <w:lang w:eastAsia="zh-CN"/>
        </w:rPr>
        <w:t>管理事务</w:t>
      </w:r>
      <w:r>
        <w:rPr>
          <w:rStyle w:val="14"/>
          <w:rFonts w:hint="eastAsia" w:ascii="仿宋" w:hAnsi="仿宋" w:eastAsia="仿宋" w:cs="仿宋"/>
          <w:bCs/>
          <w:color w:val="000000"/>
          <w:sz w:val="32"/>
          <w:szCs w:val="32"/>
        </w:rPr>
        <w:t>（款）</w:t>
      </w:r>
    </w:p>
    <w:p>
      <w:pPr>
        <w:numPr>
          <w:ilvl w:val="0"/>
          <w:numId w:val="3"/>
        </w:numPr>
        <w:spacing w:line="600" w:lineRule="exact"/>
        <w:ind w:firstLine="643" w:firstLineChars="200"/>
        <w:rPr>
          <w:rStyle w:val="14"/>
          <w:rFonts w:hint="eastAsia" w:ascii="仿宋" w:hAnsi="仿宋" w:eastAsia="仿宋" w:cs="仿宋"/>
          <w:b w:val="0"/>
          <w:bCs/>
          <w:color w:val="000000"/>
          <w:sz w:val="32"/>
          <w:szCs w:val="32"/>
        </w:rPr>
      </w:pPr>
      <w:r>
        <w:rPr>
          <w:rStyle w:val="14"/>
          <w:rFonts w:hint="eastAsia" w:ascii="仿宋" w:hAnsi="仿宋" w:eastAsia="仿宋" w:cs="仿宋"/>
          <w:bCs/>
          <w:color w:val="000000"/>
          <w:sz w:val="32"/>
          <w:szCs w:val="32"/>
          <w:lang w:eastAsia="zh-CN"/>
        </w:rPr>
        <w:t>行政运行</w:t>
      </w:r>
      <w:r>
        <w:rPr>
          <w:rStyle w:val="14"/>
          <w:rFonts w:hint="eastAsia" w:ascii="仿宋" w:hAnsi="仿宋" w:eastAsia="仿宋" w:cs="仿宋"/>
          <w:bCs/>
          <w:color w:val="000000"/>
          <w:sz w:val="32"/>
          <w:szCs w:val="32"/>
        </w:rPr>
        <w:t>（项）:</w:t>
      </w:r>
      <w:r>
        <w:rPr>
          <w:rStyle w:val="14"/>
          <w:rFonts w:hint="eastAsia" w:ascii="仿宋" w:hAnsi="仿宋" w:eastAsia="仿宋" w:cs="仿宋"/>
          <w:b w:val="0"/>
          <w:bCs/>
          <w:color w:val="000000"/>
          <w:sz w:val="32"/>
          <w:szCs w:val="32"/>
        </w:rPr>
        <w:t>支出决算为</w:t>
      </w:r>
      <w:r>
        <w:rPr>
          <w:rStyle w:val="14"/>
          <w:rFonts w:hint="eastAsia" w:ascii="仿宋" w:hAnsi="仿宋" w:eastAsia="仿宋" w:cs="仿宋"/>
          <w:b w:val="0"/>
          <w:bCs/>
          <w:color w:val="000000"/>
          <w:sz w:val="32"/>
          <w:szCs w:val="32"/>
          <w:lang w:val="en-US" w:eastAsia="zh-CN"/>
        </w:rPr>
        <w:t>2374.26</w:t>
      </w:r>
      <w:r>
        <w:rPr>
          <w:rStyle w:val="14"/>
          <w:rFonts w:hint="eastAsia" w:ascii="仿宋" w:hAnsi="仿宋" w:eastAsia="仿宋" w:cs="仿宋"/>
          <w:b w:val="0"/>
          <w:bCs/>
          <w:color w:val="000000"/>
          <w:sz w:val="32"/>
          <w:szCs w:val="32"/>
        </w:rPr>
        <w:t>万元，完成预算</w:t>
      </w:r>
      <w:r>
        <w:rPr>
          <w:rStyle w:val="14"/>
          <w:rFonts w:hint="eastAsia" w:ascii="仿宋" w:hAnsi="仿宋" w:eastAsia="仿宋" w:cs="仿宋"/>
          <w:b w:val="0"/>
          <w:bCs/>
          <w:color w:val="000000"/>
          <w:sz w:val="32"/>
          <w:szCs w:val="32"/>
          <w:lang w:val="en-US" w:eastAsia="zh-CN"/>
        </w:rPr>
        <w:t>97.95</w:t>
      </w:r>
      <w:r>
        <w:rPr>
          <w:rStyle w:val="14"/>
          <w:rFonts w:hint="eastAsia" w:ascii="仿宋" w:hAnsi="仿宋" w:eastAsia="仿宋" w:cs="仿宋"/>
          <w:b w:val="0"/>
          <w:bCs/>
          <w:color w:val="000000"/>
          <w:sz w:val="32"/>
          <w:szCs w:val="32"/>
        </w:rPr>
        <w:t>%</w:t>
      </w:r>
      <w:r>
        <w:rPr>
          <w:rStyle w:val="14"/>
          <w:rFonts w:hint="eastAsia" w:ascii="仿宋" w:hAnsi="仿宋" w:eastAsia="仿宋" w:cs="仿宋"/>
          <w:b w:val="0"/>
          <w:bCs/>
          <w:color w:val="000000"/>
          <w:sz w:val="32"/>
          <w:szCs w:val="32"/>
          <w:lang w:eastAsia="zh-CN"/>
        </w:rPr>
        <w:t>，与去年同期基本持平；</w:t>
      </w:r>
    </w:p>
    <w:p>
      <w:pPr>
        <w:numPr>
          <w:ilvl w:val="0"/>
          <w:numId w:val="3"/>
        </w:numPr>
        <w:spacing w:line="600" w:lineRule="exact"/>
        <w:ind w:firstLine="643" w:firstLineChars="200"/>
        <w:rPr>
          <w:rStyle w:val="14"/>
          <w:rFonts w:hint="eastAsia" w:ascii="仿宋" w:hAnsi="仿宋" w:eastAsia="仿宋" w:cs="仿宋"/>
          <w:b w:val="0"/>
          <w:bCs/>
          <w:color w:val="000000"/>
          <w:sz w:val="32"/>
          <w:szCs w:val="32"/>
        </w:rPr>
      </w:pPr>
      <w:r>
        <w:rPr>
          <w:rFonts w:hint="eastAsia" w:ascii="仿宋" w:hAnsi="仿宋" w:eastAsia="仿宋" w:cs="仿宋"/>
          <w:b/>
          <w:bCs/>
          <w:color w:val="000000"/>
          <w:sz w:val="32"/>
          <w:szCs w:val="32"/>
        </w:rPr>
        <w:t>一般</w:t>
      </w:r>
      <w:r>
        <w:rPr>
          <w:rFonts w:hint="eastAsia" w:ascii="仿宋" w:hAnsi="仿宋" w:eastAsia="仿宋" w:cs="仿宋"/>
          <w:b/>
          <w:bCs/>
          <w:color w:val="000000"/>
          <w:sz w:val="32"/>
          <w:szCs w:val="32"/>
          <w:lang w:eastAsia="zh-CN"/>
        </w:rPr>
        <w:t>行政管理事务</w:t>
      </w:r>
      <w:r>
        <w:rPr>
          <w:rStyle w:val="14"/>
          <w:rFonts w:hint="eastAsia" w:ascii="仿宋" w:hAnsi="仿宋" w:eastAsia="仿宋" w:cs="仿宋"/>
          <w:b/>
          <w:bCs/>
          <w:color w:val="000000"/>
          <w:sz w:val="32"/>
          <w:szCs w:val="32"/>
        </w:rPr>
        <w:t>（项</w:t>
      </w:r>
      <w:r>
        <w:rPr>
          <w:rStyle w:val="14"/>
          <w:rFonts w:hint="eastAsia" w:ascii="仿宋" w:hAnsi="仿宋" w:eastAsia="仿宋" w:cs="仿宋"/>
          <w:bCs/>
          <w:color w:val="000000"/>
          <w:sz w:val="32"/>
          <w:szCs w:val="32"/>
        </w:rPr>
        <w:t>）</w:t>
      </w:r>
      <w:r>
        <w:rPr>
          <w:rStyle w:val="14"/>
          <w:rFonts w:hint="eastAsia" w:ascii="仿宋" w:hAnsi="仿宋" w:eastAsia="仿宋" w:cs="仿宋"/>
          <w:b w:val="0"/>
          <w:bCs w:val="0"/>
          <w:color w:val="000000"/>
          <w:sz w:val="32"/>
          <w:szCs w:val="32"/>
          <w:lang w:eastAsia="zh-CN"/>
        </w:rPr>
        <w:t>支出</w:t>
      </w:r>
      <w:r>
        <w:rPr>
          <w:rFonts w:hint="eastAsia" w:ascii="仿宋" w:hAnsi="仿宋" w:eastAsia="仿宋" w:cs="仿宋"/>
          <w:color w:val="000000"/>
          <w:sz w:val="32"/>
          <w:szCs w:val="32"/>
        </w:rPr>
        <w:t>决算</w:t>
      </w:r>
      <w:r>
        <w:rPr>
          <w:rFonts w:hint="eastAsia" w:ascii="仿宋" w:hAnsi="仿宋" w:eastAsia="仿宋" w:cs="仿宋"/>
          <w:color w:val="000000"/>
          <w:sz w:val="32"/>
          <w:szCs w:val="32"/>
          <w:lang w:val="en-US" w:eastAsia="zh-CN"/>
        </w:rPr>
        <w:t>457.54</w:t>
      </w:r>
      <w:r>
        <w:rPr>
          <w:rFonts w:hint="eastAsia" w:ascii="仿宋" w:hAnsi="仿宋" w:eastAsia="仿宋" w:cs="仿宋"/>
          <w:color w:val="000000"/>
          <w:sz w:val="32"/>
          <w:szCs w:val="32"/>
        </w:rPr>
        <w:t>万元，完成预算</w:t>
      </w:r>
      <w:r>
        <w:rPr>
          <w:rFonts w:hint="eastAsia" w:ascii="仿宋" w:hAnsi="仿宋" w:eastAsia="仿宋" w:cs="仿宋"/>
          <w:color w:val="000000"/>
          <w:sz w:val="32"/>
          <w:szCs w:val="32"/>
          <w:lang w:val="en-US" w:eastAsia="zh-CN"/>
        </w:rPr>
        <w:t>57.15</w:t>
      </w:r>
      <w:r>
        <w:rPr>
          <w:rFonts w:hint="eastAsia" w:ascii="仿宋" w:hAnsi="仿宋" w:eastAsia="仿宋" w:cs="仿宋"/>
          <w:color w:val="000000"/>
          <w:sz w:val="32"/>
          <w:szCs w:val="32"/>
        </w:rPr>
        <w:t>%</w:t>
      </w:r>
      <w:r>
        <w:rPr>
          <w:rFonts w:hint="eastAsia" w:ascii="仿宋" w:hAnsi="仿宋" w:eastAsia="仿宋" w:cs="仿宋"/>
          <w:color w:val="000000"/>
          <w:sz w:val="32"/>
          <w:szCs w:val="32"/>
          <w:lang w:eastAsia="zh-CN"/>
        </w:rPr>
        <w:t>，</w:t>
      </w:r>
      <w:r>
        <w:rPr>
          <w:rStyle w:val="14"/>
          <w:rFonts w:hint="eastAsia" w:ascii="仿宋" w:hAnsi="仿宋" w:eastAsia="仿宋"/>
          <w:b w:val="0"/>
          <w:bCs/>
          <w:color w:val="000000"/>
          <w:sz w:val="32"/>
          <w:szCs w:val="32"/>
        </w:rPr>
        <w:t>决算数小于预算数的主要原因是</w:t>
      </w:r>
      <w:r>
        <w:rPr>
          <w:rStyle w:val="14"/>
          <w:rFonts w:hint="eastAsia" w:ascii="仿宋" w:hAnsi="仿宋" w:eastAsia="仿宋"/>
          <w:b w:val="0"/>
          <w:bCs/>
          <w:color w:val="000000"/>
          <w:sz w:val="32"/>
          <w:szCs w:val="32"/>
          <w:lang w:eastAsia="zh-CN"/>
        </w:rPr>
        <w:t>经开分局办公楼维修项目未实施完毕；</w:t>
      </w:r>
    </w:p>
    <w:p>
      <w:pPr>
        <w:numPr>
          <w:ilvl w:val="0"/>
          <w:numId w:val="3"/>
        </w:numPr>
        <w:spacing w:line="600" w:lineRule="exact"/>
        <w:ind w:firstLine="643" w:firstLineChars="200"/>
        <w:rPr>
          <w:rStyle w:val="14"/>
          <w:rFonts w:hint="eastAsia" w:ascii="仿宋" w:hAnsi="仿宋" w:eastAsia="仿宋" w:cs="仿宋"/>
          <w:b w:val="0"/>
          <w:bCs/>
          <w:color w:val="000000"/>
          <w:sz w:val="32"/>
          <w:szCs w:val="32"/>
        </w:rPr>
      </w:pPr>
      <w:r>
        <w:rPr>
          <w:rFonts w:hint="eastAsia" w:ascii="仿宋" w:hAnsi="仿宋" w:eastAsia="仿宋" w:cs="仿宋"/>
          <w:b/>
          <w:bCs/>
          <w:color w:val="000000"/>
          <w:sz w:val="32"/>
          <w:szCs w:val="32"/>
          <w:lang w:eastAsia="zh-CN"/>
        </w:rPr>
        <w:t>工商行政管理专项</w:t>
      </w:r>
      <w:r>
        <w:rPr>
          <w:rStyle w:val="14"/>
          <w:rFonts w:hint="eastAsia" w:ascii="仿宋" w:hAnsi="仿宋" w:eastAsia="仿宋" w:cs="仿宋"/>
          <w:b/>
          <w:bCs/>
          <w:color w:val="000000"/>
          <w:sz w:val="32"/>
          <w:szCs w:val="32"/>
        </w:rPr>
        <w:t>（</w:t>
      </w:r>
      <w:r>
        <w:rPr>
          <w:rStyle w:val="14"/>
          <w:rFonts w:hint="eastAsia" w:ascii="仿宋" w:hAnsi="仿宋" w:eastAsia="仿宋" w:cs="仿宋"/>
          <w:bCs/>
          <w:color w:val="000000"/>
          <w:sz w:val="32"/>
          <w:szCs w:val="32"/>
        </w:rPr>
        <w:t>项）</w:t>
      </w:r>
      <w:r>
        <w:rPr>
          <w:rStyle w:val="14"/>
          <w:rFonts w:hint="eastAsia" w:ascii="仿宋" w:hAnsi="仿宋" w:eastAsia="仿宋" w:cs="仿宋"/>
          <w:bCs/>
          <w:color w:val="000000"/>
          <w:sz w:val="32"/>
          <w:szCs w:val="32"/>
          <w:lang w:eastAsia="zh-CN"/>
        </w:rPr>
        <w:t>支出决算数</w:t>
      </w:r>
      <w:r>
        <w:rPr>
          <w:rStyle w:val="14"/>
          <w:rFonts w:hint="eastAsia" w:ascii="仿宋" w:hAnsi="仿宋" w:eastAsia="仿宋" w:cs="仿宋"/>
          <w:bCs/>
          <w:color w:val="000000"/>
          <w:sz w:val="32"/>
          <w:szCs w:val="32"/>
          <w:lang w:val="en-US" w:eastAsia="zh-CN"/>
        </w:rPr>
        <w:t>46.24万元，完成预算的100%</w:t>
      </w:r>
    </w:p>
    <w:p>
      <w:pPr>
        <w:numPr>
          <w:ilvl w:val="0"/>
          <w:numId w:val="3"/>
        </w:numPr>
        <w:spacing w:line="600" w:lineRule="exact"/>
        <w:ind w:firstLine="643" w:firstLineChars="200"/>
        <w:rPr>
          <w:rStyle w:val="14"/>
          <w:rFonts w:hint="eastAsia" w:ascii="仿宋" w:hAnsi="仿宋" w:eastAsia="仿宋" w:cs="仿宋"/>
          <w:b w:val="0"/>
          <w:bCs/>
          <w:color w:val="000000"/>
          <w:sz w:val="32"/>
          <w:szCs w:val="32"/>
        </w:rPr>
      </w:pPr>
      <w:r>
        <w:rPr>
          <w:rStyle w:val="14"/>
          <w:rFonts w:hint="eastAsia" w:ascii="仿宋" w:hAnsi="仿宋" w:eastAsia="仿宋" w:cs="仿宋"/>
          <w:bCs/>
          <w:color w:val="000000"/>
          <w:sz w:val="32"/>
          <w:szCs w:val="32"/>
          <w:lang w:val="en-US" w:eastAsia="zh-CN"/>
        </w:rPr>
        <w:t>执法办案专项（项）支出决算数34.71万元，完成预算的100%</w:t>
      </w:r>
    </w:p>
    <w:p>
      <w:pPr>
        <w:numPr>
          <w:ilvl w:val="0"/>
          <w:numId w:val="3"/>
        </w:numPr>
        <w:spacing w:line="600" w:lineRule="exact"/>
        <w:ind w:firstLine="643" w:firstLineChars="200"/>
        <w:rPr>
          <w:rStyle w:val="14"/>
          <w:rFonts w:hint="eastAsia" w:ascii="仿宋" w:hAnsi="仿宋" w:eastAsia="仿宋" w:cs="仿宋"/>
          <w:b w:val="0"/>
          <w:bCs/>
          <w:color w:val="000000"/>
          <w:sz w:val="32"/>
          <w:szCs w:val="32"/>
        </w:rPr>
      </w:pPr>
      <w:r>
        <w:rPr>
          <w:rStyle w:val="14"/>
          <w:rFonts w:hint="eastAsia" w:ascii="仿宋" w:hAnsi="仿宋" w:eastAsia="仿宋" w:cs="仿宋"/>
          <w:bCs/>
          <w:color w:val="000000"/>
          <w:sz w:val="32"/>
          <w:szCs w:val="32"/>
          <w:lang w:val="en-US" w:eastAsia="zh-CN"/>
        </w:rPr>
        <w:t>消费者权益保护(项）支出决算数16.54万元，完成预算的100%</w:t>
      </w:r>
    </w:p>
    <w:p>
      <w:pPr>
        <w:spacing w:line="600" w:lineRule="exact"/>
        <w:ind w:firstLine="640" w:firstLineChars="200"/>
        <w:outlineLvl w:val="2"/>
        <w:rPr>
          <w:rFonts w:hint="eastAsia" w:ascii="仿宋" w:hAnsi="仿宋" w:eastAsia="仿宋" w:cs="仿宋"/>
          <w:color w:val="FF0000"/>
          <w:sz w:val="32"/>
          <w:szCs w:val="32"/>
        </w:rPr>
      </w:pPr>
    </w:p>
    <w:p>
      <w:pPr>
        <w:numPr>
          <w:ilvl w:val="0"/>
          <w:numId w:val="0"/>
        </w:numPr>
        <w:spacing w:line="600" w:lineRule="exact"/>
        <w:ind w:firstLine="643" w:firstLineChars="200"/>
        <w:rPr>
          <w:rStyle w:val="14"/>
          <w:rFonts w:hint="eastAsia" w:ascii="仿宋" w:hAnsi="仿宋" w:eastAsia="仿宋" w:cs="仿宋"/>
          <w:bCs/>
          <w:color w:val="000000"/>
          <w:sz w:val="32"/>
          <w:szCs w:val="32"/>
        </w:rPr>
      </w:pPr>
      <w:r>
        <w:rPr>
          <w:rStyle w:val="14"/>
          <w:rFonts w:hint="eastAsia" w:ascii="仿宋" w:hAnsi="仿宋" w:eastAsia="仿宋" w:cs="仿宋"/>
          <w:bCs/>
          <w:color w:val="000000"/>
          <w:sz w:val="32"/>
          <w:szCs w:val="32"/>
          <w:lang w:val="en-US" w:eastAsia="zh-CN"/>
        </w:rPr>
        <w:t>2.社会保险和就业支出</w:t>
      </w:r>
      <w:r>
        <w:rPr>
          <w:rStyle w:val="14"/>
          <w:rFonts w:hint="eastAsia" w:ascii="仿宋" w:hAnsi="仿宋" w:eastAsia="仿宋" w:cs="仿宋"/>
          <w:bCs/>
          <w:color w:val="000000"/>
          <w:sz w:val="32"/>
          <w:szCs w:val="32"/>
        </w:rPr>
        <w:t>（类）</w:t>
      </w:r>
      <w:r>
        <w:rPr>
          <w:rStyle w:val="14"/>
          <w:rFonts w:hint="eastAsia" w:ascii="仿宋" w:hAnsi="仿宋" w:eastAsia="仿宋" w:cs="仿宋"/>
          <w:bCs/>
          <w:color w:val="000000"/>
          <w:sz w:val="32"/>
          <w:szCs w:val="32"/>
          <w:lang w:eastAsia="zh-CN"/>
        </w:rPr>
        <w:t>行政事业单位离退休</w:t>
      </w:r>
      <w:r>
        <w:rPr>
          <w:rStyle w:val="14"/>
          <w:rFonts w:hint="eastAsia" w:ascii="仿宋" w:hAnsi="仿宋" w:eastAsia="仿宋" w:cs="仿宋"/>
          <w:bCs/>
          <w:color w:val="000000"/>
          <w:sz w:val="32"/>
          <w:szCs w:val="32"/>
        </w:rPr>
        <w:t>（款）</w:t>
      </w:r>
    </w:p>
    <w:p>
      <w:pPr>
        <w:spacing w:line="600" w:lineRule="exact"/>
        <w:ind w:firstLine="640"/>
        <w:rPr>
          <w:rFonts w:hint="eastAsia" w:ascii="仿宋" w:hAnsi="仿宋" w:eastAsia="仿宋" w:cs="仿宋"/>
          <w:color w:val="000000"/>
          <w:sz w:val="32"/>
          <w:szCs w:val="32"/>
        </w:rPr>
      </w:pP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1）</w:t>
      </w:r>
      <w:r>
        <w:rPr>
          <w:rFonts w:hint="eastAsia" w:ascii="仿宋" w:hAnsi="仿宋" w:eastAsia="仿宋" w:cs="仿宋"/>
          <w:color w:val="000000"/>
          <w:sz w:val="32"/>
          <w:szCs w:val="32"/>
        </w:rPr>
        <w:t>机关事业单位基本养老保险缴费</w:t>
      </w:r>
      <w:r>
        <w:rPr>
          <w:rFonts w:hint="eastAsia" w:ascii="仿宋" w:hAnsi="仿宋" w:eastAsia="仿宋" w:cs="仿宋"/>
          <w:b/>
          <w:bCs/>
          <w:color w:val="000000"/>
          <w:sz w:val="32"/>
          <w:szCs w:val="32"/>
          <w:lang w:eastAsia="zh-CN"/>
        </w:rPr>
        <w:t>（</w:t>
      </w:r>
      <w:r>
        <w:rPr>
          <w:rStyle w:val="14"/>
          <w:rFonts w:hint="eastAsia" w:ascii="仿宋" w:hAnsi="仿宋" w:eastAsia="仿宋" w:cs="仿宋"/>
          <w:b/>
          <w:bCs/>
          <w:color w:val="000000"/>
          <w:sz w:val="32"/>
          <w:szCs w:val="32"/>
          <w:lang w:val="en-US" w:eastAsia="zh-CN"/>
        </w:rPr>
        <w:t>项</w:t>
      </w:r>
      <w:r>
        <w:rPr>
          <w:rFonts w:hint="eastAsia" w:ascii="仿宋" w:hAnsi="仿宋" w:eastAsia="仿宋" w:cs="仿宋"/>
          <w:b/>
          <w:bCs/>
          <w:color w:val="000000"/>
          <w:sz w:val="32"/>
          <w:szCs w:val="32"/>
          <w:lang w:eastAsia="zh-CN"/>
        </w:rPr>
        <w:t>）</w:t>
      </w:r>
      <w:r>
        <w:rPr>
          <w:rFonts w:hint="eastAsia" w:ascii="仿宋" w:hAnsi="仿宋" w:eastAsia="仿宋" w:cs="仿宋"/>
          <w:color w:val="000000"/>
          <w:sz w:val="32"/>
          <w:szCs w:val="32"/>
        </w:rPr>
        <w:t>支出决算数为204.62万元，完成预算100%。</w:t>
      </w:r>
    </w:p>
    <w:p>
      <w:pPr>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lang w:val="en-US" w:eastAsia="zh-CN"/>
        </w:rPr>
        <w:t>2）</w:t>
      </w:r>
      <w:r>
        <w:rPr>
          <w:rFonts w:hint="eastAsia" w:ascii="仿宋" w:hAnsi="仿宋" w:eastAsia="仿宋" w:cs="仿宋"/>
          <w:color w:val="000000"/>
          <w:sz w:val="32"/>
          <w:szCs w:val="32"/>
        </w:rPr>
        <w:t>机关事业单位职业年金缴费</w:t>
      </w:r>
      <w:r>
        <w:rPr>
          <w:rFonts w:hint="eastAsia" w:ascii="仿宋" w:hAnsi="仿宋" w:eastAsia="仿宋" w:cs="仿宋"/>
          <w:b/>
          <w:bCs/>
          <w:color w:val="000000"/>
          <w:sz w:val="32"/>
          <w:szCs w:val="32"/>
          <w:lang w:eastAsia="zh-CN"/>
        </w:rPr>
        <w:t>（</w:t>
      </w:r>
      <w:r>
        <w:rPr>
          <w:rStyle w:val="14"/>
          <w:rFonts w:hint="eastAsia" w:ascii="仿宋" w:hAnsi="仿宋" w:eastAsia="仿宋" w:cs="仿宋"/>
          <w:b/>
          <w:bCs/>
          <w:color w:val="000000"/>
          <w:sz w:val="32"/>
          <w:szCs w:val="32"/>
          <w:lang w:val="en-US" w:eastAsia="zh-CN"/>
        </w:rPr>
        <w:t>项</w:t>
      </w:r>
      <w:r>
        <w:rPr>
          <w:rFonts w:hint="eastAsia" w:ascii="仿宋" w:hAnsi="仿宋" w:eastAsia="仿宋" w:cs="仿宋"/>
          <w:b/>
          <w:bCs/>
          <w:color w:val="000000"/>
          <w:sz w:val="32"/>
          <w:szCs w:val="32"/>
          <w:lang w:eastAsia="zh-CN"/>
        </w:rPr>
        <w:t>）</w:t>
      </w:r>
      <w:r>
        <w:rPr>
          <w:rFonts w:hint="eastAsia" w:ascii="仿宋" w:hAnsi="仿宋" w:eastAsia="仿宋" w:cs="仿宋"/>
          <w:color w:val="000000"/>
          <w:sz w:val="32"/>
          <w:szCs w:val="32"/>
        </w:rPr>
        <w:t>支出1.33万元，完成预算100%。</w:t>
      </w:r>
    </w:p>
    <w:p>
      <w:pPr>
        <w:spacing w:line="600" w:lineRule="exact"/>
        <w:ind w:firstLine="640" w:firstLineChars="20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（3）死亡抚血（</w:t>
      </w:r>
      <w:r>
        <w:rPr>
          <w:rStyle w:val="14"/>
          <w:rFonts w:hint="eastAsia" w:ascii="仿宋" w:hAnsi="仿宋" w:eastAsia="仿宋" w:cs="仿宋"/>
          <w:bCs/>
          <w:color w:val="000000"/>
          <w:sz w:val="32"/>
          <w:szCs w:val="32"/>
          <w:lang w:val="en-US" w:eastAsia="zh-CN"/>
        </w:rPr>
        <w:t>项</w:t>
      </w:r>
      <w:r>
        <w:rPr>
          <w:rFonts w:hint="eastAsia" w:ascii="仿宋" w:hAnsi="仿宋" w:eastAsia="仿宋" w:cs="仿宋"/>
          <w:color w:val="000000"/>
          <w:sz w:val="32"/>
          <w:szCs w:val="32"/>
          <w:lang w:val="en-US" w:eastAsia="zh-CN"/>
        </w:rPr>
        <w:t>）支出50.23万元，</w:t>
      </w:r>
      <w:r>
        <w:rPr>
          <w:rFonts w:hint="eastAsia" w:ascii="仿宋" w:hAnsi="仿宋" w:eastAsia="仿宋" w:cs="仿宋"/>
          <w:color w:val="000000"/>
          <w:sz w:val="32"/>
          <w:szCs w:val="32"/>
        </w:rPr>
        <w:t>完成预算100%。</w:t>
      </w:r>
    </w:p>
    <w:p>
      <w:pPr>
        <w:spacing w:line="600" w:lineRule="exact"/>
        <w:ind w:firstLine="640"/>
        <w:rPr>
          <w:rFonts w:hint="eastAsia" w:ascii="仿宋" w:hAnsi="仿宋" w:eastAsia="仿宋" w:cs="仿宋"/>
          <w:b/>
          <w:bCs/>
          <w:color w:val="000000"/>
          <w:sz w:val="32"/>
          <w:szCs w:val="32"/>
          <w:lang w:eastAsia="zh-CN"/>
        </w:rPr>
      </w:pPr>
      <w:r>
        <w:rPr>
          <w:rFonts w:hint="eastAsia" w:ascii="仿宋" w:hAnsi="仿宋" w:eastAsia="仿宋" w:cs="仿宋"/>
          <w:color w:val="000000"/>
          <w:sz w:val="32"/>
          <w:szCs w:val="32"/>
        </w:rPr>
        <w:t>3</w:t>
      </w:r>
      <w:r>
        <w:rPr>
          <w:rFonts w:hint="eastAsia" w:ascii="仿宋" w:hAnsi="仿宋" w:eastAsia="仿宋" w:cs="仿宋"/>
          <w:color w:val="000000"/>
          <w:sz w:val="32"/>
          <w:szCs w:val="32"/>
          <w:lang w:val="en-US" w:eastAsia="zh-CN"/>
        </w:rPr>
        <w:t>.</w:t>
      </w:r>
      <w:r>
        <w:rPr>
          <w:rFonts w:hint="eastAsia" w:ascii="仿宋" w:hAnsi="仿宋" w:eastAsia="仿宋" w:cs="仿宋"/>
          <w:b/>
          <w:bCs/>
          <w:color w:val="000000"/>
          <w:sz w:val="32"/>
          <w:szCs w:val="32"/>
        </w:rPr>
        <w:t>医疗卫生与计划生育支出</w:t>
      </w:r>
      <w:r>
        <w:rPr>
          <w:rStyle w:val="14"/>
          <w:rFonts w:hint="eastAsia" w:ascii="仿宋" w:hAnsi="仿宋" w:eastAsia="仿宋" w:cs="仿宋"/>
          <w:b/>
          <w:bCs/>
          <w:color w:val="000000"/>
          <w:sz w:val="32"/>
          <w:szCs w:val="32"/>
        </w:rPr>
        <w:t>（类）</w:t>
      </w:r>
      <w:r>
        <w:rPr>
          <w:rFonts w:hint="eastAsia" w:ascii="仿宋" w:hAnsi="仿宋" w:eastAsia="仿宋" w:cs="仿宋"/>
          <w:b/>
          <w:bCs/>
          <w:color w:val="000000"/>
          <w:sz w:val="32"/>
          <w:szCs w:val="32"/>
        </w:rPr>
        <w:t>行政事业单位医疗</w:t>
      </w:r>
      <w:r>
        <w:rPr>
          <w:rFonts w:hint="eastAsia" w:ascii="仿宋" w:hAnsi="仿宋" w:eastAsia="仿宋" w:cs="仿宋"/>
          <w:b/>
          <w:bCs/>
          <w:color w:val="000000"/>
          <w:sz w:val="32"/>
          <w:szCs w:val="32"/>
          <w:lang w:eastAsia="zh-CN"/>
        </w:rPr>
        <w:t>（款）</w:t>
      </w:r>
    </w:p>
    <w:p>
      <w:pPr>
        <w:spacing w:line="600" w:lineRule="exact"/>
        <w:ind w:firstLine="640"/>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行政事业单位医疗</w:t>
      </w:r>
      <w:r>
        <w:rPr>
          <w:rFonts w:hint="eastAsia" w:ascii="仿宋" w:hAnsi="仿宋" w:eastAsia="仿宋" w:cs="仿宋"/>
          <w:b/>
          <w:bCs/>
          <w:color w:val="000000"/>
          <w:sz w:val="32"/>
          <w:szCs w:val="32"/>
          <w:lang w:val="en-US" w:eastAsia="zh-CN"/>
        </w:rPr>
        <w:t>（项）</w:t>
      </w:r>
      <w:r>
        <w:rPr>
          <w:rFonts w:hint="eastAsia" w:ascii="仿宋" w:hAnsi="仿宋" w:eastAsia="仿宋" w:cs="仿宋"/>
          <w:color w:val="000000"/>
          <w:sz w:val="32"/>
          <w:szCs w:val="32"/>
          <w:lang w:eastAsia="zh-CN"/>
        </w:rPr>
        <w:t>支出</w:t>
      </w:r>
      <w:r>
        <w:rPr>
          <w:rFonts w:hint="eastAsia" w:ascii="仿宋" w:hAnsi="仿宋" w:eastAsia="仿宋" w:cs="仿宋"/>
          <w:color w:val="000000"/>
          <w:sz w:val="32"/>
          <w:szCs w:val="32"/>
        </w:rPr>
        <w:t>决算数为95.07万元，完成预算100%；</w:t>
      </w:r>
    </w:p>
    <w:p>
      <w:pPr>
        <w:spacing w:line="600" w:lineRule="exact"/>
        <w:ind w:firstLine="640" w:firstLineChars="200"/>
        <w:rPr>
          <w:rFonts w:hint="eastAsia" w:ascii="仿宋" w:hAnsi="仿宋" w:eastAsia="仿宋" w:cs="仿宋"/>
          <w:color w:val="000000"/>
          <w:sz w:val="32"/>
          <w:szCs w:val="32"/>
          <w:lang w:eastAsia="zh-CN"/>
        </w:rPr>
      </w:pPr>
      <w:r>
        <w:rPr>
          <w:rFonts w:hint="eastAsia" w:ascii="仿宋" w:hAnsi="仿宋" w:eastAsia="仿宋" w:cs="仿宋"/>
          <w:color w:val="000000"/>
          <w:sz w:val="32"/>
          <w:szCs w:val="32"/>
          <w:lang w:val="en-US" w:eastAsia="zh-CN"/>
        </w:rPr>
        <w:t>4</w:t>
      </w:r>
      <w:r>
        <w:rPr>
          <w:rFonts w:hint="eastAsia" w:ascii="仿宋" w:hAnsi="仿宋" w:eastAsia="仿宋" w:cs="仿宋"/>
          <w:b/>
          <w:bCs/>
          <w:color w:val="000000"/>
          <w:sz w:val="32"/>
          <w:szCs w:val="32"/>
          <w:lang w:val="en-US" w:eastAsia="zh-CN"/>
        </w:rPr>
        <w:t>.</w:t>
      </w:r>
      <w:r>
        <w:rPr>
          <w:rFonts w:hint="eastAsia" w:ascii="仿宋" w:hAnsi="仿宋" w:eastAsia="仿宋" w:cs="仿宋"/>
          <w:b/>
          <w:bCs/>
          <w:color w:val="000000"/>
          <w:sz w:val="32"/>
          <w:szCs w:val="32"/>
        </w:rPr>
        <w:t>住房保障支出</w:t>
      </w:r>
      <w:r>
        <w:rPr>
          <w:rFonts w:hint="eastAsia" w:ascii="仿宋" w:hAnsi="仿宋" w:eastAsia="仿宋" w:cs="仿宋"/>
          <w:b/>
          <w:bCs/>
          <w:color w:val="000000"/>
          <w:sz w:val="32"/>
          <w:szCs w:val="32"/>
          <w:lang w:eastAsia="zh-CN"/>
        </w:rPr>
        <w:t>（类）</w:t>
      </w:r>
      <w:r>
        <w:rPr>
          <w:rFonts w:hint="eastAsia" w:ascii="仿宋" w:hAnsi="仿宋" w:eastAsia="仿宋" w:cs="仿宋"/>
          <w:b/>
          <w:bCs/>
          <w:color w:val="000000"/>
          <w:sz w:val="32"/>
          <w:szCs w:val="32"/>
        </w:rPr>
        <w:t>住房改革支出</w:t>
      </w:r>
      <w:r>
        <w:rPr>
          <w:rFonts w:hint="eastAsia" w:ascii="仿宋" w:hAnsi="仿宋" w:eastAsia="仿宋" w:cs="仿宋"/>
          <w:b/>
          <w:bCs/>
          <w:color w:val="000000"/>
          <w:sz w:val="32"/>
          <w:szCs w:val="32"/>
          <w:lang w:eastAsia="zh-CN"/>
        </w:rPr>
        <w:t>（款）</w:t>
      </w:r>
    </w:p>
    <w:p>
      <w:pPr>
        <w:spacing w:line="600" w:lineRule="exact"/>
        <w:ind w:firstLine="640" w:firstLineChars="200"/>
        <w:rPr>
          <w:rFonts w:hint="eastAsia" w:ascii="仿宋" w:hAnsi="仿宋" w:eastAsia="仿宋" w:cs="仿宋"/>
          <w:b/>
          <w:bCs/>
          <w:color w:val="000000"/>
          <w:sz w:val="32"/>
          <w:szCs w:val="32"/>
          <w:lang w:val="en-US" w:eastAsia="zh-CN"/>
        </w:rPr>
      </w:pPr>
      <w:r>
        <w:rPr>
          <w:rFonts w:hint="eastAsia" w:ascii="仿宋" w:hAnsi="仿宋" w:eastAsia="仿宋" w:cs="仿宋"/>
          <w:color w:val="000000"/>
          <w:sz w:val="32"/>
          <w:szCs w:val="32"/>
        </w:rPr>
        <w:t>住房公积金</w:t>
      </w:r>
      <w:r>
        <w:rPr>
          <w:rFonts w:hint="eastAsia" w:ascii="仿宋" w:hAnsi="仿宋" w:eastAsia="仿宋" w:cs="仿宋"/>
          <w:b/>
          <w:bCs/>
          <w:color w:val="000000"/>
          <w:sz w:val="32"/>
          <w:szCs w:val="32"/>
          <w:lang w:eastAsia="zh-CN"/>
        </w:rPr>
        <w:t>（项）</w:t>
      </w:r>
      <w:r>
        <w:rPr>
          <w:rFonts w:hint="eastAsia" w:ascii="仿宋" w:hAnsi="仿宋" w:eastAsia="仿宋" w:cs="仿宋"/>
          <w:color w:val="000000"/>
          <w:sz w:val="32"/>
          <w:szCs w:val="32"/>
          <w:lang w:eastAsia="zh-CN"/>
        </w:rPr>
        <w:t>支出</w:t>
      </w:r>
      <w:r>
        <w:rPr>
          <w:rFonts w:hint="eastAsia" w:ascii="仿宋" w:hAnsi="仿宋" w:eastAsia="仿宋" w:cs="仿宋"/>
          <w:color w:val="000000"/>
          <w:sz w:val="32"/>
          <w:szCs w:val="32"/>
        </w:rPr>
        <w:t>决算数为197.68万元，完成预算</w:t>
      </w:r>
      <w:r>
        <w:rPr>
          <w:rFonts w:hint="eastAsia" w:ascii="仿宋" w:hAnsi="仿宋" w:eastAsia="仿宋" w:cs="仿宋"/>
          <w:color w:val="000000"/>
          <w:sz w:val="32"/>
          <w:szCs w:val="32"/>
          <w:lang w:val="en-US" w:eastAsia="zh-CN"/>
        </w:rPr>
        <w:t>98.99</w:t>
      </w:r>
      <w:r>
        <w:rPr>
          <w:rFonts w:hint="eastAsia" w:ascii="仿宋" w:hAnsi="仿宋" w:eastAsia="仿宋" w:cs="仿宋"/>
          <w:color w:val="000000"/>
          <w:sz w:val="32"/>
          <w:szCs w:val="32"/>
        </w:rPr>
        <w:t>%</w:t>
      </w:r>
      <w:r>
        <w:rPr>
          <w:rFonts w:hint="eastAsia" w:ascii="仿宋" w:hAnsi="仿宋" w:eastAsia="仿宋" w:cs="仿宋"/>
          <w:color w:val="000000"/>
          <w:sz w:val="32"/>
          <w:szCs w:val="32"/>
          <w:lang w:eastAsia="zh-CN"/>
        </w:rPr>
        <w:t>，与去年同期基本持平</w:t>
      </w:r>
      <w:r>
        <w:rPr>
          <w:rFonts w:hint="eastAsia" w:ascii="仿宋" w:hAnsi="仿宋" w:eastAsia="仿宋" w:cs="仿宋"/>
          <w:color w:val="000000"/>
          <w:sz w:val="32"/>
          <w:szCs w:val="32"/>
        </w:rPr>
        <w:t>。</w:t>
      </w:r>
    </w:p>
    <w:p>
      <w:pPr>
        <w:tabs>
          <w:tab w:val="right" w:pos="8306"/>
        </w:tabs>
        <w:spacing w:line="600" w:lineRule="exact"/>
        <w:ind w:firstLine="640"/>
        <w:outlineLvl w:val="1"/>
        <w:rPr>
          <w:rStyle w:val="23"/>
          <w:rFonts w:ascii="??_GB2312" w:eastAsia="Times New Roman"/>
        </w:rPr>
      </w:pPr>
      <w:bookmarkStart w:id="38" w:name="_Toc15396608"/>
      <w:bookmarkStart w:id="39" w:name="_Toc15377214"/>
      <w:r>
        <w:rPr>
          <w:rFonts w:ascii="??_GB2312" w:eastAsia="Times New Roman"/>
          <w:b/>
          <w:bCs/>
          <w:color w:val="000000"/>
          <w:sz w:val="32"/>
          <w:szCs w:val="32"/>
        </w:rPr>
        <w:t>六</w:t>
      </w:r>
      <w:r>
        <w:rPr>
          <w:rFonts w:hint="eastAsia" w:ascii="宋体" w:hAnsi="宋体"/>
          <w:b/>
          <w:bCs/>
          <w:color w:val="000000"/>
          <w:sz w:val="32"/>
          <w:szCs w:val="32"/>
        </w:rPr>
        <w:t>、一</w:t>
      </w:r>
      <w:r>
        <w:rPr>
          <w:rStyle w:val="23"/>
          <w:rFonts w:hint="eastAsia" w:ascii="宋体" w:hAnsi="宋体"/>
          <w:b/>
          <w:bCs/>
        </w:rPr>
        <w:t>般公共预算财政拨款</w:t>
      </w:r>
      <w:r>
        <w:rPr>
          <w:rStyle w:val="23"/>
          <w:rFonts w:hint="eastAsia" w:ascii="宋体" w:hAnsi="宋体"/>
        </w:rPr>
        <w:t>基本支出决算情况说明</w:t>
      </w:r>
      <w:bookmarkEnd w:id="38"/>
      <w:bookmarkEnd w:id="39"/>
      <w:r>
        <w:rPr>
          <w:rStyle w:val="23"/>
          <w:rFonts w:ascii="??_GB2312" w:hAnsi="黑体" w:eastAsia="Times New Roman"/>
          <w:b w:val="0"/>
        </w:rPr>
        <w:tab/>
      </w:r>
    </w:p>
    <w:p>
      <w:pPr>
        <w:spacing w:line="600" w:lineRule="exact"/>
        <w:ind w:firstLine="645"/>
        <w:rPr>
          <w:rFonts w:hint="eastAsia" w:ascii="仿宋" w:hAnsi="仿宋" w:eastAsia="仿宋" w:cs="仿宋"/>
          <w:color w:val="000000"/>
          <w:sz w:val="32"/>
          <w:szCs w:val="32"/>
        </w:rPr>
      </w:pPr>
      <w:r>
        <w:rPr>
          <w:rFonts w:hint="eastAsia" w:ascii="仿宋" w:hAnsi="仿宋" w:eastAsia="仿宋" w:cs="仿宋"/>
          <w:color w:val="000000"/>
          <w:sz w:val="32"/>
          <w:szCs w:val="32"/>
        </w:rPr>
        <w:t>2018年一般公共预算财政拨款基本支出3478.21万元，其中：</w:t>
      </w:r>
    </w:p>
    <w:p>
      <w:pPr>
        <w:spacing w:line="600" w:lineRule="exact"/>
        <w:ind w:firstLine="645"/>
        <w:rPr>
          <w:rFonts w:hint="eastAsia" w:ascii="仿宋" w:hAnsi="仿宋" w:eastAsia="仿宋" w:cs="仿宋"/>
          <w:b/>
          <w:color w:val="FF0000"/>
          <w:sz w:val="32"/>
          <w:szCs w:val="32"/>
        </w:rPr>
      </w:pPr>
      <w:r>
        <w:rPr>
          <w:rFonts w:hint="eastAsia" w:ascii="仿宋" w:hAnsi="仿宋" w:eastAsia="仿宋" w:cs="仿宋"/>
          <w:b/>
          <w:color w:val="000000"/>
          <w:sz w:val="32"/>
          <w:szCs w:val="32"/>
        </w:rPr>
        <w:t>人员经费</w:t>
      </w:r>
      <w:r>
        <w:rPr>
          <w:rFonts w:hint="eastAsia" w:ascii="仿宋" w:hAnsi="仿宋" w:eastAsia="仿宋" w:cs="仿宋"/>
          <w:color w:val="000000"/>
          <w:sz w:val="32"/>
          <w:szCs w:val="32"/>
        </w:rPr>
        <w:t>2368.14万元，主要包括：基本工资、津贴补贴、绩效工资、机关事业单位基本养老保险缴费、职业年金缴费、其他社会保障缴费、其他工资福利支出、离休费、退休费、抚恤金、生活补助、医疗费、奖励金、住房公积金、提租补贴、购房补贴、其他对个人和家庭的补助支出等。</w:t>
      </w:r>
      <w:r>
        <w:rPr>
          <w:rFonts w:hint="eastAsia" w:ascii="仿宋" w:hAnsi="仿宋" w:eastAsia="仿宋" w:cs="仿宋"/>
          <w:color w:val="000000"/>
          <w:sz w:val="32"/>
          <w:szCs w:val="32"/>
        </w:rPr>
        <w:br w:type="textWrapping"/>
      </w:r>
      <w:r>
        <w:rPr>
          <w:rFonts w:hint="eastAsia" w:ascii="仿宋" w:hAnsi="仿宋" w:eastAsia="仿宋" w:cs="仿宋"/>
          <w:color w:val="000000"/>
          <w:sz w:val="32"/>
          <w:szCs w:val="32"/>
        </w:rPr>
        <w:t>　　</w:t>
      </w:r>
      <w:r>
        <w:rPr>
          <w:rFonts w:hint="eastAsia" w:ascii="仿宋" w:hAnsi="仿宋" w:eastAsia="仿宋" w:cs="仿宋"/>
          <w:b/>
          <w:color w:val="000000"/>
          <w:sz w:val="32"/>
          <w:szCs w:val="32"/>
        </w:rPr>
        <w:t>公用经费</w:t>
      </w:r>
      <w:r>
        <w:rPr>
          <w:rFonts w:hint="eastAsia" w:ascii="仿宋" w:hAnsi="仿宋" w:eastAsia="仿宋" w:cs="仿宋"/>
          <w:color w:val="000000"/>
          <w:sz w:val="32"/>
          <w:szCs w:val="32"/>
        </w:rPr>
        <w:t>555.04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pPr>
        <w:spacing w:line="600" w:lineRule="exact"/>
        <w:ind w:firstLine="640"/>
        <w:outlineLvl w:val="1"/>
        <w:rPr>
          <w:rStyle w:val="23"/>
          <w:rFonts w:ascii="宋体" w:hAnsi="Times New Roman"/>
        </w:rPr>
      </w:pPr>
      <w:bookmarkStart w:id="40" w:name="_Toc15396609"/>
      <w:bookmarkStart w:id="41" w:name="_Toc15377215"/>
      <w:r>
        <w:rPr>
          <w:rFonts w:hint="eastAsia" w:ascii="宋体" w:hAnsi="宋体"/>
          <w:b/>
          <w:bCs/>
          <w:color w:val="000000"/>
          <w:sz w:val="32"/>
          <w:szCs w:val="32"/>
        </w:rPr>
        <w:t>七、</w:t>
      </w:r>
      <w:r>
        <w:rPr>
          <w:rStyle w:val="23"/>
          <w:rFonts w:hint="eastAsia" w:ascii="宋体" w:hAnsi="宋体"/>
        </w:rPr>
        <w:t>“三公”经费财政拨款支出决算情况说明</w:t>
      </w:r>
      <w:bookmarkEnd w:id="40"/>
      <w:bookmarkEnd w:id="41"/>
    </w:p>
    <w:p>
      <w:pPr>
        <w:spacing w:line="600" w:lineRule="exact"/>
        <w:ind w:firstLine="640"/>
        <w:outlineLvl w:val="2"/>
        <w:rPr>
          <w:rFonts w:ascii="??_GB2312" w:hAnsi="仿宋" w:eastAsia="Times New Roman"/>
          <w:b/>
          <w:color w:val="000000"/>
          <w:sz w:val="32"/>
          <w:szCs w:val="32"/>
        </w:rPr>
      </w:pPr>
      <w:bookmarkStart w:id="42" w:name="_Toc15377216"/>
      <w:r>
        <w:rPr>
          <w:rFonts w:hint="eastAsia" w:ascii="楷体" w:hAnsi="楷体" w:eastAsia="楷体" w:cs="楷体"/>
          <w:b/>
          <w:color w:val="000000"/>
          <w:sz w:val="32"/>
          <w:szCs w:val="32"/>
        </w:rPr>
        <w:t>（一）“三公”经费财政拨款支出决算总体情况说明</w:t>
      </w:r>
      <w:bookmarkEnd w:id="42"/>
    </w:p>
    <w:p>
      <w:pPr>
        <w:spacing w:line="600" w:lineRule="exact"/>
        <w:ind w:firstLine="640"/>
        <w:rPr>
          <w:rFonts w:hint="eastAsia" w:ascii="仿宋" w:hAnsi="仿宋" w:eastAsia="仿宋" w:cs="仿宋"/>
          <w:color w:val="000000"/>
          <w:sz w:val="32"/>
          <w:szCs w:val="32"/>
        </w:rPr>
      </w:pPr>
      <w:r>
        <w:rPr>
          <w:rFonts w:hint="eastAsia" w:ascii="仿宋" w:hAnsi="仿宋" w:eastAsia="仿宋" w:cs="仿宋"/>
          <w:color w:val="000000"/>
          <w:sz w:val="32"/>
          <w:szCs w:val="32"/>
        </w:rPr>
        <w:t>2018年“三公”经费财政拨款支出决算为61.74万元，完成预算77.69%。决算数小于预算数的主要原因是严格执行八项规定。</w:t>
      </w:r>
    </w:p>
    <w:p>
      <w:pPr>
        <w:spacing w:line="600" w:lineRule="exact"/>
        <w:ind w:firstLine="640"/>
        <w:outlineLvl w:val="2"/>
        <w:rPr>
          <w:rFonts w:hint="eastAsia" w:ascii="楷体" w:hAnsi="楷体" w:eastAsia="楷体" w:cs="楷体"/>
          <w:b/>
          <w:color w:val="000000"/>
          <w:sz w:val="32"/>
          <w:szCs w:val="32"/>
        </w:rPr>
      </w:pPr>
      <w:bookmarkStart w:id="43" w:name="_Toc15377217"/>
      <w:r>
        <w:rPr>
          <w:rFonts w:hint="eastAsia" w:ascii="楷体" w:hAnsi="楷体" w:eastAsia="楷体" w:cs="楷体"/>
          <w:b/>
          <w:color w:val="000000"/>
          <w:sz w:val="32"/>
          <w:szCs w:val="32"/>
        </w:rPr>
        <w:t>（二）“三公”经费财政拨款支出决算具体情况说明</w:t>
      </w:r>
      <w:bookmarkEnd w:id="43"/>
    </w:p>
    <w:p>
      <w:pPr>
        <w:spacing w:line="600" w:lineRule="exact"/>
        <w:ind w:firstLine="640"/>
        <w:rPr>
          <w:rFonts w:hint="eastAsia" w:ascii="仿宋" w:hAnsi="仿宋" w:eastAsia="仿宋" w:cs="仿宋"/>
          <w:color w:val="000000"/>
          <w:sz w:val="32"/>
          <w:szCs w:val="32"/>
        </w:rPr>
      </w:pPr>
      <w:r>
        <w:rPr>
          <w:rFonts w:hint="eastAsia" w:ascii="仿宋" w:hAnsi="仿宋" w:eastAsia="仿宋" w:cs="仿宋"/>
          <w:color w:val="000000"/>
          <w:sz w:val="32"/>
          <w:szCs w:val="32"/>
        </w:rPr>
        <w:t>2018年“三公”经费财政拨款支出决算中，因公出国（境）费支出决算4.67万元，占7.56%；公务用车购置及运行维护费支出决算54.96万元，占89.02%；公务接待费支出决算2.11万元，占3.42%。具体情况如下：</w:t>
      </w:r>
    </w:p>
    <w:p>
      <w:pPr>
        <w:spacing w:line="600" w:lineRule="exact"/>
        <w:ind w:firstLine="640"/>
        <w:rPr>
          <w:rFonts w:hint="eastAsia" w:ascii="仿宋" w:hAnsi="仿宋" w:eastAsia="仿宋" w:cs="仿宋"/>
          <w:b/>
          <w:color w:val="000000"/>
          <w:sz w:val="32"/>
          <w:szCs w:val="32"/>
        </w:rPr>
      </w:pPr>
      <w:r>
        <w:rPr>
          <w:rFonts w:hint="eastAsia" w:ascii="仿宋" w:hAnsi="仿宋" w:eastAsia="仿宋" w:cs="仿宋"/>
          <w:b/>
          <w:color w:val="000000"/>
          <w:sz w:val="32"/>
          <w:szCs w:val="32"/>
        </w:rPr>
        <w:t>1.因公出国（境）经费支出4.67</w:t>
      </w:r>
      <w:r>
        <w:rPr>
          <w:rFonts w:hint="eastAsia" w:ascii="仿宋" w:hAnsi="仿宋" w:eastAsia="仿宋" w:cs="仿宋"/>
          <w:color w:val="000000"/>
          <w:sz w:val="32"/>
          <w:szCs w:val="32"/>
        </w:rPr>
        <w:t>万元，</w:t>
      </w:r>
      <w:r>
        <w:rPr>
          <w:rStyle w:val="14"/>
          <w:rFonts w:hint="eastAsia" w:ascii="仿宋" w:hAnsi="仿宋" w:eastAsia="仿宋" w:cs="仿宋"/>
          <w:b w:val="0"/>
          <w:bCs/>
          <w:color w:val="000000"/>
          <w:sz w:val="32"/>
          <w:szCs w:val="32"/>
        </w:rPr>
        <w:t>完成预算100%。</w:t>
      </w:r>
      <w:r>
        <w:rPr>
          <w:rFonts w:hint="eastAsia" w:ascii="仿宋" w:hAnsi="仿宋" w:eastAsia="仿宋" w:cs="仿宋"/>
          <w:color w:val="000000"/>
          <w:sz w:val="32"/>
          <w:szCs w:val="32"/>
        </w:rPr>
        <w:t>全年安排因公出国（境）团组0次，出国（境）1人。因公出国（境）支出决算比2017年增加4.67万元。参加省工商局组织的法国大数据驱动下反垄断与反不正当竞争执法培训，费用为境外费用</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国际旅费、国外城市间交通费、住宿费、伙食费、培训费、公杂费等</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、机票费用、保险费用。</w:t>
      </w:r>
    </w:p>
    <w:p>
      <w:pPr>
        <w:spacing w:line="600" w:lineRule="exact"/>
        <w:ind w:firstLine="640"/>
        <w:rPr>
          <w:rFonts w:hint="eastAsia" w:ascii="仿宋" w:hAnsi="仿宋" w:eastAsia="仿宋" w:cs="仿宋"/>
          <w:b/>
          <w:color w:val="000000"/>
          <w:sz w:val="32"/>
          <w:szCs w:val="32"/>
        </w:rPr>
      </w:pPr>
      <w:r>
        <w:rPr>
          <w:rFonts w:hint="eastAsia" w:ascii="仿宋" w:hAnsi="仿宋" w:eastAsia="仿宋" w:cs="仿宋"/>
          <w:b/>
          <w:color w:val="000000"/>
          <w:sz w:val="32"/>
          <w:szCs w:val="32"/>
        </w:rPr>
        <w:t>2.公务用车购置及运行维护费支出54.96</w:t>
      </w:r>
      <w:r>
        <w:rPr>
          <w:rFonts w:hint="eastAsia" w:ascii="仿宋" w:hAnsi="仿宋" w:eastAsia="仿宋" w:cs="仿宋"/>
          <w:color w:val="000000"/>
          <w:sz w:val="32"/>
          <w:szCs w:val="32"/>
        </w:rPr>
        <w:t>万元,</w:t>
      </w:r>
      <w:r>
        <w:rPr>
          <w:rStyle w:val="14"/>
          <w:rFonts w:hint="eastAsia" w:ascii="仿宋" w:hAnsi="仿宋" w:eastAsia="仿宋" w:cs="仿宋"/>
          <w:b w:val="0"/>
          <w:bCs/>
          <w:color w:val="000000"/>
          <w:sz w:val="32"/>
          <w:szCs w:val="32"/>
        </w:rPr>
        <w:t>完成预算91.60%。</w:t>
      </w:r>
      <w:r>
        <w:rPr>
          <w:rFonts w:hint="eastAsia" w:ascii="仿宋" w:hAnsi="仿宋" w:eastAsia="仿宋" w:cs="仿宋"/>
          <w:color w:val="000000"/>
          <w:sz w:val="32"/>
          <w:szCs w:val="32"/>
        </w:rPr>
        <w:t>公务用车购置及运行维护费主要用于执法办案，市场、商标、广告、合同、企业、个体等工商业务工作监督管理所需的公务用车燃料费、维修费、过路过桥费、保险费等支出。全年按规定更新购置公务用车公务用车购置支出19.38万元。</w:t>
      </w:r>
    </w:p>
    <w:p>
      <w:pPr>
        <w:spacing w:line="56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其中：</w:t>
      </w:r>
      <w:r>
        <w:rPr>
          <w:rFonts w:hint="eastAsia" w:ascii="仿宋" w:hAnsi="仿宋" w:eastAsia="仿宋" w:cs="仿宋"/>
          <w:b/>
          <w:color w:val="000000"/>
          <w:sz w:val="32"/>
          <w:szCs w:val="32"/>
        </w:rPr>
        <w:t>公务用车购置支出19.38</w:t>
      </w:r>
      <w:r>
        <w:rPr>
          <w:rFonts w:hint="eastAsia" w:ascii="仿宋" w:hAnsi="仿宋" w:eastAsia="仿宋" w:cs="仿宋"/>
          <w:color w:val="000000"/>
          <w:sz w:val="32"/>
          <w:szCs w:val="32"/>
        </w:rPr>
        <w:t>万元。全年按规定更新购置公务用车1辆，其中：轿车1辆、金额19.38万元，主要用于执法办案，市场、商标、广告、合同、企业、个体等工商业务工作监督管理。截至2018年12月底，单位共有公务用车20辆，其中：轿车1</w:t>
      </w:r>
      <w:r>
        <w:rPr>
          <w:rFonts w:hint="eastAsia" w:ascii="仿宋" w:hAnsi="仿宋" w:eastAsia="仿宋" w:cs="仿宋"/>
          <w:color w:val="000000"/>
          <w:sz w:val="32"/>
          <w:szCs w:val="32"/>
          <w:lang w:val="en-US" w:eastAsia="zh-CN"/>
        </w:rPr>
        <w:t>9</w:t>
      </w:r>
      <w:r>
        <w:rPr>
          <w:rFonts w:hint="eastAsia" w:ascii="仿宋" w:hAnsi="仿宋" w:eastAsia="仿宋" w:cs="仿宋"/>
          <w:color w:val="000000"/>
          <w:sz w:val="32"/>
          <w:szCs w:val="32"/>
        </w:rPr>
        <w:t>辆、越野车</w:t>
      </w:r>
      <w:r>
        <w:rPr>
          <w:rFonts w:hint="eastAsia" w:ascii="仿宋" w:hAnsi="仿宋" w:eastAsia="仿宋" w:cs="仿宋"/>
          <w:color w:val="000000"/>
          <w:sz w:val="32"/>
          <w:szCs w:val="32"/>
          <w:lang w:val="en-US" w:eastAsia="zh-CN"/>
        </w:rPr>
        <w:t>1</w:t>
      </w:r>
      <w:r>
        <w:rPr>
          <w:rFonts w:hint="eastAsia" w:ascii="仿宋" w:hAnsi="仿宋" w:eastAsia="仿宋" w:cs="仿宋"/>
          <w:color w:val="000000"/>
          <w:sz w:val="32"/>
          <w:szCs w:val="32"/>
        </w:rPr>
        <w:t>辆</w:t>
      </w:r>
      <w:bookmarkStart w:id="73" w:name="_GoBack"/>
      <w:bookmarkEnd w:id="73"/>
      <w:r>
        <w:rPr>
          <w:rFonts w:hint="eastAsia" w:ascii="仿宋" w:hAnsi="仿宋" w:eastAsia="仿宋" w:cs="仿宋"/>
          <w:color w:val="000000"/>
          <w:sz w:val="32"/>
          <w:szCs w:val="32"/>
        </w:rPr>
        <w:t>。</w:t>
      </w:r>
    </w:p>
    <w:p>
      <w:pPr>
        <w:spacing w:line="600" w:lineRule="exact"/>
        <w:ind w:firstLine="640"/>
        <w:rPr>
          <w:rFonts w:hint="eastAsia" w:ascii="仿宋" w:hAnsi="仿宋" w:eastAsia="仿宋" w:cs="仿宋"/>
          <w:color w:val="000000"/>
          <w:sz w:val="32"/>
          <w:szCs w:val="32"/>
        </w:rPr>
      </w:pPr>
      <w:r>
        <w:rPr>
          <w:rFonts w:hint="eastAsia" w:ascii="仿宋" w:hAnsi="仿宋" w:eastAsia="仿宋" w:cs="仿宋"/>
          <w:b/>
          <w:color w:val="000000"/>
          <w:sz w:val="32"/>
          <w:szCs w:val="32"/>
        </w:rPr>
        <w:t>3.公务接待费支出2.11</w:t>
      </w:r>
      <w:r>
        <w:rPr>
          <w:rFonts w:hint="eastAsia" w:ascii="仿宋" w:hAnsi="仿宋" w:eastAsia="仿宋" w:cs="仿宋"/>
          <w:color w:val="000000"/>
          <w:sz w:val="32"/>
          <w:szCs w:val="32"/>
        </w:rPr>
        <w:t>万元，</w:t>
      </w:r>
      <w:r>
        <w:rPr>
          <w:rStyle w:val="14"/>
          <w:rFonts w:hint="eastAsia" w:ascii="仿宋" w:hAnsi="仿宋" w:eastAsia="仿宋" w:cs="仿宋"/>
          <w:b w:val="0"/>
          <w:bCs/>
          <w:color w:val="000000"/>
          <w:sz w:val="32"/>
          <w:szCs w:val="32"/>
        </w:rPr>
        <w:t>完成预算14.28%。</w:t>
      </w:r>
      <w:r>
        <w:rPr>
          <w:rFonts w:hint="eastAsia" w:ascii="仿宋" w:hAnsi="仿宋" w:eastAsia="仿宋" w:cs="仿宋"/>
          <w:color w:val="000000"/>
          <w:sz w:val="32"/>
          <w:szCs w:val="32"/>
        </w:rPr>
        <w:t>公务接待费支出决算比2017年减少0.34万元，下降13.88%。主要原因是严格公务接待范围和开支标准，接待批次及人数减少，接待标准下降。</w:t>
      </w:r>
    </w:p>
    <w:p>
      <w:pPr>
        <w:spacing w:line="600" w:lineRule="exact"/>
        <w:ind w:firstLine="640"/>
        <w:rPr>
          <w:rFonts w:hint="eastAsia" w:ascii="仿宋" w:hAnsi="仿宋" w:eastAsia="仿宋" w:cs="仿宋"/>
          <w:color w:val="000000"/>
          <w:sz w:val="32"/>
          <w:szCs w:val="32"/>
        </w:rPr>
      </w:pPr>
      <w:bookmarkStart w:id="44" w:name="_Toc15377218"/>
      <w:bookmarkStart w:id="45" w:name="_Toc15396610"/>
      <w:r>
        <w:rPr>
          <w:rFonts w:hint="eastAsia" w:ascii="仿宋" w:hAnsi="仿宋" w:eastAsia="仿宋" w:cs="仿宋"/>
          <w:color w:val="000000"/>
          <w:sz w:val="32"/>
          <w:szCs w:val="32"/>
        </w:rPr>
        <w:t>国内公务接待57批次，260人次（不包括陪同人员），共计支出2.11万元，具体内容包括：上级主管部门工作检查</w:t>
      </w:r>
      <w:r>
        <w:rPr>
          <w:rFonts w:hint="eastAsia" w:ascii="仿宋" w:hAnsi="仿宋" w:eastAsia="仿宋" w:cs="仿宋"/>
          <w:color w:val="000000"/>
          <w:sz w:val="32"/>
          <w:szCs w:val="32"/>
          <w:lang w:val="en-US" w:eastAsia="zh-CN"/>
        </w:rPr>
        <w:t>0.97万元</w:t>
      </w:r>
      <w:r>
        <w:rPr>
          <w:rFonts w:hint="eastAsia" w:ascii="仿宋" w:hAnsi="仿宋" w:eastAsia="仿宋" w:cs="仿宋"/>
          <w:color w:val="000000"/>
          <w:sz w:val="32"/>
          <w:szCs w:val="32"/>
        </w:rPr>
        <w:t>，其他地市州部门工作交流</w:t>
      </w:r>
      <w:r>
        <w:rPr>
          <w:rFonts w:hint="eastAsia" w:ascii="仿宋" w:hAnsi="仿宋" w:eastAsia="仿宋" w:cs="仿宋"/>
          <w:color w:val="000000"/>
          <w:sz w:val="32"/>
          <w:szCs w:val="32"/>
          <w:lang w:val="en-US" w:eastAsia="zh-CN"/>
        </w:rPr>
        <w:t>0.61万元</w:t>
      </w:r>
      <w:r>
        <w:rPr>
          <w:rFonts w:hint="eastAsia" w:ascii="仿宋" w:hAnsi="仿宋" w:eastAsia="仿宋" w:cs="仿宋"/>
          <w:color w:val="000000"/>
          <w:sz w:val="32"/>
          <w:szCs w:val="32"/>
        </w:rPr>
        <w:t>，下级部门来办理相关业务</w:t>
      </w:r>
      <w:r>
        <w:rPr>
          <w:rFonts w:hint="eastAsia" w:ascii="仿宋" w:hAnsi="仿宋" w:eastAsia="仿宋" w:cs="仿宋"/>
          <w:color w:val="000000"/>
          <w:sz w:val="32"/>
          <w:szCs w:val="32"/>
          <w:lang w:val="en-US" w:eastAsia="zh-CN"/>
        </w:rPr>
        <w:t>0.53万元</w:t>
      </w:r>
      <w:r>
        <w:rPr>
          <w:rFonts w:hint="eastAsia" w:ascii="仿宋" w:hAnsi="仿宋" w:eastAsia="仿宋" w:cs="仿宋"/>
          <w:color w:val="000000"/>
          <w:sz w:val="32"/>
          <w:szCs w:val="32"/>
        </w:rPr>
        <w:t>。</w:t>
      </w:r>
    </w:p>
    <w:p>
      <w:pPr>
        <w:spacing w:line="600" w:lineRule="exact"/>
        <w:ind w:firstLine="640"/>
        <w:outlineLvl w:val="1"/>
        <w:rPr>
          <w:rStyle w:val="23"/>
          <w:rFonts w:ascii="??_GB2312" w:hAnsi="黑体" w:eastAsia="Times New Roman"/>
        </w:rPr>
      </w:pPr>
      <w:r>
        <w:rPr>
          <w:rFonts w:ascii="??_GB2312" w:eastAsia="Times New Roman"/>
          <w:b/>
          <w:bCs/>
          <w:color w:val="000000"/>
          <w:sz w:val="32"/>
          <w:szCs w:val="32"/>
        </w:rPr>
        <w:t>八、</w:t>
      </w:r>
      <w:r>
        <w:rPr>
          <w:rStyle w:val="23"/>
          <w:rFonts w:ascii="??_GB2312" w:hAnsi="黑体" w:eastAsia="Times New Roman"/>
          <w:b/>
          <w:bCs/>
        </w:rPr>
        <w:t>政府性基金预算支出决算情况说明</w:t>
      </w:r>
      <w:bookmarkEnd w:id="44"/>
      <w:bookmarkEnd w:id="45"/>
    </w:p>
    <w:p>
      <w:pPr>
        <w:spacing w:line="600" w:lineRule="exact"/>
        <w:ind w:firstLine="640"/>
        <w:rPr>
          <w:rFonts w:hint="eastAsia" w:ascii="仿宋" w:hAnsi="仿宋" w:eastAsia="仿宋" w:cs="仿宋"/>
          <w:color w:val="000000"/>
          <w:sz w:val="32"/>
          <w:szCs w:val="32"/>
        </w:rPr>
      </w:pPr>
      <w:r>
        <w:rPr>
          <w:rFonts w:hint="eastAsia" w:ascii="仿宋" w:hAnsi="仿宋" w:eastAsia="仿宋" w:cs="仿宋"/>
          <w:color w:val="000000"/>
          <w:sz w:val="32"/>
          <w:szCs w:val="32"/>
        </w:rPr>
        <w:t>2018年政府性基金预算拨款支出0万元。</w:t>
      </w:r>
    </w:p>
    <w:p>
      <w:pPr>
        <w:numPr>
          <w:ilvl w:val="0"/>
          <w:numId w:val="0"/>
        </w:numPr>
        <w:spacing w:line="600" w:lineRule="exact"/>
        <w:ind w:firstLine="643" w:firstLineChars="200"/>
        <w:outlineLvl w:val="1"/>
        <w:rPr>
          <w:rStyle w:val="23"/>
          <w:rFonts w:ascii="??_GB2312" w:hAnsi="黑体" w:eastAsia="Times New Roman"/>
          <w:b w:val="0"/>
        </w:rPr>
      </w:pPr>
      <w:bookmarkStart w:id="46" w:name="_Toc15377219"/>
      <w:bookmarkStart w:id="47" w:name="_Toc15396611"/>
      <w:r>
        <w:rPr>
          <w:rStyle w:val="23"/>
          <w:rFonts w:hint="eastAsia" w:ascii="??_GB2312" w:hAnsi="黑体"/>
          <w:b/>
          <w:bCs w:val="0"/>
          <w:lang w:eastAsia="zh-CN"/>
        </w:rPr>
        <w:t>九、</w:t>
      </w:r>
      <w:r>
        <w:rPr>
          <w:rStyle w:val="23"/>
          <w:rFonts w:ascii="??_GB2312" w:hAnsi="黑体" w:eastAsia="Times New Roman"/>
          <w:b/>
          <w:bCs w:val="0"/>
        </w:rPr>
        <w:t>国有资本经营预算支出决算情况说明</w:t>
      </w:r>
      <w:bookmarkEnd w:id="46"/>
      <w:bookmarkEnd w:id="47"/>
    </w:p>
    <w:p>
      <w:pPr>
        <w:spacing w:line="600" w:lineRule="exact"/>
        <w:ind w:firstLine="640"/>
        <w:rPr>
          <w:rFonts w:hint="eastAsia" w:ascii="仿宋" w:hAnsi="仿宋" w:eastAsia="仿宋" w:cs="仿宋"/>
          <w:color w:val="000000"/>
          <w:sz w:val="32"/>
          <w:szCs w:val="32"/>
        </w:rPr>
      </w:pPr>
      <w:r>
        <w:rPr>
          <w:rFonts w:hint="eastAsia" w:ascii="仿宋" w:hAnsi="仿宋" w:eastAsia="仿宋" w:cs="仿宋"/>
          <w:color w:val="000000"/>
          <w:sz w:val="32"/>
          <w:szCs w:val="32"/>
        </w:rPr>
        <w:t>2018年国有资本经营预算拨款支出0万元。</w:t>
      </w:r>
    </w:p>
    <w:p>
      <w:pPr>
        <w:pStyle w:val="33"/>
        <w:numPr>
          <w:ilvl w:val="0"/>
          <w:numId w:val="4"/>
        </w:numPr>
        <w:spacing w:line="580" w:lineRule="exact"/>
        <w:ind w:firstLineChars="0"/>
        <w:rPr>
          <w:rStyle w:val="23"/>
          <w:rFonts w:ascii="宋体" w:hAnsi="Times New Roman"/>
        </w:rPr>
      </w:pPr>
      <w:r>
        <w:rPr>
          <w:rStyle w:val="23"/>
          <w:rFonts w:hint="eastAsia" w:ascii="宋体" w:hAnsi="宋体"/>
        </w:rPr>
        <w:t>预算绩效情况说明</w:t>
      </w:r>
    </w:p>
    <w:p>
      <w:pPr>
        <w:numPr>
          <w:ilvl w:val="0"/>
          <w:numId w:val="5"/>
        </w:numPr>
        <w:spacing w:line="580" w:lineRule="exact"/>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预算绩效管理工作开展情况。</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根据预算绩效管理要求，本部门（单位）对</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个项目编制了绩效目标，预算执行过程中，选取</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个项目开展绩效监控，年终执行完毕后，对</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个项目开展了绩效目标完成情况梳理填报。</w:t>
      </w:r>
    </w:p>
    <w:p>
      <w:pPr>
        <w:spacing w:line="58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本部门按要求对2018年部门整体支出开展绩效自评，从评价情况来看</w:t>
      </w:r>
      <w:r>
        <w:rPr>
          <w:rFonts w:hint="eastAsia" w:ascii="仿宋_GB2312" w:hAnsi="仿宋_GB2312" w:eastAsia="仿宋_GB2312" w:cs="仿宋_GB2312"/>
          <w:sz w:val="32"/>
          <w:szCs w:val="32"/>
          <w:lang w:eastAsia="zh-CN"/>
        </w:rPr>
        <w:t>促进了各项工作顺利开展，营造公平诚信的市场竞争环境和社会环境，建立健全长效监管机制，社会信用环境明显改善。</w:t>
      </w:r>
    </w:p>
    <w:p>
      <w:pPr>
        <w:numPr>
          <w:ilvl w:val="0"/>
          <w:numId w:val="5"/>
        </w:numPr>
        <w:spacing w:line="580" w:lineRule="exact"/>
        <w:ind w:firstLine="643" w:firstLineChars="200"/>
        <w:rPr>
          <w:rFonts w:ascii="仿宋_GB2312" w:hAnsi="仿宋_GB2312" w:eastAsia="仿宋_GB2312" w:cs="仿宋_GB2312"/>
          <w:sz w:val="32"/>
          <w:szCs w:val="32"/>
        </w:rPr>
      </w:pPr>
      <w:r>
        <w:rPr>
          <w:rFonts w:hint="eastAsia" w:ascii="楷体" w:hAnsi="楷体" w:eastAsia="楷体" w:cs="楷体"/>
          <w:b/>
          <w:bCs/>
          <w:sz w:val="32"/>
          <w:szCs w:val="32"/>
        </w:rPr>
        <w:t>项目绩效目标完成情况。</w:t>
      </w:r>
      <w:r>
        <w:rPr>
          <w:rFonts w:hint="eastAsia" w:ascii="楷体_GB2312" w:hAnsi="楷体_GB2312" w:eastAsia="楷体_GB2312" w:cs="楷体_GB2312"/>
          <w:b/>
          <w:bCs/>
          <w:sz w:val="32"/>
          <w:szCs w:val="32"/>
        </w:rPr>
        <w:br w:type="textWrapping"/>
      </w:r>
      <w:r>
        <w:rPr>
          <w:rFonts w:hint="eastAsia" w:ascii="仿宋_GB2312" w:hAnsi="仿宋_GB2312" w:eastAsia="仿宋_GB2312" w:cs="仿宋_GB2312"/>
          <w:sz w:val="32"/>
          <w:szCs w:val="32"/>
        </w:rPr>
        <w:t xml:space="preserve">    本部门在2018年度部门决算中反映</w:t>
      </w:r>
      <w:r>
        <w:rPr>
          <w:rFonts w:hint="eastAsia" w:ascii="仿宋_GB2312" w:hAnsi="仿宋_GB2312" w:eastAsia="仿宋_GB2312" w:cs="仿宋_GB2312"/>
          <w:sz w:val="32"/>
          <w:szCs w:val="32"/>
          <w:lang w:eastAsia="zh-CN"/>
        </w:rPr>
        <w:t>局机关办公房维修、工商行政管理专项工作经费、执法办案、</w:t>
      </w:r>
      <w:r>
        <w:rPr>
          <w:rFonts w:hint="eastAsia" w:ascii="仿宋_GB2312" w:hAnsi="仿宋_GB2312" w:eastAsia="仿宋_GB2312" w:cs="仿宋_GB2312"/>
          <w:sz w:val="32"/>
          <w:szCs w:val="32"/>
          <w:lang w:val="en-US" w:eastAsia="zh-CN"/>
        </w:rPr>
        <w:t>12315投诉指挥中心</w:t>
      </w:r>
      <w:r>
        <w:rPr>
          <w:rFonts w:hint="eastAsia" w:ascii="仿宋_GB2312" w:hAnsi="仿宋_GB2312" w:eastAsia="仿宋_GB2312" w:cs="仿宋_GB2312"/>
          <w:sz w:val="32"/>
          <w:szCs w:val="32"/>
        </w:rPr>
        <w:t>等</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个项目绩效目标实际完成情况。</w:t>
      </w:r>
    </w:p>
    <w:p>
      <w:pPr>
        <w:numPr>
          <w:ilvl w:val="0"/>
          <w:numId w:val="0"/>
        </w:numPr>
        <w:spacing w:line="58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1.经开区</w:t>
      </w:r>
      <w:r>
        <w:rPr>
          <w:rFonts w:hint="eastAsia" w:ascii="仿宋_GB2312" w:hAnsi="仿宋_GB2312" w:eastAsia="仿宋_GB2312" w:cs="仿宋_GB2312"/>
          <w:sz w:val="32"/>
          <w:szCs w:val="32"/>
          <w:lang w:eastAsia="zh-CN"/>
        </w:rPr>
        <w:t>局机关办公房维修项目。</w:t>
      </w:r>
      <w:r>
        <w:rPr>
          <w:rFonts w:hint="eastAsia" w:ascii="仿宋_GB2312" w:hAnsi="仿宋_GB2312" w:eastAsia="仿宋_GB2312" w:cs="仿宋_GB2312"/>
          <w:sz w:val="32"/>
          <w:szCs w:val="32"/>
        </w:rPr>
        <w:t>全年预算数</w:t>
      </w:r>
      <w:r>
        <w:rPr>
          <w:rFonts w:hint="eastAsia" w:ascii="仿宋_GB2312" w:hAnsi="仿宋_GB2312" w:eastAsia="仿宋_GB2312" w:cs="仿宋_GB2312"/>
          <w:sz w:val="32"/>
          <w:szCs w:val="32"/>
          <w:lang w:val="en-US" w:eastAsia="zh-CN"/>
        </w:rPr>
        <w:t>179.00</w:t>
      </w:r>
      <w:r>
        <w:rPr>
          <w:rFonts w:hint="eastAsia" w:ascii="仿宋_GB2312" w:hAnsi="仿宋_GB2312" w:eastAsia="仿宋_GB2312" w:cs="仿宋_GB2312"/>
          <w:sz w:val="32"/>
          <w:szCs w:val="32"/>
        </w:rPr>
        <w:t>万元，执行数为</w:t>
      </w:r>
      <w:r>
        <w:rPr>
          <w:rFonts w:hint="eastAsia" w:ascii="仿宋_GB2312" w:hAnsi="仿宋_GB2312" w:eastAsia="仿宋_GB2312" w:cs="仿宋_GB2312"/>
          <w:sz w:val="32"/>
          <w:szCs w:val="32"/>
          <w:lang w:val="en-US" w:eastAsia="zh-CN"/>
        </w:rPr>
        <w:t>18.41</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10.29</w:t>
      </w:r>
      <w:r>
        <w:rPr>
          <w:rFonts w:hint="eastAsia" w:ascii="仿宋_GB2312" w:hAnsi="仿宋_GB2312" w:eastAsia="仿宋_GB2312" w:cs="仿宋_GB2312"/>
          <w:sz w:val="32"/>
          <w:szCs w:val="32"/>
        </w:rPr>
        <w:t>%。通过项目实施，</w:t>
      </w:r>
      <w:r>
        <w:rPr>
          <w:rFonts w:hint="eastAsia" w:ascii="仿宋_GB2312" w:hAnsi="仿宋_GB2312" w:eastAsia="仿宋_GB2312" w:cs="仿宋_GB2312"/>
          <w:sz w:val="32"/>
          <w:szCs w:val="32"/>
          <w:lang w:eastAsia="zh-CN"/>
        </w:rPr>
        <w:t>保障了分局办公正常运转，促进各项工作顺利开展。</w:t>
      </w:r>
    </w:p>
    <w:p>
      <w:pPr>
        <w:numPr>
          <w:ilvl w:val="0"/>
          <w:numId w:val="0"/>
        </w:numPr>
        <w:spacing w:line="58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工商行政管理专项工作经费项目。</w:t>
      </w:r>
      <w:r>
        <w:rPr>
          <w:rFonts w:hint="eastAsia" w:ascii="仿宋_GB2312" w:hAnsi="仿宋_GB2312" w:eastAsia="仿宋_GB2312" w:cs="仿宋_GB2312"/>
          <w:sz w:val="32"/>
          <w:szCs w:val="32"/>
        </w:rPr>
        <w:t>全年预算数</w:t>
      </w:r>
      <w:r>
        <w:rPr>
          <w:rFonts w:hint="eastAsia" w:ascii="仿宋_GB2312" w:hAnsi="仿宋_GB2312" w:eastAsia="仿宋_GB2312" w:cs="仿宋_GB2312"/>
          <w:sz w:val="32"/>
          <w:szCs w:val="32"/>
          <w:lang w:val="en-US" w:eastAsia="zh-CN"/>
        </w:rPr>
        <w:t>20.00</w:t>
      </w:r>
      <w:r>
        <w:rPr>
          <w:rFonts w:hint="eastAsia" w:ascii="仿宋_GB2312" w:hAnsi="仿宋_GB2312" w:eastAsia="仿宋_GB2312" w:cs="仿宋_GB2312"/>
          <w:sz w:val="32"/>
          <w:szCs w:val="32"/>
        </w:rPr>
        <w:t>万元，执行数为</w:t>
      </w:r>
      <w:r>
        <w:rPr>
          <w:rFonts w:hint="eastAsia" w:ascii="仿宋_GB2312" w:hAnsi="仿宋_GB2312" w:eastAsia="仿宋_GB2312" w:cs="仿宋_GB2312"/>
          <w:sz w:val="32"/>
          <w:szCs w:val="32"/>
          <w:lang w:val="en-US" w:eastAsia="zh-CN"/>
        </w:rPr>
        <w:t>20.36</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101.80</w:t>
      </w:r>
      <w:r>
        <w:rPr>
          <w:rFonts w:hint="eastAsia" w:ascii="仿宋_GB2312" w:hAnsi="仿宋_GB2312" w:eastAsia="仿宋_GB2312" w:cs="仿宋_GB2312"/>
          <w:sz w:val="32"/>
          <w:szCs w:val="32"/>
        </w:rPr>
        <w:t>%。通过项目实施，</w:t>
      </w:r>
      <w:r>
        <w:rPr>
          <w:rFonts w:hint="eastAsia" w:ascii="仿宋_GB2312" w:hAnsi="仿宋_GB2312" w:eastAsia="仿宋_GB2312" w:cs="仿宋_GB2312"/>
          <w:sz w:val="32"/>
          <w:szCs w:val="32"/>
          <w:lang w:eastAsia="zh-CN"/>
        </w:rPr>
        <w:t>营造公平诚信的市场竞争环境和社会环境，构建以信用为核心的新型市场监管体制。</w:t>
      </w:r>
    </w:p>
    <w:p>
      <w:pPr>
        <w:numPr>
          <w:ilvl w:val="0"/>
          <w:numId w:val="0"/>
        </w:numPr>
        <w:spacing w:line="58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执法办案项目。</w:t>
      </w:r>
      <w:r>
        <w:rPr>
          <w:rFonts w:hint="eastAsia" w:ascii="仿宋_GB2312" w:hAnsi="仿宋_GB2312" w:eastAsia="仿宋_GB2312" w:cs="仿宋_GB2312"/>
          <w:sz w:val="32"/>
          <w:szCs w:val="32"/>
        </w:rPr>
        <w:t>全年预算数</w:t>
      </w:r>
      <w:r>
        <w:rPr>
          <w:rFonts w:hint="eastAsia" w:ascii="仿宋_GB2312" w:hAnsi="仿宋_GB2312" w:eastAsia="仿宋_GB2312" w:cs="仿宋_GB2312"/>
          <w:sz w:val="32"/>
          <w:szCs w:val="32"/>
          <w:lang w:val="en-US" w:eastAsia="zh-CN"/>
        </w:rPr>
        <w:t>20.00</w:t>
      </w:r>
      <w:r>
        <w:rPr>
          <w:rFonts w:hint="eastAsia" w:ascii="仿宋_GB2312" w:hAnsi="仿宋_GB2312" w:eastAsia="仿宋_GB2312" w:cs="仿宋_GB2312"/>
          <w:sz w:val="32"/>
          <w:szCs w:val="32"/>
        </w:rPr>
        <w:t>万元，执行数为</w:t>
      </w:r>
      <w:r>
        <w:rPr>
          <w:rFonts w:hint="eastAsia" w:ascii="仿宋_GB2312" w:hAnsi="仿宋_GB2312" w:eastAsia="仿宋_GB2312" w:cs="仿宋_GB2312"/>
          <w:sz w:val="32"/>
          <w:szCs w:val="32"/>
          <w:lang w:val="en-US" w:eastAsia="zh-CN"/>
        </w:rPr>
        <w:t>15.34</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76.70</w:t>
      </w:r>
      <w:r>
        <w:rPr>
          <w:rFonts w:hint="eastAsia" w:ascii="仿宋_GB2312" w:hAnsi="仿宋_GB2312" w:eastAsia="仿宋_GB2312" w:cs="仿宋_GB2312"/>
          <w:sz w:val="32"/>
          <w:szCs w:val="32"/>
        </w:rPr>
        <w:t>%。通过项目实施</w:t>
      </w:r>
      <w:r>
        <w:rPr>
          <w:rFonts w:hint="eastAsia" w:ascii="仿宋_GB2312" w:hAnsi="仿宋_GB2312" w:eastAsia="仿宋_GB2312" w:cs="仿宋_GB2312"/>
          <w:sz w:val="32"/>
          <w:szCs w:val="32"/>
          <w:lang w:eastAsia="zh-CN"/>
        </w:rPr>
        <w:t>营造公平诚信的市场竞争环境和社会环境，建立健全长效监管机制。</w:t>
      </w:r>
    </w:p>
    <w:p>
      <w:pPr>
        <w:numPr>
          <w:ilvl w:val="0"/>
          <w:numId w:val="0"/>
        </w:numPr>
        <w:spacing w:line="58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4.12315投诉指挥中心项目。</w:t>
      </w:r>
      <w:r>
        <w:rPr>
          <w:rFonts w:hint="eastAsia" w:ascii="仿宋_GB2312" w:hAnsi="仿宋_GB2312" w:eastAsia="仿宋_GB2312" w:cs="仿宋_GB2312"/>
          <w:sz w:val="32"/>
          <w:szCs w:val="32"/>
        </w:rPr>
        <w:t>全年预算数</w:t>
      </w:r>
      <w:r>
        <w:rPr>
          <w:rFonts w:hint="eastAsia" w:ascii="仿宋_GB2312" w:hAnsi="仿宋_GB2312" w:eastAsia="仿宋_GB2312" w:cs="仿宋_GB2312"/>
          <w:sz w:val="32"/>
          <w:szCs w:val="32"/>
          <w:lang w:val="en-US" w:eastAsia="zh-CN"/>
        </w:rPr>
        <w:t>15.00</w:t>
      </w:r>
      <w:r>
        <w:rPr>
          <w:rFonts w:hint="eastAsia" w:ascii="仿宋_GB2312" w:hAnsi="仿宋_GB2312" w:eastAsia="仿宋_GB2312" w:cs="仿宋_GB2312"/>
          <w:sz w:val="32"/>
          <w:szCs w:val="32"/>
        </w:rPr>
        <w:t>万元，执行数为</w:t>
      </w:r>
      <w:r>
        <w:rPr>
          <w:rFonts w:hint="eastAsia" w:ascii="仿宋_GB2312" w:hAnsi="仿宋_GB2312" w:eastAsia="仿宋_GB2312" w:cs="仿宋_GB2312"/>
          <w:sz w:val="32"/>
          <w:szCs w:val="32"/>
          <w:lang w:val="en-US" w:eastAsia="zh-CN"/>
        </w:rPr>
        <w:t>13.04</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65.20</w:t>
      </w:r>
      <w:r>
        <w:rPr>
          <w:rFonts w:hint="eastAsia" w:ascii="仿宋_GB2312" w:hAnsi="仿宋_GB2312" w:eastAsia="仿宋_GB2312" w:cs="仿宋_GB2312"/>
          <w:sz w:val="32"/>
          <w:szCs w:val="32"/>
        </w:rPr>
        <w:t>%。通过项目实施维护消费者合法权益</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社会信用环境明显改善消费产品和服务质量不断提升，消费者满意度显著提高持续发展</w:t>
      </w:r>
      <w:r>
        <w:rPr>
          <w:rFonts w:hint="eastAsia" w:ascii="仿宋_GB2312" w:hAnsi="仿宋_GB2312" w:eastAsia="仿宋_GB2312" w:cs="仿宋_GB2312"/>
          <w:sz w:val="32"/>
          <w:szCs w:val="32"/>
          <w:lang w:eastAsia="zh-CN"/>
        </w:rPr>
        <w:t>。</w:t>
      </w:r>
    </w:p>
    <w:tbl>
      <w:tblPr>
        <w:tblStyle w:val="20"/>
        <w:tblW w:w="8656" w:type="dxa"/>
        <w:tblInd w:w="135" w:type="dxa"/>
        <w:tblLayout w:type="fixed"/>
        <w:tblCellMar>
          <w:top w:w="0" w:type="dxa"/>
          <w:left w:w="0" w:type="dxa"/>
          <w:bottom w:w="0" w:type="dxa"/>
          <w:right w:w="0" w:type="dxa"/>
        </w:tblCellMar>
      </w:tblPr>
      <w:tblGrid>
        <w:gridCol w:w="731"/>
        <w:gridCol w:w="567"/>
        <w:gridCol w:w="1058"/>
        <w:gridCol w:w="1770"/>
        <w:gridCol w:w="2365"/>
        <w:gridCol w:w="2165"/>
      </w:tblGrid>
      <w:tr>
        <w:tblPrEx>
          <w:tblLayout w:type="fixed"/>
          <w:tblCellMar>
            <w:top w:w="0" w:type="dxa"/>
            <w:left w:w="0" w:type="dxa"/>
            <w:bottom w:w="0" w:type="dxa"/>
            <w:right w:w="0" w:type="dxa"/>
          </w:tblCellMar>
        </w:tblPrEx>
        <w:trPr>
          <w:trHeight w:val="1034" w:hRule="atLeast"/>
        </w:trPr>
        <w:tc>
          <w:tcPr>
            <w:tcW w:w="8656" w:type="dxa"/>
            <w:gridSpan w:val="6"/>
            <w:tcBorders>
              <w:top w:val="nil"/>
              <w:left w:val="nil"/>
              <w:bottom w:val="nil"/>
              <w:right w:val="nil"/>
            </w:tcBorders>
            <w:tcMar>
              <w:top w:w="15" w:type="dxa"/>
              <w:left w:w="15" w:type="dxa"/>
              <w:bottom w:w="0" w:type="dxa"/>
              <w:right w:w="15" w:type="dxa"/>
            </w:tcMar>
            <w:vAlign w:val="center"/>
          </w:tcPr>
          <w:p>
            <w:pPr>
              <w:pStyle w:val="36"/>
              <w:widowControl/>
              <w:ind w:firstLine="0" w:firstLineChars="0"/>
              <w:jc w:val="center"/>
              <w:textAlignment w:val="center"/>
              <w:rPr>
                <w:rFonts w:ascii="宋体"/>
                <w:color w:val="000000"/>
                <w:sz w:val="36"/>
                <w:szCs w:val="36"/>
              </w:rPr>
            </w:pPr>
            <w:r>
              <w:rPr>
                <w:rFonts w:hint="eastAsia" w:ascii="黑体" w:hAnsi="黑体" w:eastAsia="黑体" w:cs="宋体"/>
                <w:color w:val="000000"/>
                <w:kern w:val="0"/>
                <w:sz w:val="36"/>
                <w:szCs w:val="36"/>
              </w:rPr>
              <w:t>项目支出绩效目标完成情况表</w:t>
            </w:r>
            <w:r>
              <w:rPr>
                <w:rFonts w:ascii="宋体"/>
                <w:b/>
                <w:bCs/>
                <w:color w:val="000000"/>
                <w:kern w:val="0"/>
                <w:sz w:val="36"/>
                <w:szCs w:val="36"/>
              </w:rPr>
              <w:br w:type="textWrapping"/>
            </w:r>
            <w:r>
              <w:rPr>
                <w:rFonts w:ascii="宋体" w:hAnsi="宋体"/>
                <w:color w:val="000000"/>
                <w:kern w:val="0"/>
                <w:sz w:val="36"/>
                <w:szCs w:val="36"/>
              </w:rPr>
              <w:t>(2018</w:t>
            </w:r>
            <w:r>
              <w:rPr>
                <w:rFonts w:hint="eastAsia" w:ascii="宋体" w:hAnsi="宋体"/>
                <w:color w:val="000000"/>
                <w:kern w:val="0"/>
                <w:sz w:val="36"/>
                <w:szCs w:val="36"/>
              </w:rPr>
              <w:t>年度</w:t>
            </w:r>
            <w:r>
              <w:rPr>
                <w:rFonts w:ascii="宋体" w:hAnsi="宋体"/>
                <w:color w:val="000000"/>
                <w:kern w:val="0"/>
                <w:sz w:val="36"/>
                <w:szCs w:val="36"/>
              </w:rPr>
              <w:t>)</w:t>
            </w:r>
          </w:p>
        </w:tc>
      </w:tr>
      <w:tr>
        <w:tblPrEx>
          <w:tblLayout w:type="fixed"/>
          <w:tblCellMar>
            <w:top w:w="0" w:type="dxa"/>
            <w:left w:w="0" w:type="dxa"/>
            <w:bottom w:w="0" w:type="dxa"/>
            <w:right w:w="0" w:type="dxa"/>
          </w:tblCellMar>
        </w:tblPrEx>
        <w:trPr>
          <w:trHeight w:val="276" w:hRule="atLeast"/>
        </w:trPr>
        <w:tc>
          <w:tcPr>
            <w:tcW w:w="2356"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olor w:val="000000"/>
                <w:sz w:val="24"/>
                <w:szCs w:val="24"/>
              </w:rPr>
            </w:pPr>
            <w:r>
              <w:rPr>
                <w:rFonts w:hint="eastAsia" w:ascii="仿宋_GB2312" w:hAnsi="宋体" w:eastAsia="仿宋_GB2312"/>
                <w:color w:val="000000"/>
                <w:kern w:val="0"/>
                <w:sz w:val="24"/>
                <w:szCs w:val="24"/>
              </w:rPr>
              <w:t>项目名称</w:t>
            </w:r>
          </w:p>
        </w:tc>
        <w:tc>
          <w:tcPr>
            <w:tcW w:w="6300"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olor w:val="000000"/>
                <w:sz w:val="24"/>
                <w:szCs w:val="24"/>
              </w:rPr>
            </w:pPr>
            <w:r>
              <w:rPr>
                <w:rFonts w:hint="eastAsia" w:ascii="仿宋_GB2312" w:eastAsia="仿宋_GB2312"/>
                <w:color w:val="000000"/>
                <w:sz w:val="24"/>
                <w:szCs w:val="24"/>
              </w:rPr>
              <w:t>局机关办公房维修</w:t>
            </w:r>
          </w:p>
        </w:tc>
      </w:tr>
      <w:tr>
        <w:tblPrEx>
          <w:tblLayout w:type="fixed"/>
          <w:tblCellMar>
            <w:top w:w="0" w:type="dxa"/>
            <w:left w:w="0" w:type="dxa"/>
            <w:bottom w:w="0" w:type="dxa"/>
            <w:right w:w="0" w:type="dxa"/>
          </w:tblCellMar>
        </w:tblPrEx>
        <w:trPr>
          <w:trHeight w:val="276" w:hRule="atLeast"/>
        </w:trPr>
        <w:tc>
          <w:tcPr>
            <w:tcW w:w="2356"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olor w:val="000000"/>
                <w:sz w:val="24"/>
                <w:szCs w:val="24"/>
              </w:rPr>
            </w:pPr>
            <w:r>
              <w:rPr>
                <w:rFonts w:hint="eastAsia" w:ascii="仿宋_GB2312" w:hAnsi="宋体" w:eastAsia="仿宋_GB2312"/>
                <w:color w:val="000000"/>
                <w:kern w:val="0"/>
                <w:sz w:val="24"/>
                <w:szCs w:val="24"/>
              </w:rPr>
              <w:t>预算单位</w:t>
            </w:r>
          </w:p>
        </w:tc>
        <w:tc>
          <w:tcPr>
            <w:tcW w:w="6300"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olor w:val="000000"/>
                <w:sz w:val="24"/>
                <w:szCs w:val="24"/>
              </w:rPr>
            </w:pPr>
            <w:r>
              <w:rPr>
                <w:rFonts w:hint="eastAsia" w:ascii="仿宋_GB2312" w:eastAsia="仿宋_GB2312"/>
                <w:color w:val="000000"/>
                <w:sz w:val="24"/>
                <w:szCs w:val="24"/>
              </w:rPr>
              <w:t>广元市工商行政管理局</w:t>
            </w:r>
          </w:p>
        </w:tc>
      </w:tr>
      <w:tr>
        <w:tblPrEx>
          <w:tblLayout w:type="fixed"/>
          <w:tblCellMar>
            <w:top w:w="0" w:type="dxa"/>
            <w:left w:w="0" w:type="dxa"/>
            <w:bottom w:w="0" w:type="dxa"/>
            <w:right w:w="0" w:type="dxa"/>
          </w:tblCellMar>
        </w:tblPrEx>
        <w:trPr>
          <w:trHeight w:val="1505" w:hRule="atLeast"/>
        </w:trPr>
        <w:tc>
          <w:tcPr>
            <w:tcW w:w="73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olor w:val="000000"/>
                <w:sz w:val="24"/>
                <w:szCs w:val="24"/>
              </w:rPr>
            </w:pPr>
            <w:r>
              <w:rPr>
                <w:rFonts w:hint="eastAsia" w:ascii="仿宋_GB2312" w:hAnsi="宋体" w:eastAsia="仿宋_GB2312"/>
                <w:color w:val="000000"/>
                <w:kern w:val="0"/>
                <w:sz w:val="24"/>
                <w:szCs w:val="24"/>
              </w:rPr>
              <w:t>预算执行情况(万元)</w:t>
            </w:r>
          </w:p>
        </w:tc>
        <w:tc>
          <w:tcPr>
            <w:tcW w:w="1625"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olor w:val="000000"/>
                <w:sz w:val="24"/>
                <w:szCs w:val="24"/>
              </w:rPr>
            </w:pPr>
            <w:r>
              <w:rPr>
                <w:rFonts w:hint="eastAsia" w:ascii="仿宋_GB2312" w:hAnsi="宋体" w:eastAsia="仿宋_GB2312"/>
                <w:color w:val="000000"/>
                <w:kern w:val="0"/>
                <w:sz w:val="24"/>
                <w:szCs w:val="24"/>
              </w:rPr>
              <w:t>预算数:</w:t>
            </w:r>
          </w:p>
        </w:tc>
        <w:tc>
          <w:tcPr>
            <w:tcW w:w="177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olor w:val="000000"/>
                <w:sz w:val="24"/>
                <w:szCs w:val="24"/>
                <w:lang w:val="en-US" w:eastAsia="zh-CN"/>
              </w:rPr>
            </w:pPr>
            <w:r>
              <w:rPr>
                <w:rFonts w:hint="eastAsia" w:ascii="仿宋_GB2312" w:eastAsia="仿宋_GB2312"/>
                <w:color w:val="000000"/>
                <w:sz w:val="24"/>
                <w:szCs w:val="24"/>
                <w:lang w:val="en-US" w:eastAsia="zh-CN"/>
              </w:rPr>
              <w:t>179.00</w:t>
            </w:r>
          </w:p>
        </w:tc>
        <w:tc>
          <w:tcPr>
            <w:tcW w:w="236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olor w:val="000000"/>
                <w:sz w:val="24"/>
                <w:szCs w:val="24"/>
              </w:rPr>
            </w:pPr>
            <w:r>
              <w:rPr>
                <w:rFonts w:hint="eastAsia" w:ascii="仿宋_GB2312" w:hAnsi="宋体" w:eastAsia="仿宋_GB2312"/>
                <w:color w:val="000000"/>
                <w:kern w:val="0"/>
                <w:sz w:val="24"/>
                <w:szCs w:val="24"/>
              </w:rPr>
              <w:t>执行数:</w:t>
            </w:r>
          </w:p>
        </w:tc>
        <w:tc>
          <w:tcPr>
            <w:tcW w:w="216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olor w:val="000000"/>
                <w:sz w:val="24"/>
                <w:szCs w:val="24"/>
                <w:lang w:val="en-US" w:eastAsia="zh-CN"/>
              </w:rPr>
            </w:pPr>
            <w:r>
              <w:rPr>
                <w:rFonts w:hint="eastAsia" w:ascii="仿宋_GB2312" w:eastAsia="仿宋_GB2312"/>
                <w:color w:val="000000"/>
                <w:sz w:val="24"/>
                <w:szCs w:val="24"/>
                <w:lang w:val="en-US" w:eastAsia="zh-CN"/>
              </w:rPr>
              <w:t>18.41</w:t>
            </w:r>
          </w:p>
        </w:tc>
      </w:tr>
      <w:tr>
        <w:tblPrEx>
          <w:tblLayout w:type="fixed"/>
          <w:tblCellMar>
            <w:top w:w="0" w:type="dxa"/>
            <w:left w:w="0" w:type="dxa"/>
            <w:bottom w:w="0" w:type="dxa"/>
            <w:right w:w="0" w:type="dxa"/>
          </w:tblCellMar>
        </w:tblPrEx>
        <w:trPr>
          <w:trHeight w:val="276"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_GB2312" w:eastAsia="仿宋_GB2312"/>
                <w:color w:val="000000"/>
                <w:sz w:val="24"/>
                <w:szCs w:val="24"/>
              </w:rPr>
            </w:pPr>
          </w:p>
        </w:tc>
        <w:tc>
          <w:tcPr>
            <w:tcW w:w="1625"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olor w:val="000000"/>
                <w:sz w:val="24"/>
                <w:szCs w:val="24"/>
              </w:rPr>
            </w:pPr>
            <w:r>
              <w:rPr>
                <w:rFonts w:hint="eastAsia" w:ascii="仿宋_GB2312" w:hAnsi="宋体" w:eastAsia="仿宋_GB2312"/>
                <w:color w:val="000000"/>
                <w:kern w:val="0"/>
                <w:sz w:val="24"/>
                <w:szCs w:val="24"/>
              </w:rPr>
              <w:t>其中</w:t>
            </w:r>
            <w:r>
              <w:rPr>
                <w:rFonts w:hint="eastAsia" w:ascii="仿宋_GB2312" w:eastAsia="仿宋_GB2312"/>
                <w:color w:val="000000"/>
                <w:kern w:val="0"/>
                <w:sz w:val="24"/>
                <w:szCs w:val="24"/>
              </w:rPr>
              <w:t>-</w:t>
            </w:r>
            <w:r>
              <w:rPr>
                <w:rFonts w:hint="eastAsia" w:ascii="仿宋_GB2312" w:hAnsi="宋体" w:eastAsia="仿宋_GB2312"/>
                <w:color w:val="000000"/>
                <w:kern w:val="0"/>
                <w:sz w:val="24"/>
                <w:szCs w:val="24"/>
              </w:rPr>
              <w:t>财政拨款:</w:t>
            </w:r>
          </w:p>
        </w:tc>
        <w:tc>
          <w:tcPr>
            <w:tcW w:w="177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olor w:val="000000"/>
                <w:sz w:val="24"/>
                <w:szCs w:val="24"/>
                <w:lang w:val="en-US" w:eastAsia="zh-CN"/>
              </w:rPr>
            </w:pPr>
            <w:r>
              <w:rPr>
                <w:rFonts w:hint="eastAsia" w:ascii="仿宋_GB2312" w:eastAsia="仿宋_GB2312"/>
                <w:color w:val="000000"/>
                <w:kern w:val="0"/>
                <w:sz w:val="24"/>
                <w:szCs w:val="24"/>
                <w:lang w:val="en-US" w:eastAsia="zh-CN"/>
              </w:rPr>
              <w:t>179.00</w:t>
            </w:r>
          </w:p>
        </w:tc>
        <w:tc>
          <w:tcPr>
            <w:tcW w:w="236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olor w:val="000000"/>
                <w:sz w:val="24"/>
                <w:szCs w:val="24"/>
              </w:rPr>
            </w:pPr>
            <w:r>
              <w:rPr>
                <w:rFonts w:hint="eastAsia" w:ascii="仿宋_GB2312" w:hAnsi="宋体" w:eastAsia="仿宋_GB2312"/>
                <w:color w:val="000000"/>
                <w:kern w:val="0"/>
                <w:sz w:val="24"/>
                <w:szCs w:val="24"/>
              </w:rPr>
              <w:t>其中</w:t>
            </w:r>
            <w:r>
              <w:rPr>
                <w:rFonts w:hint="eastAsia" w:ascii="仿宋_GB2312" w:eastAsia="仿宋_GB2312"/>
                <w:color w:val="000000"/>
                <w:kern w:val="0"/>
                <w:sz w:val="24"/>
                <w:szCs w:val="24"/>
              </w:rPr>
              <w:t>-</w:t>
            </w:r>
            <w:r>
              <w:rPr>
                <w:rFonts w:hint="eastAsia" w:ascii="仿宋_GB2312" w:hAnsi="宋体" w:eastAsia="仿宋_GB2312"/>
                <w:color w:val="000000"/>
                <w:kern w:val="0"/>
                <w:sz w:val="24"/>
                <w:szCs w:val="24"/>
              </w:rPr>
              <w:t>财政拨款:</w:t>
            </w:r>
          </w:p>
        </w:tc>
        <w:tc>
          <w:tcPr>
            <w:tcW w:w="216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olor w:val="000000"/>
                <w:sz w:val="24"/>
                <w:szCs w:val="24"/>
                <w:lang w:val="en-US" w:eastAsia="zh-CN"/>
              </w:rPr>
            </w:pPr>
            <w:r>
              <w:rPr>
                <w:rFonts w:hint="eastAsia" w:ascii="仿宋_GB2312" w:eastAsia="仿宋_GB2312"/>
                <w:color w:val="000000"/>
                <w:sz w:val="24"/>
                <w:szCs w:val="24"/>
                <w:lang w:val="en-US" w:eastAsia="zh-CN"/>
              </w:rPr>
              <w:t>18.41</w:t>
            </w:r>
          </w:p>
        </w:tc>
      </w:tr>
      <w:tr>
        <w:tblPrEx>
          <w:tblLayout w:type="fixed"/>
          <w:tblCellMar>
            <w:top w:w="0" w:type="dxa"/>
            <w:left w:w="0" w:type="dxa"/>
            <w:bottom w:w="0" w:type="dxa"/>
            <w:right w:w="0" w:type="dxa"/>
          </w:tblCellMar>
        </w:tblPrEx>
        <w:trPr>
          <w:trHeight w:val="696"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_GB2312" w:eastAsia="仿宋_GB2312"/>
                <w:color w:val="000000"/>
                <w:sz w:val="24"/>
                <w:szCs w:val="24"/>
              </w:rPr>
            </w:pPr>
          </w:p>
        </w:tc>
        <w:tc>
          <w:tcPr>
            <w:tcW w:w="1625"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olor w:val="000000"/>
                <w:sz w:val="24"/>
                <w:szCs w:val="24"/>
              </w:rPr>
            </w:pPr>
            <w:r>
              <w:rPr>
                <w:rFonts w:hint="eastAsia" w:ascii="仿宋_GB2312" w:hAnsi="宋体" w:eastAsia="仿宋_GB2312"/>
                <w:color w:val="000000"/>
                <w:kern w:val="0"/>
                <w:sz w:val="24"/>
                <w:szCs w:val="24"/>
              </w:rPr>
              <w:t>其它资金:</w:t>
            </w:r>
          </w:p>
        </w:tc>
        <w:tc>
          <w:tcPr>
            <w:tcW w:w="177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olor w:val="000000"/>
                <w:sz w:val="24"/>
                <w:szCs w:val="24"/>
              </w:rPr>
            </w:pPr>
          </w:p>
        </w:tc>
        <w:tc>
          <w:tcPr>
            <w:tcW w:w="236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olor w:val="000000"/>
                <w:sz w:val="24"/>
                <w:szCs w:val="24"/>
              </w:rPr>
            </w:pPr>
            <w:r>
              <w:rPr>
                <w:rFonts w:hint="eastAsia" w:ascii="仿宋_GB2312" w:hAnsi="宋体" w:eastAsia="仿宋_GB2312"/>
                <w:color w:val="000000"/>
                <w:kern w:val="0"/>
                <w:sz w:val="24"/>
                <w:szCs w:val="24"/>
              </w:rPr>
              <w:t>其它资金:</w:t>
            </w:r>
          </w:p>
        </w:tc>
        <w:tc>
          <w:tcPr>
            <w:tcW w:w="216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hint="eastAsia" w:ascii="仿宋_GB2312" w:eastAsia="仿宋_GB2312"/>
                <w:color w:val="000000"/>
                <w:sz w:val="24"/>
                <w:szCs w:val="24"/>
              </w:rPr>
            </w:pPr>
          </w:p>
        </w:tc>
      </w:tr>
      <w:tr>
        <w:tblPrEx>
          <w:tblLayout w:type="fixed"/>
          <w:tblCellMar>
            <w:top w:w="0" w:type="dxa"/>
            <w:left w:w="0" w:type="dxa"/>
            <w:bottom w:w="0" w:type="dxa"/>
            <w:right w:w="0" w:type="dxa"/>
          </w:tblCellMar>
        </w:tblPrEx>
        <w:trPr>
          <w:trHeight w:val="276" w:hRule="atLeast"/>
        </w:trPr>
        <w:tc>
          <w:tcPr>
            <w:tcW w:w="73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olor w:val="000000"/>
                <w:sz w:val="24"/>
                <w:szCs w:val="24"/>
              </w:rPr>
            </w:pPr>
            <w:r>
              <w:rPr>
                <w:rFonts w:hint="eastAsia" w:ascii="仿宋_GB2312" w:hAnsi="宋体" w:eastAsia="仿宋_GB2312"/>
                <w:color w:val="000000"/>
                <w:kern w:val="0"/>
                <w:sz w:val="24"/>
                <w:szCs w:val="24"/>
              </w:rPr>
              <w:t>年度目标完成情况</w:t>
            </w:r>
          </w:p>
        </w:tc>
        <w:tc>
          <w:tcPr>
            <w:tcW w:w="3395"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olor w:val="000000"/>
                <w:sz w:val="24"/>
                <w:szCs w:val="24"/>
              </w:rPr>
            </w:pPr>
            <w:r>
              <w:rPr>
                <w:rFonts w:hint="eastAsia" w:ascii="仿宋_GB2312" w:hAnsi="宋体" w:eastAsia="仿宋_GB2312"/>
                <w:color w:val="000000"/>
                <w:kern w:val="0"/>
                <w:sz w:val="24"/>
                <w:szCs w:val="24"/>
              </w:rPr>
              <w:t>预期目标</w:t>
            </w:r>
          </w:p>
        </w:tc>
        <w:tc>
          <w:tcPr>
            <w:tcW w:w="4530"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olor w:val="000000"/>
                <w:sz w:val="24"/>
                <w:szCs w:val="24"/>
              </w:rPr>
            </w:pPr>
            <w:r>
              <w:rPr>
                <w:rFonts w:hint="eastAsia" w:ascii="仿宋_GB2312" w:hAnsi="宋体" w:eastAsia="仿宋_GB2312"/>
                <w:color w:val="000000"/>
                <w:kern w:val="0"/>
                <w:sz w:val="24"/>
                <w:szCs w:val="24"/>
              </w:rPr>
              <w:t>实际完成目标</w:t>
            </w:r>
          </w:p>
        </w:tc>
      </w:tr>
      <w:tr>
        <w:tblPrEx>
          <w:tblLayout w:type="fixed"/>
          <w:tblCellMar>
            <w:top w:w="0" w:type="dxa"/>
            <w:left w:w="0" w:type="dxa"/>
            <w:bottom w:w="0" w:type="dxa"/>
            <w:right w:w="0" w:type="dxa"/>
          </w:tblCellMar>
        </w:tblPrEx>
        <w:trPr>
          <w:trHeight w:val="1159"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_GB2312" w:eastAsia="仿宋_GB2312"/>
                <w:color w:val="000000"/>
                <w:sz w:val="24"/>
                <w:szCs w:val="24"/>
              </w:rPr>
            </w:pPr>
          </w:p>
        </w:tc>
        <w:tc>
          <w:tcPr>
            <w:tcW w:w="3395"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olor w:val="000000"/>
                <w:sz w:val="24"/>
                <w:szCs w:val="24"/>
              </w:rPr>
            </w:pPr>
            <w:r>
              <w:rPr>
                <w:rFonts w:hint="eastAsia" w:ascii="仿宋_GB2312" w:eastAsia="仿宋_GB2312"/>
                <w:color w:val="000000"/>
                <w:sz w:val="24"/>
                <w:szCs w:val="24"/>
              </w:rPr>
              <w:t>1、2018年度完成局机关办公楼维修2、2018年度完成盘龙工商所业务用房的购置。</w:t>
            </w:r>
          </w:p>
        </w:tc>
        <w:tc>
          <w:tcPr>
            <w:tcW w:w="4530"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olor w:val="000000"/>
                <w:sz w:val="24"/>
                <w:szCs w:val="24"/>
              </w:rPr>
            </w:pPr>
            <w:r>
              <w:rPr>
                <w:rFonts w:hint="eastAsia" w:ascii="仿宋_GB2312" w:eastAsia="仿宋_GB2312"/>
                <w:color w:val="000000"/>
                <w:sz w:val="24"/>
                <w:szCs w:val="24"/>
              </w:rPr>
              <w:t>按期完成分局机关办公楼维修</w:t>
            </w:r>
          </w:p>
        </w:tc>
      </w:tr>
      <w:tr>
        <w:tblPrEx>
          <w:tblLayout w:type="fixed"/>
          <w:tblCellMar>
            <w:top w:w="0" w:type="dxa"/>
            <w:left w:w="0" w:type="dxa"/>
            <w:bottom w:w="0" w:type="dxa"/>
            <w:right w:w="0" w:type="dxa"/>
          </w:tblCellMar>
        </w:tblPrEx>
        <w:trPr>
          <w:trHeight w:val="1042" w:hRule="atLeast"/>
        </w:trPr>
        <w:tc>
          <w:tcPr>
            <w:tcW w:w="73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olor w:val="000000"/>
                <w:sz w:val="24"/>
                <w:szCs w:val="24"/>
              </w:rPr>
            </w:pPr>
            <w:r>
              <w:rPr>
                <w:rFonts w:hint="eastAsia" w:ascii="仿宋_GB2312" w:hAnsi="宋体" w:eastAsia="仿宋_GB2312"/>
                <w:color w:val="000000"/>
                <w:sz w:val="24"/>
                <w:szCs w:val="24"/>
              </w:rPr>
              <w:t>绩效指标完成情况</w:t>
            </w:r>
          </w:p>
        </w:tc>
        <w:tc>
          <w:tcPr>
            <w:tcW w:w="567"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olor w:val="000000"/>
                <w:sz w:val="24"/>
                <w:szCs w:val="24"/>
              </w:rPr>
            </w:pPr>
            <w:r>
              <w:rPr>
                <w:rFonts w:hint="eastAsia" w:ascii="仿宋_GB2312" w:hAnsi="宋体" w:eastAsia="仿宋_GB2312"/>
                <w:color w:val="000000"/>
                <w:kern w:val="0"/>
                <w:sz w:val="24"/>
                <w:szCs w:val="24"/>
              </w:rPr>
              <w:t>一级指标</w:t>
            </w:r>
          </w:p>
        </w:tc>
        <w:tc>
          <w:tcPr>
            <w:tcW w:w="105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olor w:val="000000"/>
                <w:sz w:val="24"/>
                <w:szCs w:val="24"/>
              </w:rPr>
            </w:pPr>
            <w:r>
              <w:rPr>
                <w:rFonts w:hint="eastAsia" w:ascii="仿宋_GB2312" w:hAnsi="宋体" w:eastAsia="仿宋_GB2312"/>
                <w:color w:val="000000"/>
                <w:kern w:val="0"/>
                <w:sz w:val="24"/>
                <w:szCs w:val="24"/>
              </w:rPr>
              <w:t>二级指标</w:t>
            </w:r>
          </w:p>
        </w:tc>
        <w:tc>
          <w:tcPr>
            <w:tcW w:w="177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olor w:val="000000"/>
                <w:sz w:val="24"/>
                <w:szCs w:val="24"/>
              </w:rPr>
            </w:pPr>
            <w:r>
              <w:rPr>
                <w:rFonts w:hint="eastAsia" w:ascii="仿宋_GB2312" w:hAnsi="宋体" w:eastAsia="仿宋_GB2312"/>
                <w:color w:val="000000"/>
                <w:kern w:val="0"/>
                <w:sz w:val="24"/>
                <w:szCs w:val="24"/>
              </w:rPr>
              <w:t>三级指标</w:t>
            </w:r>
          </w:p>
        </w:tc>
        <w:tc>
          <w:tcPr>
            <w:tcW w:w="236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olor w:val="000000"/>
                <w:sz w:val="24"/>
                <w:szCs w:val="24"/>
              </w:rPr>
            </w:pPr>
            <w:r>
              <w:rPr>
                <w:rFonts w:hint="eastAsia" w:ascii="仿宋_GB2312" w:hAnsi="宋体" w:eastAsia="仿宋_GB2312"/>
                <w:color w:val="000000"/>
                <w:kern w:val="0"/>
                <w:sz w:val="24"/>
                <w:szCs w:val="24"/>
              </w:rPr>
              <w:t>预期指标值(包含数字及文字描述)</w:t>
            </w:r>
          </w:p>
        </w:tc>
        <w:tc>
          <w:tcPr>
            <w:tcW w:w="216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olor w:val="000000"/>
                <w:sz w:val="24"/>
                <w:szCs w:val="24"/>
              </w:rPr>
            </w:pPr>
            <w:r>
              <w:rPr>
                <w:rFonts w:hint="eastAsia" w:ascii="仿宋_GB2312" w:hAnsi="宋体" w:eastAsia="仿宋_GB2312"/>
                <w:color w:val="000000"/>
                <w:kern w:val="0"/>
                <w:sz w:val="24"/>
                <w:szCs w:val="24"/>
              </w:rPr>
              <w:t>实际完成指标值(包含数字及文字描述)</w:t>
            </w:r>
          </w:p>
        </w:tc>
      </w:tr>
      <w:tr>
        <w:tblPrEx>
          <w:tblLayout w:type="fixed"/>
          <w:tblCellMar>
            <w:top w:w="0" w:type="dxa"/>
            <w:left w:w="0" w:type="dxa"/>
            <w:bottom w:w="0" w:type="dxa"/>
            <w:right w:w="0" w:type="dxa"/>
          </w:tblCellMar>
        </w:tblPrEx>
        <w:trPr>
          <w:trHeight w:val="953"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_GB2312" w:eastAsia="仿宋_GB2312"/>
                <w:color w:val="000000"/>
                <w:sz w:val="24"/>
                <w:szCs w:val="24"/>
              </w:rPr>
            </w:pPr>
          </w:p>
        </w:tc>
        <w:tc>
          <w:tcPr>
            <w:tcW w:w="567"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olor w:val="000000"/>
                <w:sz w:val="24"/>
                <w:szCs w:val="24"/>
              </w:rPr>
            </w:pPr>
            <w:r>
              <w:rPr>
                <w:rFonts w:hint="eastAsia" w:ascii="仿宋_GB2312" w:hAnsi="宋体" w:eastAsia="仿宋_GB2312"/>
                <w:color w:val="000000"/>
                <w:kern w:val="0"/>
                <w:sz w:val="24"/>
                <w:szCs w:val="24"/>
              </w:rPr>
              <w:t>项目完成指标</w:t>
            </w:r>
          </w:p>
        </w:tc>
        <w:tc>
          <w:tcPr>
            <w:tcW w:w="105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olor w:val="000000"/>
                <w:sz w:val="24"/>
                <w:szCs w:val="24"/>
              </w:rPr>
            </w:pPr>
            <w:r>
              <w:rPr>
                <w:rFonts w:hint="eastAsia" w:ascii="仿宋_GB2312" w:eastAsia="仿宋_GB2312"/>
                <w:color w:val="000000"/>
                <w:sz w:val="24"/>
                <w:szCs w:val="24"/>
              </w:rPr>
              <w:t>数量指标</w:t>
            </w:r>
          </w:p>
        </w:tc>
        <w:tc>
          <w:tcPr>
            <w:tcW w:w="177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both"/>
              <w:textAlignment w:val="center"/>
              <w:rPr>
                <w:rFonts w:hint="eastAsia" w:ascii="仿宋_GB2312" w:eastAsia="仿宋_GB2312"/>
                <w:color w:val="000000"/>
                <w:sz w:val="24"/>
                <w:szCs w:val="24"/>
              </w:rPr>
            </w:pPr>
            <w:r>
              <w:rPr>
                <w:rFonts w:hint="eastAsia" w:ascii="仿宋_GB2312" w:eastAsia="仿宋_GB2312"/>
                <w:color w:val="000000"/>
                <w:sz w:val="24"/>
                <w:szCs w:val="24"/>
              </w:rPr>
              <w:t>分局机关办公楼维修工程</w:t>
            </w:r>
          </w:p>
        </w:tc>
        <w:tc>
          <w:tcPr>
            <w:tcW w:w="236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both"/>
              <w:textAlignment w:val="center"/>
              <w:rPr>
                <w:rFonts w:hint="eastAsia" w:ascii="仿宋_GB2312" w:eastAsia="仿宋_GB2312"/>
                <w:color w:val="000000"/>
                <w:sz w:val="24"/>
                <w:szCs w:val="24"/>
              </w:rPr>
            </w:pPr>
            <w:r>
              <w:rPr>
                <w:rFonts w:hint="eastAsia" w:ascii="仿宋_GB2312" w:eastAsia="仿宋_GB2312"/>
                <w:color w:val="000000"/>
                <w:sz w:val="24"/>
                <w:szCs w:val="24"/>
              </w:rPr>
              <w:t>分局办公楼建筑面积1230.59平方米，房屋老化，墙体开裂，室内墙体脱落进行全面维修。</w:t>
            </w:r>
          </w:p>
        </w:tc>
        <w:tc>
          <w:tcPr>
            <w:tcW w:w="216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both"/>
              <w:textAlignment w:val="center"/>
              <w:rPr>
                <w:rFonts w:hint="eastAsia" w:ascii="仿宋_GB2312" w:eastAsia="仿宋_GB2312"/>
                <w:color w:val="000000"/>
                <w:sz w:val="24"/>
                <w:szCs w:val="24"/>
              </w:rPr>
            </w:pPr>
            <w:r>
              <w:rPr>
                <w:rFonts w:hint="eastAsia" w:ascii="仿宋_GB2312" w:eastAsia="仿宋_GB2312"/>
                <w:color w:val="000000"/>
                <w:sz w:val="24"/>
                <w:szCs w:val="24"/>
              </w:rPr>
              <w:t>粉刷办公楼外墙体，对楼顶、平台墙面进行防水处理及保温层改造，内墙脱落污染部分铲除重新粉刷。</w:t>
            </w:r>
          </w:p>
        </w:tc>
      </w:tr>
      <w:tr>
        <w:tblPrEx>
          <w:tblLayout w:type="fixed"/>
          <w:tblCellMar>
            <w:top w:w="0" w:type="dxa"/>
            <w:left w:w="0" w:type="dxa"/>
            <w:bottom w:w="0" w:type="dxa"/>
            <w:right w:w="0" w:type="dxa"/>
          </w:tblCellMar>
        </w:tblPrEx>
        <w:trPr>
          <w:trHeight w:val="1297"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_GB2312" w:eastAsia="仿宋_GB2312"/>
                <w:color w:val="000000"/>
                <w:sz w:val="24"/>
                <w:szCs w:val="24"/>
              </w:rPr>
            </w:pPr>
          </w:p>
        </w:tc>
        <w:tc>
          <w:tcPr>
            <w:tcW w:w="567"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olor w:val="000000"/>
                <w:sz w:val="24"/>
                <w:szCs w:val="24"/>
              </w:rPr>
            </w:pPr>
            <w:r>
              <w:rPr>
                <w:rFonts w:hint="eastAsia" w:ascii="仿宋_GB2312" w:hAnsi="宋体" w:eastAsia="仿宋_GB2312"/>
                <w:color w:val="000000"/>
                <w:kern w:val="0"/>
                <w:sz w:val="24"/>
                <w:szCs w:val="24"/>
              </w:rPr>
              <w:t>项目完成指标</w:t>
            </w:r>
          </w:p>
        </w:tc>
        <w:tc>
          <w:tcPr>
            <w:tcW w:w="105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olor w:val="000000"/>
                <w:sz w:val="24"/>
                <w:szCs w:val="24"/>
              </w:rPr>
            </w:pPr>
            <w:r>
              <w:rPr>
                <w:rFonts w:hint="eastAsia" w:ascii="仿宋_GB2312" w:eastAsia="仿宋_GB2312"/>
                <w:color w:val="000000"/>
                <w:sz w:val="24"/>
                <w:szCs w:val="24"/>
              </w:rPr>
              <w:t>质量指标</w:t>
            </w:r>
          </w:p>
        </w:tc>
        <w:tc>
          <w:tcPr>
            <w:tcW w:w="177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both"/>
              <w:textAlignment w:val="center"/>
              <w:rPr>
                <w:rFonts w:hint="eastAsia" w:ascii="仿宋_GB2312" w:eastAsia="仿宋_GB2312"/>
                <w:color w:val="000000"/>
                <w:sz w:val="24"/>
                <w:szCs w:val="24"/>
              </w:rPr>
            </w:pPr>
            <w:r>
              <w:rPr>
                <w:rFonts w:hint="eastAsia" w:ascii="仿宋_GB2312" w:eastAsia="仿宋_GB2312"/>
                <w:color w:val="000000"/>
                <w:sz w:val="24"/>
                <w:szCs w:val="24"/>
              </w:rPr>
              <w:t>分局机关办公楼维修工程</w:t>
            </w:r>
          </w:p>
        </w:tc>
        <w:tc>
          <w:tcPr>
            <w:tcW w:w="236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both"/>
              <w:textAlignment w:val="center"/>
              <w:rPr>
                <w:rFonts w:hint="eastAsia" w:ascii="仿宋_GB2312" w:eastAsia="仿宋_GB2312"/>
                <w:color w:val="000000"/>
                <w:sz w:val="24"/>
                <w:szCs w:val="24"/>
              </w:rPr>
            </w:pPr>
            <w:r>
              <w:rPr>
                <w:rFonts w:hint="eastAsia" w:ascii="仿宋_GB2312" w:eastAsia="仿宋_GB2312"/>
                <w:color w:val="000000"/>
                <w:sz w:val="24"/>
                <w:szCs w:val="24"/>
              </w:rPr>
              <w:t>分局办公楼建筑面积1230.59平方米，房屋老化，墙体开裂，室内墙体脱落进行全面维修。</w:t>
            </w:r>
          </w:p>
        </w:tc>
        <w:tc>
          <w:tcPr>
            <w:tcW w:w="216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both"/>
              <w:textAlignment w:val="center"/>
              <w:rPr>
                <w:rFonts w:hint="eastAsia" w:ascii="仿宋_GB2312" w:eastAsia="仿宋_GB2312"/>
                <w:color w:val="000000"/>
                <w:sz w:val="24"/>
                <w:szCs w:val="24"/>
              </w:rPr>
            </w:pPr>
            <w:r>
              <w:rPr>
                <w:rFonts w:hint="eastAsia" w:ascii="仿宋_GB2312" w:eastAsia="仿宋_GB2312"/>
                <w:color w:val="000000"/>
                <w:sz w:val="24"/>
                <w:szCs w:val="24"/>
              </w:rPr>
              <w:t>粉刷办公楼外墙体，对楼顶、平台墙面进行防水处理及保温层改造，内墙脱落污染部分铲除重新粉刷，保障分局办公正常运转。</w:t>
            </w:r>
          </w:p>
        </w:tc>
      </w:tr>
      <w:tr>
        <w:tblPrEx>
          <w:tblLayout w:type="fixed"/>
          <w:tblCellMar>
            <w:top w:w="0" w:type="dxa"/>
            <w:left w:w="0" w:type="dxa"/>
            <w:bottom w:w="0" w:type="dxa"/>
            <w:right w:w="0" w:type="dxa"/>
          </w:tblCellMar>
        </w:tblPrEx>
        <w:trPr>
          <w:trHeight w:val="542"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_GB2312" w:eastAsia="仿宋_GB2312"/>
                <w:color w:val="000000"/>
                <w:sz w:val="24"/>
                <w:szCs w:val="24"/>
              </w:rPr>
            </w:pPr>
          </w:p>
        </w:tc>
        <w:tc>
          <w:tcPr>
            <w:tcW w:w="567"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olor w:val="000000"/>
                <w:sz w:val="24"/>
                <w:szCs w:val="24"/>
              </w:rPr>
            </w:pPr>
            <w:r>
              <w:rPr>
                <w:rFonts w:hint="eastAsia" w:ascii="仿宋_GB2312" w:hAnsi="宋体" w:eastAsia="仿宋_GB2312"/>
                <w:color w:val="000000"/>
                <w:kern w:val="0"/>
                <w:sz w:val="24"/>
                <w:szCs w:val="24"/>
              </w:rPr>
              <w:t>项目完成指标</w:t>
            </w:r>
          </w:p>
        </w:tc>
        <w:tc>
          <w:tcPr>
            <w:tcW w:w="105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olor w:val="000000"/>
                <w:sz w:val="24"/>
                <w:szCs w:val="24"/>
              </w:rPr>
            </w:pPr>
            <w:r>
              <w:rPr>
                <w:rFonts w:hint="eastAsia" w:ascii="仿宋_GB2312" w:eastAsia="仿宋_GB2312"/>
                <w:color w:val="000000"/>
                <w:sz w:val="24"/>
                <w:szCs w:val="24"/>
              </w:rPr>
              <w:t>时效指标</w:t>
            </w:r>
          </w:p>
        </w:tc>
        <w:tc>
          <w:tcPr>
            <w:tcW w:w="177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both"/>
              <w:textAlignment w:val="center"/>
              <w:rPr>
                <w:rFonts w:hint="eastAsia" w:ascii="仿宋_GB2312" w:eastAsia="仿宋_GB2312"/>
                <w:color w:val="000000"/>
                <w:sz w:val="24"/>
                <w:szCs w:val="24"/>
              </w:rPr>
            </w:pPr>
            <w:r>
              <w:rPr>
                <w:rFonts w:hint="eastAsia" w:ascii="仿宋_GB2312" w:eastAsia="仿宋_GB2312"/>
                <w:color w:val="000000"/>
                <w:sz w:val="24"/>
                <w:szCs w:val="24"/>
              </w:rPr>
              <w:t>分局机关办公楼维修工程</w:t>
            </w:r>
          </w:p>
        </w:tc>
        <w:tc>
          <w:tcPr>
            <w:tcW w:w="236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both"/>
              <w:textAlignment w:val="center"/>
              <w:rPr>
                <w:rFonts w:hint="eastAsia" w:ascii="仿宋_GB2312" w:eastAsia="仿宋_GB2312"/>
                <w:color w:val="000000"/>
                <w:sz w:val="24"/>
                <w:szCs w:val="24"/>
              </w:rPr>
            </w:pPr>
            <w:r>
              <w:rPr>
                <w:rFonts w:hint="eastAsia" w:ascii="仿宋_GB2312" w:eastAsia="仿宋_GB2312"/>
                <w:color w:val="000000"/>
                <w:sz w:val="24"/>
                <w:szCs w:val="24"/>
              </w:rPr>
              <w:t>开工时间：2018年4月10日</w:t>
            </w:r>
          </w:p>
          <w:p>
            <w:pPr>
              <w:widowControl/>
              <w:jc w:val="both"/>
              <w:textAlignment w:val="center"/>
              <w:rPr>
                <w:rFonts w:hint="eastAsia" w:ascii="仿宋_GB2312" w:eastAsia="仿宋_GB2312"/>
                <w:color w:val="000000"/>
                <w:sz w:val="24"/>
                <w:szCs w:val="24"/>
              </w:rPr>
            </w:pPr>
            <w:r>
              <w:rPr>
                <w:rFonts w:hint="eastAsia" w:ascii="仿宋_GB2312" w:eastAsia="仿宋_GB2312"/>
                <w:color w:val="000000"/>
                <w:sz w:val="24"/>
                <w:szCs w:val="24"/>
              </w:rPr>
              <w:t>竣工时间：2018年5月28日</w:t>
            </w:r>
          </w:p>
        </w:tc>
        <w:tc>
          <w:tcPr>
            <w:tcW w:w="216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both"/>
              <w:textAlignment w:val="center"/>
              <w:rPr>
                <w:rFonts w:ascii="仿宋_GB2312" w:eastAsia="仿宋_GB2312"/>
                <w:color w:val="000000"/>
                <w:sz w:val="24"/>
                <w:szCs w:val="24"/>
              </w:rPr>
            </w:pPr>
          </w:p>
          <w:p>
            <w:pPr>
              <w:widowControl/>
              <w:jc w:val="both"/>
              <w:textAlignment w:val="center"/>
              <w:rPr>
                <w:rFonts w:hint="eastAsia" w:ascii="仿宋_GB2312" w:eastAsia="仿宋_GB2312"/>
                <w:color w:val="000000"/>
                <w:sz w:val="24"/>
                <w:szCs w:val="24"/>
              </w:rPr>
            </w:pPr>
            <w:r>
              <w:rPr>
                <w:rFonts w:hint="eastAsia" w:ascii="仿宋_GB2312" w:eastAsia="仿宋_GB2312"/>
                <w:color w:val="000000"/>
                <w:sz w:val="24"/>
                <w:szCs w:val="24"/>
              </w:rPr>
              <w:t>按期竣工</w:t>
            </w:r>
          </w:p>
        </w:tc>
      </w:tr>
      <w:tr>
        <w:tblPrEx>
          <w:tblLayout w:type="fixed"/>
          <w:tblCellMar>
            <w:top w:w="0" w:type="dxa"/>
            <w:left w:w="0" w:type="dxa"/>
            <w:bottom w:w="0" w:type="dxa"/>
            <w:right w:w="0" w:type="dxa"/>
          </w:tblCellMar>
        </w:tblPrEx>
        <w:trPr>
          <w:trHeight w:val="1042"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_GB2312" w:eastAsia="仿宋_GB2312"/>
                <w:color w:val="000000"/>
                <w:sz w:val="24"/>
                <w:szCs w:val="24"/>
              </w:rPr>
            </w:pPr>
          </w:p>
        </w:tc>
        <w:tc>
          <w:tcPr>
            <w:tcW w:w="567"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olor w:val="000000"/>
                <w:kern w:val="0"/>
                <w:sz w:val="24"/>
                <w:szCs w:val="24"/>
              </w:rPr>
            </w:pPr>
            <w:r>
              <w:rPr>
                <w:rFonts w:hint="eastAsia" w:ascii="仿宋_GB2312" w:hAnsi="宋体" w:eastAsia="仿宋_GB2312"/>
                <w:color w:val="000000"/>
                <w:kern w:val="0"/>
                <w:sz w:val="24"/>
                <w:szCs w:val="24"/>
              </w:rPr>
              <w:t>项目完成指标</w:t>
            </w:r>
          </w:p>
        </w:tc>
        <w:tc>
          <w:tcPr>
            <w:tcW w:w="105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olor w:val="000000"/>
                <w:sz w:val="24"/>
                <w:szCs w:val="24"/>
              </w:rPr>
            </w:pPr>
            <w:r>
              <w:rPr>
                <w:rFonts w:hint="eastAsia" w:ascii="仿宋_GB2312" w:eastAsia="仿宋_GB2312"/>
                <w:color w:val="000000"/>
                <w:sz w:val="24"/>
                <w:szCs w:val="24"/>
              </w:rPr>
              <w:t>成本指标</w:t>
            </w:r>
          </w:p>
        </w:tc>
        <w:tc>
          <w:tcPr>
            <w:tcW w:w="177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both"/>
              <w:textAlignment w:val="center"/>
              <w:rPr>
                <w:rFonts w:hint="eastAsia" w:ascii="仿宋_GB2312" w:eastAsia="仿宋_GB2312"/>
                <w:color w:val="000000"/>
                <w:sz w:val="24"/>
                <w:szCs w:val="24"/>
              </w:rPr>
            </w:pPr>
            <w:r>
              <w:rPr>
                <w:rFonts w:hint="eastAsia" w:ascii="仿宋_GB2312" w:eastAsia="仿宋_GB2312"/>
                <w:color w:val="000000"/>
                <w:sz w:val="24"/>
                <w:szCs w:val="24"/>
              </w:rPr>
              <w:t>分局机关办公楼维修工程</w:t>
            </w:r>
          </w:p>
        </w:tc>
        <w:tc>
          <w:tcPr>
            <w:tcW w:w="236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both"/>
              <w:textAlignment w:val="center"/>
              <w:rPr>
                <w:rFonts w:hint="eastAsia" w:ascii="仿宋_GB2312" w:eastAsia="仿宋_GB2312"/>
                <w:color w:val="000000"/>
                <w:sz w:val="24"/>
                <w:szCs w:val="24"/>
              </w:rPr>
            </w:pPr>
            <w:r>
              <w:rPr>
                <w:rFonts w:hint="eastAsia" w:ascii="仿宋_GB2312" w:eastAsia="仿宋_GB2312"/>
                <w:color w:val="000000"/>
                <w:sz w:val="24"/>
                <w:szCs w:val="24"/>
              </w:rPr>
              <w:t>按竣工决算审计金额支付</w:t>
            </w:r>
          </w:p>
        </w:tc>
        <w:tc>
          <w:tcPr>
            <w:tcW w:w="216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both"/>
              <w:textAlignment w:val="center"/>
              <w:rPr>
                <w:rFonts w:hint="eastAsia" w:ascii="仿宋_GB2312" w:eastAsia="仿宋_GB2312"/>
                <w:color w:val="000000"/>
                <w:sz w:val="24"/>
                <w:szCs w:val="24"/>
              </w:rPr>
            </w:pPr>
            <w:r>
              <w:rPr>
                <w:rFonts w:hint="eastAsia" w:ascii="仿宋_GB2312" w:eastAsia="仿宋_GB2312"/>
                <w:color w:val="000000"/>
                <w:sz w:val="24"/>
                <w:szCs w:val="24"/>
              </w:rPr>
              <w:t>按竣工决算审计金额支付：建筑与装饰工程171336.03元</w:t>
            </w:r>
          </w:p>
          <w:p>
            <w:pPr>
              <w:widowControl/>
              <w:jc w:val="both"/>
              <w:textAlignment w:val="center"/>
              <w:rPr>
                <w:rFonts w:hint="eastAsia" w:ascii="仿宋_GB2312" w:eastAsia="仿宋_GB2312"/>
                <w:color w:val="000000"/>
                <w:sz w:val="24"/>
                <w:szCs w:val="24"/>
              </w:rPr>
            </w:pPr>
            <w:r>
              <w:rPr>
                <w:rFonts w:hint="eastAsia" w:ascii="仿宋_GB2312" w:eastAsia="仿宋_GB2312"/>
                <w:color w:val="000000"/>
                <w:sz w:val="24"/>
                <w:szCs w:val="24"/>
              </w:rPr>
              <w:t>新增项目：12784.46元</w:t>
            </w:r>
          </w:p>
        </w:tc>
      </w:tr>
      <w:tr>
        <w:tblPrEx>
          <w:tblLayout w:type="fixed"/>
          <w:tblCellMar>
            <w:top w:w="0" w:type="dxa"/>
            <w:left w:w="0" w:type="dxa"/>
            <w:bottom w:w="0" w:type="dxa"/>
            <w:right w:w="0" w:type="dxa"/>
          </w:tblCellMar>
        </w:tblPrEx>
        <w:trPr>
          <w:trHeight w:val="957"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_GB2312" w:eastAsia="仿宋_GB2312"/>
                <w:color w:val="000000"/>
                <w:sz w:val="24"/>
                <w:szCs w:val="24"/>
              </w:rPr>
            </w:pPr>
          </w:p>
        </w:tc>
        <w:tc>
          <w:tcPr>
            <w:tcW w:w="567"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olor w:val="000000"/>
                <w:sz w:val="24"/>
                <w:szCs w:val="24"/>
              </w:rPr>
            </w:pPr>
            <w:r>
              <w:rPr>
                <w:rFonts w:hint="eastAsia" w:ascii="仿宋_GB2312" w:hAnsi="宋体" w:eastAsia="仿宋_GB2312"/>
                <w:color w:val="000000"/>
                <w:kern w:val="0"/>
                <w:sz w:val="24"/>
                <w:szCs w:val="24"/>
              </w:rPr>
              <w:t>效益指标</w:t>
            </w:r>
          </w:p>
        </w:tc>
        <w:tc>
          <w:tcPr>
            <w:tcW w:w="105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olor w:val="000000"/>
                <w:sz w:val="24"/>
                <w:szCs w:val="24"/>
              </w:rPr>
            </w:pPr>
            <w:r>
              <w:rPr>
                <w:rFonts w:hint="eastAsia" w:ascii="仿宋_GB2312" w:eastAsia="仿宋_GB2312"/>
                <w:color w:val="000000"/>
                <w:sz w:val="24"/>
                <w:szCs w:val="24"/>
              </w:rPr>
              <w:t>经济效益指标</w:t>
            </w:r>
          </w:p>
        </w:tc>
        <w:tc>
          <w:tcPr>
            <w:tcW w:w="177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both"/>
              <w:textAlignment w:val="center"/>
              <w:rPr>
                <w:rFonts w:hint="eastAsia" w:ascii="仿宋_GB2312" w:eastAsia="仿宋_GB2312"/>
                <w:color w:val="000000"/>
                <w:sz w:val="24"/>
                <w:szCs w:val="24"/>
              </w:rPr>
            </w:pPr>
            <w:r>
              <w:rPr>
                <w:rFonts w:hint="eastAsia" w:ascii="仿宋_GB2312" w:eastAsia="仿宋_GB2312"/>
                <w:color w:val="000000"/>
                <w:sz w:val="24"/>
                <w:szCs w:val="24"/>
              </w:rPr>
              <w:t>分局机关办公楼维修工程</w:t>
            </w:r>
          </w:p>
        </w:tc>
        <w:tc>
          <w:tcPr>
            <w:tcW w:w="236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both"/>
              <w:textAlignment w:val="center"/>
              <w:rPr>
                <w:rFonts w:hint="eastAsia" w:ascii="仿宋_GB2312" w:eastAsia="仿宋_GB2312"/>
                <w:color w:val="000000"/>
                <w:sz w:val="24"/>
                <w:szCs w:val="24"/>
              </w:rPr>
            </w:pPr>
            <w:r>
              <w:rPr>
                <w:rFonts w:hint="eastAsia" w:ascii="仿宋_GB2312" w:eastAsia="仿宋_GB2312"/>
                <w:color w:val="000000"/>
                <w:sz w:val="24"/>
                <w:szCs w:val="24"/>
              </w:rPr>
              <w:t>保障分局办公正常运转</w:t>
            </w:r>
          </w:p>
        </w:tc>
        <w:tc>
          <w:tcPr>
            <w:tcW w:w="216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both"/>
              <w:textAlignment w:val="center"/>
              <w:rPr>
                <w:rFonts w:hint="eastAsia" w:ascii="仿宋_GB2312" w:eastAsia="仿宋_GB2312"/>
                <w:color w:val="000000"/>
                <w:sz w:val="24"/>
                <w:szCs w:val="24"/>
              </w:rPr>
            </w:pPr>
            <w:r>
              <w:rPr>
                <w:rFonts w:hint="eastAsia" w:ascii="仿宋_GB2312" w:eastAsia="仿宋_GB2312"/>
                <w:color w:val="000000"/>
                <w:sz w:val="24"/>
                <w:szCs w:val="24"/>
              </w:rPr>
              <w:t>保障分局办公正常运转</w:t>
            </w:r>
          </w:p>
        </w:tc>
      </w:tr>
      <w:tr>
        <w:tblPrEx>
          <w:tblLayout w:type="fixed"/>
          <w:tblCellMar>
            <w:top w:w="0" w:type="dxa"/>
            <w:left w:w="0" w:type="dxa"/>
            <w:bottom w:w="0" w:type="dxa"/>
            <w:right w:w="0" w:type="dxa"/>
          </w:tblCellMar>
        </w:tblPrEx>
        <w:trPr>
          <w:trHeight w:val="1189"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_GB2312" w:eastAsia="仿宋_GB2312"/>
                <w:color w:val="000000"/>
                <w:sz w:val="24"/>
                <w:szCs w:val="24"/>
              </w:rPr>
            </w:pPr>
          </w:p>
        </w:tc>
        <w:tc>
          <w:tcPr>
            <w:tcW w:w="567"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olor w:val="000000"/>
                <w:sz w:val="24"/>
                <w:szCs w:val="24"/>
              </w:rPr>
            </w:pPr>
            <w:r>
              <w:rPr>
                <w:rFonts w:hint="eastAsia" w:ascii="仿宋_GB2312" w:hAnsi="宋体" w:eastAsia="仿宋_GB2312"/>
                <w:color w:val="000000"/>
                <w:kern w:val="0"/>
                <w:sz w:val="24"/>
                <w:szCs w:val="24"/>
              </w:rPr>
              <w:t>效益指标</w:t>
            </w:r>
          </w:p>
        </w:tc>
        <w:tc>
          <w:tcPr>
            <w:tcW w:w="105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olor w:val="000000"/>
                <w:sz w:val="24"/>
                <w:szCs w:val="24"/>
              </w:rPr>
            </w:pPr>
            <w:r>
              <w:rPr>
                <w:rFonts w:hint="eastAsia" w:ascii="仿宋_GB2312" w:eastAsia="仿宋_GB2312"/>
                <w:color w:val="000000"/>
                <w:sz w:val="24"/>
                <w:szCs w:val="24"/>
              </w:rPr>
              <w:t>社会效益指标</w:t>
            </w:r>
          </w:p>
        </w:tc>
        <w:tc>
          <w:tcPr>
            <w:tcW w:w="177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both"/>
              <w:textAlignment w:val="center"/>
              <w:rPr>
                <w:rFonts w:hint="eastAsia" w:ascii="仿宋_GB2312" w:eastAsia="仿宋_GB2312"/>
                <w:color w:val="000000"/>
                <w:sz w:val="24"/>
                <w:szCs w:val="24"/>
              </w:rPr>
            </w:pPr>
            <w:r>
              <w:rPr>
                <w:rFonts w:hint="eastAsia" w:ascii="仿宋_GB2312" w:eastAsia="仿宋_GB2312"/>
                <w:color w:val="000000"/>
                <w:sz w:val="24"/>
                <w:szCs w:val="24"/>
              </w:rPr>
              <w:t>分局机关办公楼维修工程</w:t>
            </w:r>
          </w:p>
        </w:tc>
        <w:tc>
          <w:tcPr>
            <w:tcW w:w="236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both"/>
              <w:textAlignment w:val="center"/>
              <w:rPr>
                <w:rFonts w:hint="eastAsia" w:ascii="仿宋_GB2312" w:eastAsia="仿宋_GB2312"/>
                <w:color w:val="000000"/>
                <w:sz w:val="24"/>
                <w:szCs w:val="24"/>
              </w:rPr>
            </w:pPr>
            <w:r>
              <w:rPr>
                <w:rFonts w:hint="eastAsia" w:ascii="仿宋_GB2312" w:eastAsia="仿宋_GB2312"/>
                <w:color w:val="000000"/>
                <w:sz w:val="24"/>
                <w:szCs w:val="24"/>
              </w:rPr>
              <w:t>促进各项工作顺利开展</w:t>
            </w:r>
          </w:p>
        </w:tc>
        <w:tc>
          <w:tcPr>
            <w:tcW w:w="216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both"/>
              <w:textAlignment w:val="center"/>
              <w:rPr>
                <w:rFonts w:hint="eastAsia" w:ascii="仿宋_GB2312" w:eastAsia="仿宋_GB2312"/>
                <w:color w:val="000000"/>
                <w:sz w:val="24"/>
                <w:szCs w:val="24"/>
              </w:rPr>
            </w:pPr>
            <w:r>
              <w:rPr>
                <w:rFonts w:hint="eastAsia" w:ascii="仿宋_GB2312" w:eastAsia="仿宋_GB2312"/>
                <w:color w:val="000000"/>
                <w:sz w:val="24"/>
                <w:szCs w:val="24"/>
              </w:rPr>
              <w:t>促进各项工作顺利开展</w:t>
            </w:r>
          </w:p>
        </w:tc>
      </w:tr>
      <w:tr>
        <w:tblPrEx>
          <w:tblLayout w:type="fixed"/>
          <w:tblCellMar>
            <w:top w:w="0" w:type="dxa"/>
            <w:left w:w="0" w:type="dxa"/>
            <w:bottom w:w="0" w:type="dxa"/>
            <w:right w:w="0" w:type="dxa"/>
          </w:tblCellMar>
        </w:tblPrEx>
        <w:trPr>
          <w:trHeight w:val="972"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_GB2312" w:eastAsia="仿宋_GB2312"/>
                <w:color w:val="000000"/>
                <w:sz w:val="24"/>
                <w:szCs w:val="24"/>
              </w:rPr>
            </w:pPr>
          </w:p>
        </w:tc>
        <w:tc>
          <w:tcPr>
            <w:tcW w:w="567"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olor w:val="000000"/>
                <w:kern w:val="0"/>
                <w:sz w:val="24"/>
                <w:szCs w:val="24"/>
              </w:rPr>
            </w:pPr>
            <w:r>
              <w:rPr>
                <w:rFonts w:hint="eastAsia" w:ascii="仿宋_GB2312" w:hAnsi="宋体" w:eastAsia="仿宋_GB2312"/>
                <w:color w:val="000000"/>
                <w:kern w:val="0"/>
                <w:sz w:val="24"/>
                <w:szCs w:val="24"/>
              </w:rPr>
              <w:t>效益指标</w:t>
            </w:r>
          </w:p>
        </w:tc>
        <w:tc>
          <w:tcPr>
            <w:tcW w:w="105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olor w:val="000000"/>
                <w:sz w:val="24"/>
                <w:szCs w:val="24"/>
              </w:rPr>
            </w:pPr>
            <w:r>
              <w:rPr>
                <w:rFonts w:hint="eastAsia" w:ascii="仿宋_GB2312" w:eastAsia="仿宋_GB2312"/>
                <w:color w:val="000000"/>
                <w:sz w:val="24"/>
                <w:szCs w:val="24"/>
              </w:rPr>
              <w:t>生态效益指标</w:t>
            </w:r>
          </w:p>
        </w:tc>
        <w:tc>
          <w:tcPr>
            <w:tcW w:w="177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both"/>
              <w:textAlignment w:val="center"/>
              <w:rPr>
                <w:rFonts w:hint="eastAsia" w:ascii="仿宋_GB2312" w:eastAsia="仿宋_GB2312"/>
                <w:color w:val="000000"/>
                <w:sz w:val="24"/>
                <w:szCs w:val="24"/>
              </w:rPr>
            </w:pPr>
            <w:r>
              <w:rPr>
                <w:rFonts w:hint="eastAsia" w:ascii="仿宋_GB2312" w:eastAsia="仿宋_GB2312"/>
                <w:color w:val="000000"/>
                <w:sz w:val="24"/>
                <w:szCs w:val="24"/>
              </w:rPr>
              <w:t>分局机关办公楼维修工程</w:t>
            </w:r>
          </w:p>
        </w:tc>
        <w:tc>
          <w:tcPr>
            <w:tcW w:w="236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both"/>
              <w:textAlignment w:val="center"/>
              <w:rPr>
                <w:rFonts w:hint="eastAsia" w:ascii="仿宋_GB2312" w:eastAsia="仿宋_GB2312"/>
                <w:color w:val="000000"/>
                <w:sz w:val="24"/>
                <w:szCs w:val="24"/>
              </w:rPr>
            </w:pPr>
            <w:r>
              <w:rPr>
                <w:rFonts w:hint="eastAsia" w:ascii="仿宋_GB2312" w:eastAsia="仿宋_GB2312"/>
                <w:color w:val="000000"/>
                <w:sz w:val="24"/>
                <w:szCs w:val="24"/>
              </w:rPr>
              <w:t>节能环保</w:t>
            </w:r>
          </w:p>
        </w:tc>
        <w:tc>
          <w:tcPr>
            <w:tcW w:w="216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both"/>
              <w:textAlignment w:val="center"/>
              <w:rPr>
                <w:rFonts w:hint="eastAsia" w:ascii="仿宋_GB2312" w:eastAsia="仿宋_GB2312"/>
                <w:color w:val="000000"/>
                <w:sz w:val="24"/>
                <w:szCs w:val="24"/>
              </w:rPr>
            </w:pPr>
            <w:r>
              <w:rPr>
                <w:rFonts w:hint="eastAsia" w:ascii="仿宋_GB2312" w:eastAsia="仿宋_GB2312"/>
                <w:color w:val="000000"/>
                <w:sz w:val="24"/>
                <w:szCs w:val="24"/>
              </w:rPr>
              <w:t>节能环保</w:t>
            </w:r>
          </w:p>
        </w:tc>
      </w:tr>
      <w:tr>
        <w:tblPrEx>
          <w:tblLayout w:type="fixed"/>
          <w:tblCellMar>
            <w:top w:w="0" w:type="dxa"/>
            <w:left w:w="0" w:type="dxa"/>
            <w:bottom w:w="0" w:type="dxa"/>
            <w:right w:w="0" w:type="dxa"/>
          </w:tblCellMar>
        </w:tblPrEx>
        <w:trPr>
          <w:trHeight w:val="830"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_GB2312" w:eastAsia="仿宋_GB2312"/>
                <w:color w:val="000000"/>
                <w:sz w:val="24"/>
                <w:szCs w:val="24"/>
              </w:rPr>
            </w:pPr>
          </w:p>
        </w:tc>
        <w:tc>
          <w:tcPr>
            <w:tcW w:w="567"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olor w:val="000000"/>
                <w:kern w:val="0"/>
                <w:sz w:val="24"/>
                <w:szCs w:val="24"/>
              </w:rPr>
            </w:pPr>
            <w:r>
              <w:rPr>
                <w:rFonts w:hint="eastAsia" w:ascii="仿宋_GB2312" w:hAnsi="宋体" w:eastAsia="仿宋_GB2312"/>
                <w:color w:val="000000"/>
                <w:kern w:val="0"/>
                <w:sz w:val="24"/>
                <w:szCs w:val="24"/>
              </w:rPr>
              <w:t>效益指标</w:t>
            </w:r>
          </w:p>
        </w:tc>
        <w:tc>
          <w:tcPr>
            <w:tcW w:w="105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olor w:val="000000"/>
                <w:sz w:val="24"/>
                <w:szCs w:val="24"/>
              </w:rPr>
            </w:pPr>
            <w:r>
              <w:rPr>
                <w:rFonts w:hint="eastAsia" w:ascii="仿宋_GB2312" w:eastAsia="仿宋_GB2312"/>
                <w:color w:val="000000"/>
                <w:sz w:val="24"/>
                <w:szCs w:val="24"/>
              </w:rPr>
              <w:t>可持续影响指标</w:t>
            </w:r>
          </w:p>
        </w:tc>
        <w:tc>
          <w:tcPr>
            <w:tcW w:w="177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both"/>
              <w:textAlignment w:val="center"/>
              <w:rPr>
                <w:rFonts w:hint="eastAsia" w:ascii="仿宋_GB2312" w:eastAsia="仿宋_GB2312"/>
                <w:color w:val="000000"/>
                <w:sz w:val="24"/>
                <w:szCs w:val="24"/>
              </w:rPr>
            </w:pPr>
            <w:r>
              <w:rPr>
                <w:rFonts w:hint="eastAsia" w:ascii="仿宋_GB2312" w:eastAsia="仿宋_GB2312"/>
                <w:color w:val="000000"/>
                <w:sz w:val="24"/>
                <w:szCs w:val="24"/>
              </w:rPr>
              <w:t>使用年限</w:t>
            </w:r>
          </w:p>
        </w:tc>
        <w:tc>
          <w:tcPr>
            <w:tcW w:w="236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olor w:val="000000"/>
                <w:sz w:val="24"/>
                <w:szCs w:val="24"/>
              </w:rPr>
            </w:pPr>
            <w:r>
              <w:rPr>
                <w:rFonts w:hint="eastAsia" w:ascii="仿宋_GB2312" w:eastAsia="仿宋_GB2312"/>
                <w:color w:val="000000"/>
                <w:sz w:val="24"/>
                <w:szCs w:val="24"/>
              </w:rPr>
              <w:t>≥10年</w:t>
            </w:r>
          </w:p>
        </w:tc>
        <w:tc>
          <w:tcPr>
            <w:tcW w:w="216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olor w:val="000000"/>
                <w:sz w:val="24"/>
                <w:szCs w:val="24"/>
              </w:rPr>
            </w:pPr>
            <w:r>
              <w:rPr>
                <w:rFonts w:hint="eastAsia" w:ascii="仿宋_GB2312" w:eastAsia="仿宋_GB2312"/>
                <w:color w:val="000000"/>
                <w:sz w:val="24"/>
                <w:szCs w:val="24"/>
              </w:rPr>
              <w:t>≥10年</w:t>
            </w:r>
          </w:p>
        </w:tc>
      </w:tr>
      <w:tr>
        <w:tblPrEx>
          <w:tblLayout w:type="fixed"/>
          <w:tblCellMar>
            <w:top w:w="0" w:type="dxa"/>
            <w:left w:w="0" w:type="dxa"/>
            <w:bottom w:w="0" w:type="dxa"/>
            <w:right w:w="0" w:type="dxa"/>
          </w:tblCellMar>
        </w:tblPrEx>
        <w:trPr>
          <w:trHeight w:val="1050"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_GB2312" w:eastAsia="仿宋_GB2312"/>
                <w:color w:val="000000"/>
                <w:sz w:val="24"/>
                <w:szCs w:val="24"/>
              </w:rPr>
            </w:pPr>
          </w:p>
        </w:tc>
        <w:tc>
          <w:tcPr>
            <w:tcW w:w="567"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hAnsi="宋体" w:eastAsia="仿宋_GB2312"/>
                <w:color w:val="000000"/>
                <w:kern w:val="0"/>
                <w:sz w:val="24"/>
                <w:szCs w:val="24"/>
              </w:rPr>
            </w:pPr>
            <w:r>
              <w:rPr>
                <w:rFonts w:hint="eastAsia" w:ascii="仿宋_GB2312" w:hAnsi="宋体" w:eastAsia="仿宋_GB2312"/>
                <w:color w:val="000000"/>
                <w:kern w:val="0"/>
                <w:sz w:val="24"/>
                <w:szCs w:val="24"/>
              </w:rPr>
              <w:t>满意度指标</w:t>
            </w:r>
          </w:p>
        </w:tc>
        <w:tc>
          <w:tcPr>
            <w:tcW w:w="105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olor w:val="000000"/>
                <w:sz w:val="24"/>
                <w:szCs w:val="24"/>
              </w:rPr>
            </w:pPr>
            <w:r>
              <w:rPr>
                <w:rFonts w:hint="eastAsia" w:ascii="仿宋_GB2312" w:hAnsi="宋体" w:eastAsia="仿宋_GB2312"/>
                <w:color w:val="000000"/>
                <w:kern w:val="0"/>
                <w:sz w:val="24"/>
                <w:szCs w:val="24"/>
              </w:rPr>
              <w:t>满意度指标</w:t>
            </w:r>
          </w:p>
        </w:tc>
        <w:tc>
          <w:tcPr>
            <w:tcW w:w="177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both"/>
              <w:textAlignment w:val="center"/>
              <w:rPr>
                <w:rFonts w:hint="eastAsia" w:ascii="仿宋_GB2312" w:eastAsia="仿宋_GB2312"/>
                <w:color w:val="000000"/>
                <w:sz w:val="24"/>
                <w:szCs w:val="24"/>
              </w:rPr>
            </w:pPr>
            <w:r>
              <w:rPr>
                <w:rFonts w:hint="eastAsia" w:ascii="仿宋_GB2312" w:eastAsia="仿宋_GB2312"/>
                <w:color w:val="000000"/>
                <w:sz w:val="24"/>
                <w:szCs w:val="24"/>
              </w:rPr>
              <w:t>政府部门满意度</w:t>
            </w:r>
          </w:p>
        </w:tc>
        <w:tc>
          <w:tcPr>
            <w:tcW w:w="236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olor w:val="000000"/>
                <w:sz w:val="24"/>
                <w:szCs w:val="24"/>
              </w:rPr>
            </w:pPr>
            <w:r>
              <w:rPr>
                <w:rFonts w:hint="eastAsia" w:ascii="仿宋_GB2312" w:eastAsia="仿宋_GB2312"/>
                <w:color w:val="000000"/>
                <w:sz w:val="24"/>
                <w:szCs w:val="24"/>
              </w:rPr>
              <w:t>95%</w:t>
            </w:r>
          </w:p>
        </w:tc>
        <w:tc>
          <w:tcPr>
            <w:tcW w:w="216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olor w:val="000000"/>
                <w:sz w:val="24"/>
                <w:szCs w:val="24"/>
              </w:rPr>
            </w:pPr>
            <w:r>
              <w:rPr>
                <w:rFonts w:hint="eastAsia" w:ascii="仿宋_GB2312" w:eastAsia="仿宋_GB2312"/>
                <w:color w:val="000000"/>
                <w:sz w:val="24"/>
                <w:szCs w:val="24"/>
              </w:rPr>
              <w:t>95%</w:t>
            </w:r>
          </w:p>
        </w:tc>
      </w:tr>
      <w:tr>
        <w:tblPrEx>
          <w:tblLayout w:type="fixed"/>
          <w:tblCellMar>
            <w:top w:w="0" w:type="dxa"/>
            <w:left w:w="0" w:type="dxa"/>
            <w:bottom w:w="0" w:type="dxa"/>
            <w:right w:w="0" w:type="dxa"/>
          </w:tblCellMar>
        </w:tblPrEx>
        <w:trPr>
          <w:trHeight w:val="1050"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_GB2312" w:eastAsia="仿宋_GB2312"/>
                <w:color w:val="000000"/>
                <w:sz w:val="24"/>
                <w:szCs w:val="24"/>
              </w:rPr>
            </w:pPr>
          </w:p>
        </w:tc>
        <w:tc>
          <w:tcPr>
            <w:tcW w:w="567"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olor w:val="000000"/>
                <w:sz w:val="24"/>
                <w:szCs w:val="24"/>
              </w:rPr>
            </w:pPr>
            <w:r>
              <w:rPr>
                <w:rFonts w:hint="eastAsia" w:ascii="仿宋_GB2312" w:hAnsi="宋体" w:eastAsia="仿宋_GB2312"/>
                <w:color w:val="000000"/>
                <w:kern w:val="0"/>
                <w:sz w:val="24"/>
                <w:szCs w:val="24"/>
              </w:rPr>
              <w:t>满意度指标</w:t>
            </w:r>
          </w:p>
        </w:tc>
        <w:tc>
          <w:tcPr>
            <w:tcW w:w="1058"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olor w:val="000000"/>
                <w:sz w:val="24"/>
                <w:szCs w:val="24"/>
              </w:rPr>
            </w:pPr>
            <w:r>
              <w:rPr>
                <w:rFonts w:hint="eastAsia" w:ascii="仿宋_GB2312" w:hAnsi="宋体" w:eastAsia="仿宋_GB2312"/>
                <w:color w:val="000000"/>
                <w:kern w:val="0"/>
                <w:sz w:val="24"/>
                <w:szCs w:val="24"/>
              </w:rPr>
              <w:t>满意度指标</w:t>
            </w:r>
          </w:p>
        </w:tc>
        <w:tc>
          <w:tcPr>
            <w:tcW w:w="177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both"/>
              <w:textAlignment w:val="center"/>
              <w:rPr>
                <w:rFonts w:hint="eastAsia" w:ascii="仿宋_GB2312" w:eastAsia="仿宋_GB2312"/>
                <w:color w:val="000000"/>
                <w:sz w:val="24"/>
                <w:szCs w:val="24"/>
              </w:rPr>
            </w:pPr>
            <w:r>
              <w:rPr>
                <w:rFonts w:hint="eastAsia" w:ascii="仿宋_GB2312" w:eastAsia="仿宋_GB2312"/>
                <w:color w:val="000000"/>
                <w:sz w:val="24"/>
                <w:szCs w:val="24"/>
              </w:rPr>
              <w:t>社会满意度</w:t>
            </w:r>
          </w:p>
        </w:tc>
        <w:tc>
          <w:tcPr>
            <w:tcW w:w="236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olor w:val="000000"/>
                <w:sz w:val="24"/>
                <w:szCs w:val="24"/>
              </w:rPr>
            </w:pPr>
            <w:r>
              <w:rPr>
                <w:rFonts w:hint="eastAsia" w:ascii="仿宋_GB2312" w:eastAsia="仿宋_GB2312"/>
                <w:color w:val="000000"/>
                <w:sz w:val="24"/>
                <w:szCs w:val="24"/>
              </w:rPr>
              <w:t>95%</w:t>
            </w:r>
          </w:p>
        </w:tc>
        <w:tc>
          <w:tcPr>
            <w:tcW w:w="216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_GB2312" w:eastAsia="仿宋_GB2312"/>
                <w:color w:val="000000"/>
                <w:sz w:val="24"/>
                <w:szCs w:val="24"/>
              </w:rPr>
            </w:pPr>
            <w:r>
              <w:rPr>
                <w:rFonts w:hint="eastAsia" w:ascii="仿宋_GB2312" w:eastAsia="仿宋_GB2312"/>
                <w:color w:val="000000"/>
                <w:sz w:val="24"/>
                <w:szCs w:val="24"/>
              </w:rPr>
              <w:t>95%</w:t>
            </w:r>
          </w:p>
        </w:tc>
      </w:tr>
    </w:tbl>
    <w:p/>
    <w:tbl>
      <w:tblPr>
        <w:tblStyle w:val="20"/>
        <w:tblW w:w="8626" w:type="dxa"/>
        <w:tblInd w:w="135" w:type="dxa"/>
        <w:tblLayout w:type="fixed"/>
        <w:tblCellMar>
          <w:top w:w="0" w:type="dxa"/>
          <w:left w:w="0" w:type="dxa"/>
          <w:bottom w:w="0" w:type="dxa"/>
          <w:right w:w="0" w:type="dxa"/>
        </w:tblCellMar>
      </w:tblPr>
      <w:tblGrid>
        <w:gridCol w:w="731"/>
        <w:gridCol w:w="425"/>
        <w:gridCol w:w="142"/>
        <w:gridCol w:w="923"/>
        <w:gridCol w:w="270"/>
        <w:gridCol w:w="1785"/>
        <w:gridCol w:w="465"/>
        <w:gridCol w:w="1750"/>
        <w:gridCol w:w="65"/>
        <w:gridCol w:w="128"/>
        <w:gridCol w:w="1927"/>
        <w:gridCol w:w="15"/>
      </w:tblGrid>
      <w:tr>
        <w:tblPrEx>
          <w:tblLayout w:type="fixed"/>
          <w:tblCellMar>
            <w:top w:w="0" w:type="dxa"/>
            <w:left w:w="0" w:type="dxa"/>
            <w:bottom w:w="0" w:type="dxa"/>
            <w:right w:w="0" w:type="dxa"/>
          </w:tblCellMar>
        </w:tblPrEx>
        <w:trPr>
          <w:trHeight w:val="1034" w:hRule="atLeast"/>
        </w:trPr>
        <w:tc>
          <w:tcPr>
            <w:tcW w:w="8626" w:type="dxa"/>
            <w:gridSpan w:val="12"/>
            <w:tcBorders>
              <w:top w:val="nil"/>
              <w:left w:val="nil"/>
              <w:bottom w:val="nil"/>
              <w:right w:val="nil"/>
            </w:tcBorders>
            <w:tcMar>
              <w:top w:w="15" w:type="dxa"/>
              <w:left w:w="15" w:type="dxa"/>
              <w:bottom w:w="0" w:type="dxa"/>
              <w:right w:w="15" w:type="dxa"/>
            </w:tcMar>
            <w:vAlign w:val="center"/>
          </w:tcPr>
          <w:p>
            <w:pPr>
              <w:pStyle w:val="36"/>
              <w:widowControl/>
              <w:ind w:firstLine="0" w:firstLineChars="0"/>
              <w:jc w:val="center"/>
              <w:textAlignment w:val="center"/>
              <w:rPr>
                <w:rFonts w:ascii="宋体"/>
                <w:color w:val="000000"/>
                <w:sz w:val="36"/>
                <w:szCs w:val="36"/>
              </w:rPr>
            </w:pPr>
            <w:r>
              <w:rPr>
                <w:rFonts w:hint="eastAsia" w:ascii="黑体" w:hAnsi="黑体" w:eastAsia="黑体" w:cs="宋体"/>
                <w:color w:val="000000"/>
                <w:kern w:val="0"/>
                <w:sz w:val="36"/>
                <w:szCs w:val="36"/>
              </w:rPr>
              <w:t>项目支出绩效目标完成情况表</w:t>
            </w:r>
            <w:r>
              <w:rPr>
                <w:rFonts w:ascii="宋体"/>
                <w:b/>
                <w:bCs/>
                <w:color w:val="000000"/>
                <w:kern w:val="0"/>
                <w:sz w:val="36"/>
                <w:szCs w:val="36"/>
              </w:rPr>
              <w:br w:type="textWrapping"/>
            </w:r>
            <w:r>
              <w:rPr>
                <w:rFonts w:ascii="宋体" w:hAnsi="宋体"/>
                <w:color w:val="000000"/>
                <w:kern w:val="0"/>
                <w:sz w:val="36"/>
                <w:szCs w:val="36"/>
              </w:rPr>
              <w:t>(2018</w:t>
            </w:r>
            <w:r>
              <w:rPr>
                <w:rFonts w:hint="eastAsia" w:ascii="宋体" w:hAnsi="宋体"/>
                <w:color w:val="000000"/>
                <w:kern w:val="0"/>
                <w:sz w:val="36"/>
                <w:szCs w:val="36"/>
              </w:rPr>
              <w:t>年度</w:t>
            </w:r>
            <w:r>
              <w:rPr>
                <w:rFonts w:ascii="宋体" w:hAnsi="宋体"/>
                <w:color w:val="000000"/>
                <w:kern w:val="0"/>
                <w:sz w:val="36"/>
                <w:szCs w:val="36"/>
              </w:rPr>
              <w:t>)</w:t>
            </w:r>
          </w:p>
        </w:tc>
      </w:tr>
      <w:tr>
        <w:tblPrEx>
          <w:tblLayout w:type="fixed"/>
          <w:tblCellMar>
            <w:top w:w="0" w:type="dxa"/>
            <w:left w:w="0" w:type="dxa"/>
            <w:bottom w:w="0" w:type="dxa"/>
            <w:right w:w="0" w:type="dxa"/>
          </w:tblCellMar>
        </w:tblPrEx>
        <w:trPr>
          <w:trHeight w:val="276" w:hRule="atLeast"/>
        </w:trPr>
        <w:tc>
          <w:tcPr>
            <w:tcW w:w="2491" w:type="dxa"/>
            <w:gridSpan w:val="5"/>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olor w:val="000000"/>
                <w:kern w:val="0"/>
                <w:sz w:val="24"/>
                <w:szCs w:val="24"/>
              </w:rPr>
              <w:t>项目名称</w:t>
            </w:r>
          </w:p>
        </w:tc>
        <w:tc>
          <w:tcPr>
            <w:tcW w:w="6135" w:type="dxa"/>
            <w:gridSpan w:val="7"/>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工商行政管理专项工作经费</w:t>
            </w:r>
          </w:p>
        </w:tc>
      </w:tr>
      <w:tr>
        <w:tblPrEx>
          <w:tblLayout w:type="fixed"/>
          <w:tblCellMar>
            <w:top w:w="0" w:type="dxa"/>
            <w:left w:w="0" w:type="dxa"/>
            <w:bottom w:w="0" w:type="dxa"/>
            <w:right w:w="0" w:type="dxa"/>
          </w:tblCellMar>
        </w:tblPrEx>
        <w:trPr>
          <w:trHeight w:val="276" w:hRule="atLeast"/>
        </w:trPr>
        <w:tc>
          <w:tcPr>
            <w:tcW w:w="2491" w:type="dxa"/>
            <w:gridSpan w:val="5"/>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olor w:val="000000"/>
                <w:kern w:val="0"/>
                <w:sz w:val="24"/>
                <w:szCs w:val="24"/>
              </w:rPr>
              <w:t>预算单位</w:t>
            </w:r>
          </w:p>
        </w:tc>
        <w:tc>
          <w:tcPr>
            <w:tcW w:w="6135" w:type="dxa"/>
            <w:gridSpan w:val="7"/>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广元市工商行政管理局</w:t>
            </w:r>
          </w:p>
        </w:tc>
      </w:tr>
      <w:tr>
        <w:tblPrEx>
          <w:tblLayout w:type="fixed"/>
          <w:tblCellMar>
            <w:top w:w="0" w:type="dxa"/>
            <w:left w:w="0" w:type="dxa"/>
            <w:bottom w:w="0" w:type="dxa"/>
            <w:right w:w="0" w:type="dxa"/>
          </w:tblCellMar>
        </w:tblPrEx>
        <w:trPr>
          <w:trHeight w:val="276" w:hRule="atLeast"/>
        </w:trPr>
        <w:tc>
          <w:tcPr>
            <w:tcW w:w="73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olor w:val="000000"/>
                <w:kern w:val="0"/>
                <w:sz w:val="24"/>
                <w:szCs w:val="24"/>
              </w:rPr>
              <w:t>预算执行情况</w:t>
            </w:r>
            <w:r>
              <w:rPr>
                <w:rFonts w:ascii="宋体" w:hAnsi="宋体"/>
                <w:color w:val="000000"/>
                <w:kern w:val="0"/>
                <w:sz w:val="24"/>
                <w:szCs w:val="24"/>
              </w:rPr>
              <w:t>(</w:t>
            </w:r>
            <w:r>
              <w:rPr>
                <w:rFonts w:hint="eastAsia" w:ascii="宋体" w:hAnsi="宋体"/>
                <w:color w:val="000000"/>
                <w:kern w:val="0"/>
                <w:sz w:val="24"/>
                <w:szCs w:val="24"/>
              </w:rPr>
              <w:t>万元</w:t>
            </w:r>
            <w:r>
              <w:rPr>
                <w:rFonts w:ascii="宋体" w:hAnsi="宋体"/>
                <w:color w:val="000000"/>
                <w:kern w:val="0"/>
                <w:sz w:val="24"/>
                <w:szCs w:val="24"/>
              </w:rPr>
              <w:t>)</w:t>
            </w:r>
          </w:p>
        </w:tc>
        <w:tc>
          <w:tcPr>
            <w:tcW w:w="1760"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olor w:val="000000"/>
                <w:kern w:val="0"/>
                <w:sz w:val="24"/>
                <w:szCs w:val="24"/>
              </w:rPr>
              <w:t>预算数</w:t>
            </w:r>
            <w:r>
              <w:rPr>
                <w:rFonts w:ascii="宋体" w:hAnsi="宋体"/>
                <w:color w:val="000000"/>
                <w:kern w:val="0"/>
                <w:sz w:val="24"/>
                <w:szCs w:val="24"/>
              </w:rPr>
              <w:t>:</w:t>
            </w:r>
          </w:p>
        </w:tc>
        <w:tc>
          <w:tcPr>
            <w:tcW w:w="178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20.00</w:t>
            </w:r>
          </w:p>
        </w:tc>
        <w:tc>
          <w:tcPr>
            <w:tcW w:w="2280"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执行数:</w:t>
            </w:r>
          </w:p>
        </w:tc>
        <w:tc>
          <w:tcPr>
            <w:tcW w:w="2070"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20.36</w:t>
            </w:r>
          </w:p>
        </w:tc>
      </w:tr>
      <w:tr>
        <w:tblPrEx>
          <w:tblLayout w:type="fixed"/>
          <w:tblCellMar>
            <w:top w:w="0" w:type="dxa"/>
            <w:left w:w="0" w:type="dxa"/>
            <w:bottom w:w="0" w:type="dxa"/>
            <w:right w:w="0" w:type="dxa"/>
          </w:tblCellMar>
        </w:tblPrEx>
        <w:trPr>
          <w:trHeight w:val="276"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olor w:val="000000"/>
                <w:sz w:val="24"/>
                <w:szCs w:val="24"/>
              </w:rPr>
            </w:pPr>
          </w:p>
        </w:tc>
        <w:tc>
          <w:tcPr>
            <w:tcW w:w="1760"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olor w:val="000000"/>
                <w:kern w:val="0"/>
                <w:sz w:val="24"/>
                <w:szCs w:val="24"/>
              </w:rPr>
              <w:t>其中</w:t>
            </w:r>
            <w:r>
              <w:rPr>
                <w:rFonts w:ascii="宋体"/>
                <w:color w:val="000000"/>
                <w:kern w:val="0"/>
                <w:sz w:val="24"/>
                <w:szCs w:val="24"/>
              </w:rPr>
              <w:t>-</w:t>
            </w:r>
            <w:r>
              <w:rPr>
                <w:rFonts w:hint="eastAsia" w:ascii="宋体" w:hAnsi="宋体"/>
                <w:color w:val="000000"/>
                <w:kern w:val="0"/>
                <w:sz w:val="24"/>
                <w:szCs w:val="24"/>
              </w:rPr>
              <w:t>财政拨款</w:t>
            </w:r>
            <w:r>
              <w:rPr>
                <w:rFonts w:ascii="宋体" w:hAnsi="宋体"/>
                <w:color w:val="000000"/>
                <w:kern w:val="0"/>
                <w:sz w:val="24"/>
                <w:szCs w:val="24"/>
              </w:rPr>
              <w:t>:</w:t>
            </w:r>
          </w:p>
        </w:tc>
        <w:tc>
          <w:tcPr>
            <w:tcW w:w="178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20.00</w:t>
            </w:r>
          </w:p>
        </w:tc>
        <w:tc>
          <w:tcPr>
            <w:tcW w:w="2280"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其中-财政拨款:</w:t>
            </w:r>
          </w:p>
        </w:tc>
        <w:tc>
          <w:tcPr>
            <w:tcW w:w="2070"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20.36</w:t>
            </w:r>
          </w:p>
        </w:tc>
      </w:tr>
      <w:tr>
        <w:tblPrEx>
          <w:tblLayout w:type="fixed"/>
          <w:tblCellMar>
            <w:top w:w="0" w:type="dxa"/>
            <w:left w:w="0" w:type="dxa"/>
            <w:bottom w:w="0" w:type="dxa"/>
            <w:right w:w="0" w:type="dxa"/>
          </w:tblCellMar>
        </w:tblPrEx>
        <w:trPr>
          <w:trHeight w:val="1511"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olor w:val="000000"/>
                <w:sz w:val="24"/>
                <w:szCs w:val="24"/>
              </w:rPr>
            </w:pPr>
          </w:p>
        </w:tc>
        <w:tc>
          <w:tcPr>
            <w:tcW w:w="1760"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olor w:val="000000"/>
                <w:kern w:val="0"/>
                <w:sz w:val="24"/>
                <w:szCs w:val="24"/>
              </w:rPr>
              <w:t>其它资金</w:t>
            </w:r>
            <w:r>
              <w:rPr>
                <w:rFonts w:ascii="宋体" w:hAnsi="宋体"/>
                <w:color w:val="000000"/>
                <w:kern w:val="0"/>
                <w:sz w:val="24"/>
                <w:szCs w:val="24"/>
              </w:rPr>
              <w:t>:</w:t>
            </w:r>
          </w:p>
        </w:tc>
        <w:tc>
          <w:tcPr>
            <w:tcW w:w="178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p>
        </w:tc>
        <w:tc>
          <w:tcPr>
            <w:tcW w:w="2280"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其它资金:</w:t>
            </w:r>
          </w:p>
        </w:tc>
        <w:tc>
          <w:tcPr>
            <w:tcW w:w="2070"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hint="eastAsia" w:ascii="仿宋" w:hAnsi="仿宋" w:eastAsia="仿宋" w:cs="仿宋"/>
                <w:color w:val="000000"/>
                <w:sz w:val="24"/>
                <w:szCs w:val="24"/>
              </w:rPr>
            </w:pPr>
          </w:p>
        </w:tc>
      </w:tr>
      <w:tr>
        <w:tblPrEx>
          <w:tblLayout w:type="fixed"/>
          <w:tblCellMar>
            <w:top w:w="0" w:type="dxa"/>
            <w:left w:w="0" w:type="dxa"/>
            <w:bottom w:w="0" w:type="dxa"/>
            <w:right w:w="0" w:type="dxa"/>
          </w:tblCellMar>
        </w:tblPrEx>
        <w:trPr>
          <w:trHeight w:val="276" w:hRule="atLeast"/>
        </w:trPr>
        <w:tc>
          <w:tcPr>
            <w:tcW w:w="73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olor w:val="000000"/>
                <w:kern w:val="0"/>
                <w:sz w:val="24"/>
                <w:szCs w:val="24"/>
              </w:rPr>
              <w:t>年度目标完成情况</w:t>
            </w:r>
          </w:p>
        </w:tc>
        <w:tc>
          <w:tcPr>
            <w:tcW w:w="3545" w:type="dxa"/>
            <w:gridSpan w:val="5"/>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预期目标</w:t>
            </w:r>
          </w:p>
        </w:tc>
        <w:tc>
          <w:tcPr>
            <w:tcW w:w="4350" w:type="dxa"/>
            <w:gridSpan w:val="6"/>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实际完成目标</w:t>
            </w:r>
          </w:p>
        </w:tc>
      </w:tr>
      <w:tr>
        <w:tblPrEx>
          <w:tblLayout w:type="fixed"/>
          <w:tblCellMar>
            <w:top w:w="0" w:type="dxa"/>
            <w:left w:w="0" w:type="dxa"/>
            <w:bottom w:w="0" w:type="dxa"/>
            <w:right w:w="0" w:type="dxa"/>
          </w:tblCellMar>
        </w:tblPrEx>
        <w:trPr>
          <w:trHeight w:val="1159"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olor w:val="000000"/>
                <w:sz w:val="24"/>
                <w:szCs w:val="24"/>
              </w:rPr>
            </w:pPr>
          </w:p>
        </w:tc>
        <w:tc>
          <w:tcPr>
            <w:tcW w:w="3545" w:type="dxa"/>
            <w:gridSpan w:val="5"/>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numPr>
                <w:ilvl w:val="0"/>
                <w:numId w:val="6"/>
              </w:numPr>
              <w:jc w:val="left"/>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市场主体信用监管</w:t>
            </w:r>
          </w:p>
          <w:p>
            <w:pPr>
              <w:widowControl/>
              <w:numPr>
                <w:ilvl w:val="0"/>
                <w:numId w:val="6"/>
              </w:numPr>
              <w:jc w:val="left"/>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注册登记商事制度改革</w:t>
            </w:r>
          </w:p>
          <w:p>
            <w:pPr>
              <w:widowControl/>
              <w:numPr>
                <w:ilvl w:val="0"/>
                <w:numId w:val="6"/>
              </w:numPr>
              <w:jc w:val="left"/>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市场、广告、网络交易监管</w:t>
            </w:r>
          </w:p>
          <w:p>
            <w:pPr>
              <w:widowControl/>
              <w:numPr>
                <w:ilvl w:val="0"/>
                <w:numId w:val="6"/>
              </w:numPr>
              <w:jc w:val="left"/>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非公党建工作</w:t>
            </w:r>
          </w:p>
          <w:p>
            <w:pPr>
              <w:widowControl/>
              <w:numPr>
                <w:ilvl w:val="0"/>
                <w:numId w:val="6"/>
              </w:numPr>
              <w:jc w:val="left"/>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商标注册培育及守重企业公示</w:t>
            </w:r>
          </w:p>
        </w:tc>
        <w:tc>
          <w:tcPr>
            <w:tcW w:w="4350" w:type="dxa"/>
            <w:gridSpan w:val="6"/>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numPr>
                <w:ilvl w:val="0"/>
                <w:numId w:val="7"/>
              </w:numPr>
              <w:jc w:val="left"/>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完成市场主体年报，“双随机一公开”检查</w:t>
            </w:r>
          </w:p>
          <w:p>
            <w:pPr>
              <w:widowControl/>
              <w:numPr>
                <w:ilvl w:val="0"/>
                <w:numId w:val="7"/>
              </w:numPr>
              <w:jc w:val="left"/>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商事制度全程电子化登记，三十三证合一，证照分离</w:t>
            </w:r>
          </w:p>
          <w:p>
            <w:pPr>
              <w:widowControl/>
              <w:numPr>
                <w:ilvl w:val="0"/>
                <w:numId w:val="7"/>
              </w:numPr>
              <w:jc w:val="left"/>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建立非公党建支部，打造示范点1个以上</w:t>
            </w:r>
          </w:p>
          <w:p>
            <w:pPr>
              <w:widowControl/>
              <w:numPr>
                <w:ilvl w:val="0"/>
                <w:numId w:val="7"/>
              </w:numPr>
              <w:jc w:val="left"/>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保护各类市场主体合法权益，规范广告、网络商品交易</w:t>
            </w:r>
          </w:p>
          <w:p>
            <w:pPr>
              <w:widowControl/>
              <w:numPr>
                <w:ilvl w:val="0"/>
                <w:numId w:val="7"/>
              </w:numPr>
              <w:jc w:val="left"/>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培育注册商标，保护商标专用权</w:t>
            </w:r>
          </w:p>
        </w:tc>
      </w:tr>
      <w:tr>
        <w:tblPrEx>
          <w:tblLayout w:type="fixed"/>
          <w:tblCellMar>
            <w:top w:w="0" w:type="dxa"/>
            <w:left w:w="0" w:type="dxa"/>
            <w:bottom w:w="0" w:type="dxa"/>
            <w:right w:w="0" w:type="dxa"/>
          </w:tblCellMar>
        </w:tblPrEx>
        <w:trPr>
          <w:trHeight w:val="1133" w:hRule="atLeast"/>
        </w:trPr>
        <w:tc>
          <w:tcPr>
            <w:tcW w:w="73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olor w:val="000000"/>
                <w:sz w:val="24"/>
                <w:szCs w:val="24"/>
              </w:rPr>
              <w:t>绩效指标完成情况</w:t>
            </w:r>
          </w:p>
        </w:tc>
        <w:tc>
          <w:tcPr>
            <w:tcW w:w="567"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olor w:val="000000"/>
                <w:kern w:val="0"/>
                <w:sz w:val="24"/>
                <w:szCs w:val="24"/>
              </w:rPr>
              <w:t>一级指标</w:t>
            </w:r>
          </w:p>
        </w:tc>
        <w:tc>
          <w:tcPr>
            <w:tcW w:w="1193"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olor w:val="000000"/>
                <w:kern w:val="0"/>
                <w:sz w:val="24"/>
                <w:szCs w:val="24"/>
              </w:rPr>
              <w:t>二级指标</w:t>
            </w:r>
          </w:p>
        </w:tc>
        <w:tc>
          <w:tcPr>
            <w:tcW w:w="178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三级指标</w:t>
            </w:r>
          </w:p>
        </w:tc>
        <w:tc>
          <w:tcPr>
            <w:tcW w:w="2215"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预期指标值(包含数字及文字描述)</w:t>
            </w:r>
          </w:p>
        </w:tc>
        <w:tc>
          <w:tcPr>
            <w:tcW w:w="2135"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实际完成指标值(包含数字及文字描述)</w:t>
            </w:r>
          </w:p>
        </w:tc>
      </w:tr>
      <w:tr>
        <w:tblPrEx>
          <w:tblLayout w:type="fixed"/>
          <w:tblCellMar>
            <w:top w:w="0" w:type="dxa"/>
            <w:left w:w="0" w:type="dxa"/>
            <w:bottom w:w="0" w:type="dxa"/>
            <w:right w:w="0" w:type="dxa"/>
          </w:tblCellMar>
        </w:tblPrEx>
        <w:trPr>
          <w:trHeight w:val="953"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olor w:val="000000"/>
                <w:sz w:val="24"/>
                <w:szCs w:val="24"/>
              </w:rPr>
            </w:pPr>
          </w:p>
        </w:tc>
        <w:tc>
          <w:tcPr>
            <w:tcW w:w="567"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olor w:val="000000"/>
                <w:kern w:val="0"/>
                <w:sz w:val="24"/>
                <w:szCs w:val="24"/>
              </w:rPr>
              <w:t>项目完成指标</w:t>
            </w:r>
          </w:p>
        </w:tc>
        <w:tc>
          <w:tcPr>
            <w:tcW w:w="1193"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color w:val="000000"/>
                <w:sz w:val="24"/>
                <w:szCs w:val="24"/>
              </w:rPr>
              <w:t>数量指标</w:t>
            </w:r>
          </w:p>
        </w:tc>
        <w:tc>
          <w:tcPr>
            <w:tcW w:w="178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完成市场主体年报公示，“双随机一公开”检查抽查</w:t>
            </w:r>
          </w:p>
        </w:tc>
        <w:tc>
          <w:tcPr>
            <w:tcW w:w="2215"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1.完成盘龙所业务用房日常维修</w:t>
            </w:r>
          </w:p>
          <w:p>
            <w:pPr>
              <w:widowControl/>
              <w:jc w:val="left"/>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2.支付下西所房屋租赁</w:t>
            </w:r>
          </w:p>
          <w:p>
            <w:pPr>
              <w:widowControl/>
              <w:jc w:val="left"/>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3.完成市场主体登记及年报</w:t>
            </w:r>
          </w:p>
        </w:tc>
        <w:tc>
          <w:tcPr>
            <w:tcW w:w="2135"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1.完成盘龙所业务用房日常维修，保障基层所工作正常运转。</w:t>
            </w:r>
          </w:p>
          <w:p>
            <w:pPr>
              <w:widowControl/>
              <w:jc w:val="left"/>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2.支付下西所房屋租赁，保障基层所工作正常运转。</w:t>
            </w:r>
          </w:p>
          <w:p>
            <w:pPr>
              <w:widowControl/>
              <w:jc w:val="left"/>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3.完成市场主体年报公示。年报率99.02%，双随机抽查率5%。</w:t>
            </w:r>
          </w:p>
          <w:p>
            <w:pPr>
              <w:widowControl/>
              <w:jc w:val="center"/>
              <w:textAlignment w:val="center"/>
              <w:rPr>
                <w:rFonts w:hint="eastAsia" w:ascii="仿宋" w:hAnsi="仿宋" w:eastAsia="仿宋" w:cs="仿宋"/>
                <w:color w:val="000000"/>
                <w:sz w:val="24"/>
                <w:szCs w:val="24"/>
              </w:rPr>
            </w:pPr>
          </w:p>
        </w:tc>
      </w:tr>
      <w:tr>
        <w:tblPrEx>
          <w:tblLayout w:type="fixed"/>
          <w:tblCellMar>
            <w:top w:w="0" w:type="dxa"/>
            <w:left w:w="0" w:type="dxa"/>
            <w:bottom w:w="0" w:type="dxa"/>
            <w:right w:w="0" w:type="dxa"/>
          </w:tblCellMar>
        </w:tblPrEx>
        <w:trPr>
          <w:trHeight w:val="1297"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olor w:val="000000"/>
                <w:sz w:val="24"/>
                <w:szCs w:val="24"/>
              </w:rPr>
            </w:pPr>
          </w:p>
        </w:tc>
        <w:tc>
          <w:tcPr>
            <w:tcW w:w="567"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olor w:val="000000"/>
                <w:kern w:val="0"/>
                <w:sz w:val="24"/>
                <w:szCs w:val="24"/>
              </w:rPr>
              <w:t>项目完成指标</w:t>
            </w:r>
          </w:p>
        </w:tc>
        <w:tc>
          <w:tcPr>
            <w:tcW w:w="1193"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color w:val="000000"/>
                <w:sz w:val="24"/>
                <w:szCs w:val="24"/>
              </w:rPr>
              <w:t>数量指标</w:t>
            </w:r>
          </w:p>
        </w:tc>
        <w:tc>
          <w:tcPr>
            <w:tcW w:w="178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商事制度改革</w:t>
            </w:r>
          </w:p>
        </w:tc>
        <w:tc>
          <w:tcPr>
            <w:tcW w:w="2215"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实现全程电子化登记培训，推动三十三证合一</w:t>
            </w:r>
          </w:p>
        </w:tc>
        <w:tc>
          <w:tcPr>
            <w:tcW w:w="2135"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完成电子化登记培训</w:t>
            </w:r>
          </w:p>
          <w:p>
            <w:pPr>
              <w:widowControl/>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完成三十三证合一</w:t>
            </w:r>
          </w:p>
        </w:tc>
      </w:tr>
      <w:tr>
        <w:tblPrEx>
          <w:tblLayout w:type="fixed"/>
          <w:tblCellMar>
            <w:top w:w="0" w:type="dxa"/>
            <w:left w:w="0" w:type="dxa"/>
            <w:bottom w:w="0" w:type="dxa"/>
            <w:right w:w="0" w:type="dxa"/>
          </w:tblCellMar>
        </w:tblPrEx>
        <w:trPr>
          <w:trHeight w:val="1042"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olor w:val="000000"/>
                <w:sz w:val="24"/>
                <w:szCs w:val="24"/>
              </w:rPr>
            </w:pPr>
          </w:p>
        </w:tc>
        <w:tc>
          <w:tcPr>
            <w:tcW w:w="567"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olor w:val="000000"/>
                <w:kern w:val="0"/>
                <w:sz w:val="24"/>
                <w:szCs w:val="24"/>
              </w:rPr>
              <w:t>项目完成指标</w:t>
            </w:r>
          </w:p>
        </w:tc>
        <w:tc>
          <w:tcPr>
            <w:tcW w:w="1193"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color w:val="000000"/>
                <w:sz w:val="24"/>
                <w:szCs w:val="24"/>
              </w:rPr>
              <w:t>数量指标</w:t>
            </w:r>
          </w:p>
        </w:tc>
        <w:tc>
          <w:tcPr>
            <w:tcW w:w="178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非公企业党建</w:t>
            </w:r>
          </w:p>
        </w:tc>
        <w:tc>
          <w:tcPr>
            <w:tcW w:w="2215"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完成非公企业党建摸底调查，建立非公党建支部，打造非公党建示范试点</w:t>
            </w:r>
          </w:p>
        </w:tc>
        <w:tc>
          <w:tcPr>
            <w:tcW w:w="2135"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完成非公企业党建摸底调查，建立非公党建支部2个，打造非公党建示范试点1个。</w:t>
            </w:r>
          </w:p>
        </w:tc>
      </w:tr>
      <w:tr>
        <w:tblPrEx>
          <w:tblLayout w:type="fixed"/>
          <w:tblCellMar>
            <w:top w:w="0" w:type="dxa"/>
            <w:left w:w="0" w:type="dxa"/>
            <w:bottom w:w="0" w:type="dxa"/>
            <w:right w:w="0" w:type="dxa"/>
          </w:tblCellMar>
        </w:tblPrEx>
        <w:trPr>
          <w:trHeight w:val="1042"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olor w:val="000000"/>
                <w:sz w:val="24"/>
                <w:szCs w:val="24"/>
              </w:rPr>
            </w:pPr>
          </w:p>
        </w:tc>
        <w:tc>
          <w:tcPr>
            <w:tcW w:w="567"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kern w:val="0"/>
                <w:sz w:val="24"/>
                <w:szCs w:val="24"/>
              </w:rPr>
            </w:pPr>
            <w:r>
              <w:rPr>
                <w:rFonts w:hint="eastAsia" w:ascii="宋体" w:hAnsi="宋体"/>
                <w:color w:val="000000"/>
                <w:kern w:val="0"/>
                <w:sz w:val="24"/>
                <w:szCs w:val="24"/>
              </w:rPr>
              <w:t>项目完成指标</w:t>
            </w:r>
          </w:p>
        </w:tc>
        <w:tc>
          <w:tcPr>
            <w:tcW w:w="1193"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color w:val="000000"/>
                <w:sz w:val="24"/>
                <w:szCs w:val="24"/>
              </w:rPr>
              <w:t>数量指标</w:t>
            </w:r>
          </w:p>
        </w:tc>
        <w:tc>
          <w:tcPr>
            <w:tcW w:w="178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市场、广告、网络商品交易监管</w:t>
            </w:r>
          </w:p>
        </w:tc>
        <w:tc>
          <w:tcPr>
            <w:tcW w:w="2215"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保护各类市场主体合法权益，维护市场公平竞争秩序，规范广告、网络商品交易及有关服务</w:t>
            </w:r>
          </w:p>
        </w:tc>
        <w:tc>
          <w:tcPr>
            <w:tcW w:w="2135"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保护各类市场主体合法权益，维护市场公平竞争秩序，规范广告、网络商品交易及有关服务。</w:t>
            </w:r>
          </w:p>
        </w:tc>
      </w:tr>
      <w:tr>
        <w:tblPrEx>
          <w:tblLayout w:type="fixed"/>
          <w:tblCellMar>
            <w:top w:w="0" w:type="dxa"/>
            <w:left w:w="0" w:type="dxa"/>
            <w:bottom w:w="0" w:type="dxa"/>
            <w:right w:w="0" w:type="dxa"/>
          </w:tblCellMar>
        </w:tblPrEx>
        <w:trPr>
          <w:trHeight w:val="1042"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olor w:val="000000"/>
                <w:sz w:val="24"/>
                <w:szCs w:val="24"/>
              </w:rPr>
            </w:pPr>
          </w:p>
        </w:tc>
        <w:tc>
          <w:tcPr>
            <w:tcW w:w="567"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olor w:val="000000"/>
                <w:kern w:val="0"/>
                <w:sz w:val="24"/>
                <w:szCs w:val="24"/>
              </w:rPr>
              <w:t>项目完成指标</w:t>
            </w:r>
          </w:p>
        </w:tc>
        <w:tc>
          <w:tcPr>
            <w:tcW w:w="1193"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color w:val="000000"/>
                <w:sz w:val="24"/>
                <w:szCs w:val="24"/>
              </w:rPr>
              <w:t>数量指标</w:t>
            </w:r>
          </w:p>
        </w:tc>
        <w:tc>
          <w:tcPr>
            <w:tcW w:w="178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商标注册登记</w:t>
            </w:r>
          </w:p>
        </w:tc>
        <w:tc>
          <w:tcPr>
            <w:tcW w:w="2215"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指导培育注册商标，马德里国际注册商标，加强商标管理，保护商标专用权，指导“守重”企业公示。</w:t>
            </w:r>
          </w:p>
        </w:tc>
        <w:tc>
          <w:tcPr>
            <w:tcW w:w="2135"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新增注册商标7个，培育马德里国际注册商标1 个。</w:t>
            </w:r>
          </w:p>
        </w:tc>
      </w:tr>
      <w:tr>
        <w:tblPrEx>
          <w:tblLayout w:type="fixed"/>
          <w:tblCellMar>
            <w:top w:w="0" w:type="dxa"/>
            <w:left w:w="0" w:type="dxa"/>
            <w:bottom w:w="0" w:type="dxa"/>
            <w:right w:w="0" w:type="dxa"/>
          </w:tblCellMar>
        </w:tblPrEx>
        <w:trPr>
          <w:trHeight w:val="1042"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olor w:val="000000"/>
                <w:sz w:val="24"/>
                <w:szCs w:val="24"/>
              </w:rPr>
            </w:pPr>
          </w:p>
        </w:tc>
        <w:tc>
          <w:tcPr>
            <w:tcW w:w="567"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rPr>
            </w:pPr>
            <w:r>
              <w:rPr>
                <w:rFonts w:hint="eastAsia" w:ascii="宋体" w:hAnsi="宋体"/>
                <w:color w:val="000000"/>
                <w:kern w:val="0"/>
                <w:sz w:val="24"/>
                <w:szCs w:val="24"/>
              </w:rPr>
              <w:t>项目完成指标</w:t>
            </w:r>
          </w:p>
        </w:tc>
        <w:tc>
          <w:tcPr>
            <w:tcW w:w="1193"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color w:val="000000"/>
                <w:sz w:val="24"/>
                <w:szCs w:val="24"/>
              </w:rPr>
              <w:t>质量指标</w:t>
            </w:r>
          </w:p>
        </w:tc>
        <w:tc>
          <w:tcPr>
            <w:tcW w:w="178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完成市场主体年报公示，“双随机一公开”检查抽查</w:t>
            </w:r>
          </w:p>
        </w:tc>
        <w:tc>
          <w:tcPr>
            <w:tcW w:w="2215"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1.完成盘龙所业务用房日常维修</w:t>
            </w:r>
          </w:p>
          <w:p>
            <w:pPr>
              <w:widowControl/>
              <w:jc w:val="left"/>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2.支付下西所房屋租赁</w:t>
            </w:r>
          </w:p>
          <w:p>
            <w:pPr>
              <w:widowControl/>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3.完成市场主体年报公示。年报公示率≥95%，抽查率≥5%。</w:t>
            </w:r>
          </w:p>
        </w:tc>
        <w:tc>
          <w:tcPr>
            <w:tcW w:w="2135"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保障盘龙工商所、下西工商所工作正常运转，</w:t>
            </w:r>
          </w:p>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完成市场主体年报公示。年报公示率99.02%，抽查率5%。</w:t>
            </w:r>
          </w:p>
        </w:tc>
      </w:tr>
      <w:tr>
        <w:tblPrEx>
          <w:tblLayout w:type="fixed"/>
          <w:tblCellMar>
            <w:top w:w="0" w:type="dxa"/>
            <w:left w:w="0" w:type="dxa"/>
            <w:bottom w:w="0" w:type="dxa"/>
            <w:right w:w="0" w:type="dxa"/>
          </w:tblCellMar>
        </w:tblPrEx>
        <w:trPr>
          <w:trHeight w:val="1042"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olor w:val="000000"/>
                <w:sz w:val="24"/>
                <w:szCs w:val="24"/>
              </w:rPr>
            </w:pPr>
          </w:p>
        </w:tc>
        <w:tc>
          <w:tcPr>
            <w:tcW w:w="567"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rPr>
            </w:pPr>
            <w:r>
              <w:rPr>
                <w:rFonts w:hint="eastAsia" w:ascii="宋体" w:hAnsi="宋体"/>
                <w:color w:val="000000"/>
                <w:kern w:val="0"/>
                <w:sz w:val="24"/>
                <w:szCs w:val="24"/>
              </w:rPr>
              <w:t>项目完成指标</w:t>
            </w:r>
          </w:p>
        </w:tc>
        <w:tc>
          <w:tcPr>
            <w:tcW w:w="1193"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color w:val="000000"/>
                <w:sz w:val="24"/>
                <w:szCs w:val="24"/>
              </w:rPr>
              <w:t>质量指标</w:t>
            </w:r>
          </w:p>
        </w:tc>
        <w:tc>
          <w:tcPr>
            <w:tcW w:w="178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商事制度改革</w:t>
            </w:r>
          </w:p>
        </w:tc>
        <w:tc>
          <w:tcPr>
            <w:tcW w:w="2215"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商事制度改革实现全程电子化登记培训，商事制度改革宣传及宣传资料，推动三证合一、证照分离、压缩企业开办时间，实现全程电子化登记。</w:t>
            </w:r>
          </w:p>
        </w:tc>
        <w:tc>
          <w:tcPr>
            <w:tcW w:w="2135"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完成商事制度改革实现电子化登记培训，完成三十三证合一。</w:t>
            </w:r>
          </w:p>
        </w:tc>
      </w:tr>
      <w:tr>
        <w:tblPrEx>
          <w:tblLayout w:type="fixed"/>
          <w:tblCellMar>
            <w:top w:w="0" w:type="dxa"/>
            <w:left w:w="0" w:type="dxa"/>
            <w:bottom w:w="0" w:type="dxa"/>
            <w:right w:w="0" w:type="dxa"/>
          </w:tblCellMar>
        </w:tblPrEx>
        <w:trPr>
          <w:trHeight w:val="1042"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olor w:val="000000"/>
                <w:sz w:val="24"/>
                <w:szCs w:val="24"/>
              </w:rPr>
            </w:pPr>
          </w:p>
        </w:tc>
        <w:tc>
          <w:tcPr>
            <w:tcW w:w="567"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rPr>
            </w:pPr>
            <w:r>
              <w:rPr>
                <w:rFonts w:hint="eastAsia" w:ascii="宋体" w:hAnsi="宋体"/>
                <w:color w:val="000000"/>
                <w:kern w:val="0"/>
                <w:sz w:val="24"/>
                <w:szCs w:val="24"/>
              </w:rPr>
              <w:t>项目完成指标</w:t>
            </w:r>
          </w:p>
        </w:tc>
        <w:tc>
          <w:tcPr>
            <w:tcW w:w="1193"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color w:val="000000"/>
                <w:sz w:val="24"/>
                <w:szCs w:val="24"/>
              </w:rPr>
              <w:t>质量指标</w:t>
            </w:r>
          </w:p>
        </w:tc>
        <w:tc>
          <w:tcPr>
            <w:tcW w:w="178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非公企业党建</w:t>
            </w:r>
          </w:p>
        </w:tc>
        <w:tc>
          <w:tcPr>
            <w:tcW w:w="2215"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完成非公企业党建摸底调查，建立非公党建支部，打造非公党建示范试点</w:t>
            </w:r>
          </w:p>
        </w:tc>
        <w:tc>
          <w:tcPr>
            <w:tcW w:w="2135"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完成非公企业党建摸底调查，建立非公党建支部2个，打造非公党建示范试点1个。</w:t>
            </w:r>
          </w:p>
        </w:tc>
      </w:tr>
      <w:tr>
        <w:tblPrEx>
          <w:tblLayout w:type="fixed"/>
          <w:tblCellMar>
            <w:top w:w="0" w:type="dxa"/>
            <w:left w:w="0" w:type="dxa"/>
            <w:bottom w:w="0" w:type="dxa"/>
            <w:right w:w="0" w:type="dxa"/>
          </w:tblCellMar>
        </w:tblPrEx>
        <w:trPr>
          <w:trHeight w:val="1042"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olor w:val="000000"/>
                <w:sz w:val="24"/>
                <w:szCs w:val="24"/>
              </w:rPr>
            </w:pPr>
          </w:p>
        </w:tc>
        <w:tc>
          <w:tcPr>
            <w:tcW w:w="567"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sz w:val="24"/>
                <w:szCs w:val="24"/>
              </w:rPr>
            </w:pPr>
            <w:r>
              <w:rPr>
                <w:rFonts w:hint="eastAsia" w:ascii="宋体" w:hAnsi="宋体"/>
                <w:color w:val="000000"/>
                <w:kern w:val="0"/>
                <w:sz w:val="24"/>
                <w:szCs w:val="24"/>
              </w:rPr>
              <w:t>项目完成指标</w:t>
            </w:r>
          </w:p>
        </w:tc>
        <w:tc>
          <w:tcPr>
            <w:tcW w:w="1193"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color w:val="000000"/>
                <w:sz w:val="24"/>
                <w:szCs w:val="24"/>
              </w:rPr>
              <w:t>质量指标</w:t>
            </w:r>
          </w:p>
        </w:tc>
        <w:tc>
          <w:tcPr>
            <w:tcW w:w="178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市场、广告、网络商品交易监管</w:t>
            </w:r>
          </w:p>
        </w:tc>
        <w:tc>
          <w:tcPr>
            <w:tcW w:w="2215"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保护各类市场主体合法权益，维护市场公平竞争秩序，规范广告、网络商品交易及有关服务</w:t>
            </w:r>
          </w:p>
        </w:tc>
        <w:tc>
          <w:tcPr>
            <w:tcW w:w="2135"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保护各类市场主体合法权益，维护市场公平竞争秩序，规范广告、网络商品交易及有关服务。</w:t>
            </w:r>
          </w:p>
        </w:tc>
      </w:tr>
      <w:tr>
        <w:tblPrEx>
          <w:tblLayout w:type="fixed"/>
          <w:tblCellMar>
            <w:top w:w="0" w:type="dxa"/>
            <w:left w:w="0" w:type="dxa"/>
            <w:bottom w:w="0" w:type="dxa"/>
            <w:right w:w="0" w:type="dxa"/>
          </w:tblCellMar>
        </w:tblPrEx>
        <w:trPr>
          <w:trHeight w:val="1042"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olor w:val="000000"/>
                <w:sz w:val="24"/>
                <w:szCs w:val="24"/>
              </w:rPr>
            </w:pPr>
          </w:p>
        </w:tc>
        <w:tc>
          <w:tcPr>
            <w:tcW w:w="567"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olor w:val="000000"/>
                <w:kern w:val="0"/>
                <w:sz w:val="24"/>
                <w:szCs w:val="24"/>
              </w:rPr>
              <w:t>项目完成指标</w:t>
            </w:r>
          </w:p>
        </w:tc>
        <w:tc>
          <w:tcPr>
            <w:tcW w:w="1193"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color w:val="000000"/>
                <w:sz w:val="24"/>
                <w:szCs w:val="24"/>
              </w:rPr>
              <w:t>质量指标</w:t>
            </w:r>
          </w:p>
        </w:tc>
        <w:tc>
          <w:tcPr>
            <w:tcW w:w="178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商标注册登记</w:t>
            </w:r>
          </w:p>
        </w:tc>
        <w:tc>
          <w:tcPr>
            <w:tcW w:w="2215"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指导培育注册商标，马德里国际注册商标，加强商标管理，保护商标专用权，指导“守重”企业公示。</w:t>
            </w:r>
          </w:p>
        </w:tc>
        <w:tc>
          <w:tcPr>
            <w:tcW w:w="2135"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新增注册商标7个，培育马德里国际注册商标 1个。</w:t>
            </w:r>
          </w:p>
        </w:tc>
      </w:tr>
      <w:tr>
        <w:tblPrEx>
          <w:tblLayout w:type="fixed"/>
          <w:tblCellMar>
            <w:top w:w="0" w:type="dxa"/>
            <w:left w:w="0" w:type="dxa"/>
            <w:bottom w:w="0" w:type="dxa"/>
            <w:right w:w="0" w:type="dxa"/>
          </w:tblCellMar>
        </w:tblPrEx>
        <w:trPr>
          <w:trHeight w:val="1042"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olor w:val="000000"/>
                <w:sz w:val="24"/>
                <w:szCs w:val="24"/>
              </w:rPr>
            </w:pPr>
          </w:p>
        </w:tc>
        <w:tc>
          <w:tcPr>
            <w:tcW w:w="567"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项目完成指标</w:t>
            </w:r>
          </w:p>
        </w:tc>
        <w:tc>
          <w:tcPr>
            <w:tcW w:w="1193"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color w:val="000000"/>
                <w:sz w:val="24"/>
                <w:szCs w:val="24"/>
              </w:rPr>
              <w:t>时效指标</w:t>
            </w:r>
          </w:p>
        </w:tc>
        <w:tc>
          <w:tcPr>
            <w:tcW w:w="178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完成市场主体年报公示，“双随机一公开”检查抽查</w:t>
            </w:r>
          </w:p>
        </w:tc>
        <w:tc>
          <w:tcPr>
            <w:tcW w:w="2215"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numPr>
                <w:ilvl w:val="0"/>
                <w:numId w:val="8"/>
              </w:numPr>
              <w:jc w:val="left"/>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盘龙所业务用房日常维修2017年12月1日-2018年2月28日</w:t>
            </w:r>
          </w:p>
          <w:p>
            <w:pPr>
              <w:widowControl/>
              <w:numPr>
                <w:ilvl w:val="0"/>
                <w:numId w:val="8"/>
              </w:numPr>
              <w:jc w:val="left"/>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下西所房屋租赁2018年1月1日-2018年10月31日</w:t>
            </w:r>
          </w:p>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3.完成市场年报2018年1月1日-2018年6月30日</w:t>
            </w:r>
          </w:p>
        </w:tc>
        <w:tc>
          <w:tcPr>
            <w:tcW w:w="2135"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按期完成</w:t>
            </w:r>
          </w:p>
        </w:tc>
      </w:tr>
      <w:tr>
        <w:tblPrEx>
          <w:tblLayout w:type="fixed"/>
          <w:tblCellMar>
            <w:top w:w="0" w:type="dxa"/>
            <w:left w:w="0" w:type="dxa"/>
            <w:bottom w:w="0" w:type="dxa"/>
            <w:right w:w="0" w:type="dxa"/>
          </w:tblCellMar>
        </w:tblPrEx>
        <w:trPr>
          <w:trHeight w:val="1042"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olor w:val="000000"/>
                <w:sz w:val="24"/>
                <w:szCs w:val="24"/>
              </w:rPr>
            </w:pPr>
          </w:p>
        </w:tc>
        <w:tc>
          <w:tcPr>
            <w:tcW w:w="567"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项目完成指标</w:t>
            </w:r>
          </w:p>
        </w:tc>
        <w:tc>
          <w:tcPr>
            <w:tcW w:w="1193"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color w:val="000000"/>
                <w:sz w:val="24"/>
                <w:szCs w:val="24"/>
              </w:rPr>
              <w:t>时效指标</w:t>
            </w:r>
          </w:p>
        </w:tc>
        <w:tc>
          <w:tcPr>
            <w:tcW w:w="178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商事制度改革</w:t>
            </w:r>
          </w:p>
        </w:tc>
        <w:tc>
          <w:tcPr>
            <w:tcW w:w="2215"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2018年1月1日-2018年12月31日</w:t>
            </w:r>
          </w:p>
        </w:tc>
        <w:tc>
          <w:tcPr>
            <w:tcW w:w="2135"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按期完成</w:t>
            </w:r>
          </w:p>
        </w:tc>
      </w:tr>
      <w:tr>
        <w:tblPrEx>
          <w:tblLayout w:type="fixed"/>
          <w:tblCellMar>
            <w:top w:w="0" w:type="dxa"/>
            <w:left w:w="0" w:type="dxa"/>
            <w:bottom w:w="0" w:type="dxa"/>
            <w:right w:w="0" w:type="dxa"/>
          </w:tblCellMar>
        </w:tblPrEx>
        <w:trPr>
          <w:trHeight w:val="1042"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olor w:val="000000"/>
                <w:sz w:val="24"/>
                <w:szCs w:val="24"/>
              </w:rPr>
            </w:pPr>
          </w:p>
        </w:tc>
        <w:tc>
          <w:tcPr>
            <w:tcW w:w="567"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项目完成指标</w:t>
            </w:r>
          </w:p>
        </w:tc>
        <w:tc>
          <w:tcPr>
            <w:tcW w:w="1193"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color w:val="000000"/>
                <w:sz w:val="24"/>
                <w:szCs w:val="24"/>
              </w:rPr>
              <w:t>时效指标</w:t>
            </w:r>
          </w:p>
        </w:tc>
        <w:tc>
          <w:tcPr>
            <w:tcW w:w="178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非公企业党建</w:t>
            </w:r>
          </w:p>
        </w:tc>
        <w:tc>
          <w:tcPr>
            <w:tcW w:w="2215"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2018年1月1日-2018年12月31日</w:t>
            </w:r>
          </w:p>
        </w:tc>
        <w:tc>
          <w:tcPr>
            <w:tcW w:w="2135"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按期完成</w:t>
            </w:r>
          </w:p>
        </w:tc>
      </w:tr>
      <w:tr>
        <w:tblPrEx>
          <w:tblLayout w:type="fixed"/>
          <w:tblCellMar>
            <w:top w:w="0" w:type="dxa"/>
            <w:left w:w="0" w:type="dxa"/>
            <w:bottom w:w="0" w:type="dxa"/>
            <w:right w:w="0" w:type="dxa"/>
          </w:tblCellMar>
        </w:tblPrEx>
        <w:trPr>
          <w:trHeight w:val="1042"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olor w:val="000000"/>
                <w:sz w:val="24"/>
                <w:szCs w:val="24"/>
              </w:rPr>
            </w:pPr>
          </w:p>
        </w:tc>
        <w:tc>
          <w:tcPr>
            <w:tcW w:w="567"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项目完成指标</w:t>
            </w:r>
          </w:p>
        </w:tc>
        <w:tc>
          <w:tcPr>
            <w:tcW w:w="1193"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color w:val="000000"/>
                <w:sz w:val="24"/>
                <w:szCs w:val="24"/>
              </w:rPr>
              <w:t>时效指标</w:t>
            </w:r>
          </w:p>
        </w:tc>
        <w:tc>
          <w:tcPr>
            <w:tcW w:w="178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市场、广告、网络商品交易监管</w:t>
            </w:r>
          </w:p>
        </w:tc>
        <w:tc>
          <w:tcPr>
            <w:tcW w:w="2215"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2018年1月1日-2018年12月31日</w:t>
            </w:r>
          </w:p>
        </w:tc>
        <w:tc>
          <w:tcPr>
            <w:tcW w:w="2135"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按期完成</w:t>
            </w:r>
          </w:p>
        </w:tc>
      </w:tr>
      <w:tr>
        <w:tblPrEx>
          <w:tblLayout w:type="fixed"/>
          <w:tblCellMar>
            <w:top w:w="0" w:type="dxa"/>
            <w:left w:w="0" w:type="dxa"/>
            <w:bottom w:w="0" w:type="dxa"/>
            <w:right w:w="0" w:type="dxa"/>
          </w:tblCellMar>
        </w:tblPrEx>
        <w:trPr>
          <w:trHeight w:val="1925"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olor w:val="000000"/>
                <w:sz w:val="24"/>
                <w:szCs w:val="24"/>
              </w:rPr>
            </w:pPr>
          </w:p>
        </w:tc>
        <w:tc>
          <w:tcPr>
            <w:tcW w:w="567"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项目完成指标</w:t>
            </w:r>
          </w:p>
        </w:tc>
        <w:tc>
          <w:tcPr>
            <w:tcW w:w="1193"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color w:val="000000"/>
                <w:sz w:val="24"/>
                <w:szCs w:val="24"/>
              </w:rPr>
              <w:t>时效指标</w:t>
            </w:r>
          </w:p>
        </w:tc>
        <w:tc>
          <w:tcPr>
            <w:tcW w:w="178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商标注册登记</w:t>
            </w:r>
          </w:p>
        </w:tc>
        <w:tc>
          <w:tcPr>
            <w:tcW w:w="2215"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2018年1月1日-2018年12月31日</w:t>
            </w:r>
          </w:p>
        </w:tc>
        <w:tc>
          <w:tcPr>
            <w:tcW w:w="2135"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按期完成</w:t>
            </w:r>
          </w:p>
        </w:tc>
      </w:tr>
      <w:tr>
        <w:tblPrEx>
          <w:tblLayout w:type="fixed"/>
          <w:tblCellMar>
            <w:top w:w="0" w:type="dxa"/>
            <w:left w:w="0" w:type="dxa"/>
            <w:bottom w:w="0" w:type="dxa"/>
            <w:right w:w="0" w:type="dxa"/>
          </w:tblCellMar>
        </w:tblPrEx>
        <w:trPr>
          <w:trHeight w:val="2537"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olor w:val="000000"/>
                <w:sz w:val="24"/>
                <w:szCs w:val="24"/>
              </w:rPr>
            </w:pPr>
          </w:p>
        </w:tc>
        <w:tc>
          <w:tcPr>
            <w:tcW w:w="567"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项目完成指标</w:t>
            </w:r>
          </w:p>
        </w:tc>
        <w:tc>
          <w:tcPr>
            <w:tcW w:w="1193"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color w:val="000000"/>
                <w:sz w:val="24"/>
                <w:szCs w:val="24"/>
              </w:rPr>
              <w:t>成本指标</w:t>
            </w:r>
          </w:p>
        </w:tc>
        <w:tc>
          <w:tcPr>
            <w:tcW w:w="178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numPr>
                <w:ilvl w:val="0"/>
                <w:numId w:val="9"/>
              </w:numPr>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完成市场主体年报公示，“双随机一公开”检查抽查</w:t>
            </w:r>
          </w:p>
          <w:p>
            <w:pPr>
              <w:widowControl/>
              <w:numPr>
                <w:ilvl w:val="0"/>
                <w:numId w:val="9"/>
              </w:numPr>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商事制度改革</w:t>
            </w:r>
          </w:p>
          <w:p>
            <w:pPr>
              <w:widowControl/>
              <w:numPr>
                <w:ilvl w:val="0"/>
                <w:numId w:val="9"/>
              </w:numPr>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非公企业党建</w:t>
            </w:r>
          </w:p>
          <w:p>
            <w:pPr>
              <w:widowControl/>
              <w:numPr>
                <w:ilvl w:val="0"/>
                <w:numId w:val="9"/>
              </w:numPr>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市场、广告、网络商品交易监管</w:t>
            </w:r>
          </w:p>
          <w:p>
            <w:pPr>
              <w:widowControl/>
              <w:numPr>
                <w:ilvl w:val="0"/>
                <w:numId w:val="9"/>
              </w:numPr>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商标注册登记</w:t>
            </w:r>
          </w:p>
        </w:tc>
        <w:tc>
          <w:tcPr>
            <w:tcW w:w="2215"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严格按照要求控制支出</w:t>
            </w:r>
            <w:r>
              <w:rPr>
                <w:rFonts w:hint="eastAsia" w:ascii="仿宋" w:hAnsi="仿宋" w:eastAsia="仿宋" w:cs="仿宋"/>
                <w:color w:val="000000"/>
                <w:sz w:val="24"/>
                <w:szCs w:val="24"/>
                <w:lang w:eastAsia="zh-CN"/>
              </w:rPr>
              <w:t>。</w:t>
            </w:r>
            <w:r>
              <w:rPr>
                <w:rFonts w:hint="eastAsia" w:ascii="仿宋" w:hAnsi="仿宋" w:eastAsia="仿宋" w:cs="仿宋"/>
                <w:color w:val="000000"/>
                <w:sz w:val="24"/>
                <w:szCs w:val="24"/>
              </w:rPr>
              <w:t>费用控制支出费用（万元）≦</w:t>
            </w:r>
            <w:r>
              <w:rPr>
                <w:rFonts w:hint="eastAsia" w:ascii="仿宋" w:hAnsi="仿宋" w:eastAsia="仿宋" w:cs="仿宋"/>
                <w:color w:val="000000"/>
                <w:sz w:val="24"/>
                <w:szCs w:val="24"/>
                <w:lang w:val="en-US" w:eastAsia="zh-CN"/>
              </w:rPr>
              <w:t>2</w:t>
            </w:r>
            <w:r>
              <w:rPr>
                <w:rFonts w:hint="eastAsia" w:ascii="仿宋" w:hAnsi="仿宋" w:eastAsia="仿宋" w:cs="仿宋"/>
                <w:color w:val="000000"/>
                <w:sz w:val="24"/>
                <w:szCs w:val="24"/>
              </w:rPr>
              <w:t>0</w:t>
            </w:r>
          </w:p>
        </w:tc>
        <w:tc>
          <w:tcPr>
            <w:tcW w:w="2135"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完成成本203634.24元</w:t>
            </w:r>
          </w:p>
        </w:tc>
      </w:tr>
      <w:tr>
        <w:tblPrEx>
          <w:tblLayout w:type="fixed"/>
          <w:tblCellMar>
            <w:top w:w="0" w:type="dxa"/>
            <w:left w:w="0" w:type="dxa"/>
            <w:bottom w:w="0" w:type="dxa"/>
            <w:right w:w="0" w:type="dxa"/>
          </w:tblCellMar>
        </w:tblPrEx>
        <w:trPr>
          <w:trHeight w:val="1042"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olor w:val="000000"/>
                <w:sz w:val="24"/>
                <w:szCs w:val="24"/>
              </w:rPr>
            </w:pPr>
          </w:p>
        </w:tc>
        <w:tc>
          <w:tcPr>
            <w:tcW w:w="567"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效益指标</w:t>
            </w:r>
          </w:p>
        </w:tc>
        <w:tc>
          <w:tcPr>
            <w:tcW w:w="1193"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color w:val="000000"/>
                <w:sz w:val="24"/>
                <w:szCs w:val="24"/>
              </w:rPr>
              <w:t>社会效益指标</w:t>
            </w:r>
          </w:p>
        </w:tc>
        <w:tc>
          <w:tcPr>
            <w:tcW w:w="178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numPr>
                <w:ilvl w:val="0"/>
                <w:numId w:val="0"/>
              </w:numPr>
              <w:jc w:val="both"/>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1.</w:t>
            </w:r>
            <w:r>
              <w:rPr>
                <w:rFonts w:hint="eastAsia" w:ascii="仿宋" w:hAnsi="仿宋" w:eastAsia="仿宋" w:cs="仿宋"/>
                <w:color w:val="000000"/>
                <w:sz w:val="24"/>
                <w:szCs w:val="24"/>
              </w:rPr>
              <w:t>完成市场主体年报公示，“双随机一公开”检查抽查</w:t>
            </w:r>
          </w:p>
          <w:p>
            <w:pPr>
              <w:widowControl/>
              <w:numPr>
                <w:ilvl w:val="0"/>
                <w:numId w:val="0"/>
              </w:numPr>
              <w:jc w:val="both"/>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2.</w:t>
            </w:r>
            <w:r>
              <w:rPr>
                <w:rFonts w:hint="eastAsia" w:ascii="仿宋" w:hAnsi="仿宋" w:eastAsia="仿宋" w:cs="仿宋"/>
                <w:color w:val="000000"/>
                <w:sz w:val="24"/>
                <w:szCs w:val="24"/>
              </w:rPr>
              <w:t>商事制度改革</w:t>
            </w:r>
          </w:p>
          <w:p>
            <w:pPr>
              <w:widowControl/>
              <w:numPr>
                <w:ilvl w:val="0"/>
                <w:numId w:val="0"/>
              </w:numPr>
              <w:jc w:val="both"/>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3.</w:t>
            </w:r>
            <w:r>
              <w:rPr>
                <w:rFonts w:hint="eastAsia" w:ascii="仿宋" w:hAnsi="仿宋" w:eastAsia="仿宋" w:cs="仿宋"/>
                <w:color w:val="000000"/>
                <w:sz w:val="24"/>
                <w:szCs w:val="24"/>
              </w:rPr>
              <w:t>非公企业党建</w:t>
            </w:r>
          </w:p>
          <w:p>
            <w:pPr>
              <w:widowControl/>
              <w:numPr>
                <w:ilvl w:val="0"/>
                <w:numId w:val="0"/>
              </w:numPr>
              <w:jc w:val="both"/>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4.</w:t>
            </w:r>
            <w:r>
              <w:rPr>
                <w:rFonts w:hint="eastAsia" w:ascii="仿宋" w:hAnsi="仿宋" w:eastAsia="仿宋" w:cs="仿宋"/>
                <w:color w:val="000000"/>
                <w:sz w:val="24"/>
                <w:szCs w:val="24"/>
              </w:rPr>
              <w:t>市场、广告、网络商品交易监管</w:t>
            </w:r>
          </w:p>
          <w:p>
            <w:pPr>
              <w:widowControl/>
              <w:jc w:val="both"/>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5.</w:t>
            </w:r>
            <w:r>
              <w:rPr>
                <w:rFonts w:hint="eastAsia" w:ascii="仿宋" w:hAnsi="仿宋" w:eastAsia="仿宋" w:cs="仿宋"/>
                <w:color w:val="000000"/>
                <w:sz w:val="24"/>
                <w:szCs w:val="24"/>
              </w:rPr>
              <w:t>商标注册登记</w:t>
            </w:r>
          </w:p>
        </w:tc>
        <w:tc>
          <w:tcPr>
            <w:tcW w:w="2215"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营造公平诚信的市场竞争环境和社会环境</w:t>
            </w:r>
          </w:p>
        </w:tc>
        <w:tc>
          <w:tcPr>
            <w:tcW w:w="2135"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营造公平诚信的市场竞争环境和社会环境</w:t>
            </w:r>
          </w:p>
        </w:tc>
      </w:tr>
      <w:tr>
        <w:tblPrEx>
          <w:tblLayout w:type="fixed"/>
          <w:tblCellMar>
            <w:top w:w="0" w:type="dxa"/>
            <w:left w:w="0" w:type="dxa"/>
            <w:bottom w:w="0" w:type="dxa"/>
            <w:right w:w="0" w:type="dxa"/>
          </w:tblCellMar>
        </w:tblPrEx>
        <w:trPr>
          <w:trHeight w:val="1042"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olor w:val="000000"/>
                <w:sz w:val="24"/>
                <w:szCs w:val="24"/>
              </w:rPr>
            </w:pPr>
          </w:p>
        </w:tc>
        <w:tc>
          <w:tcPr>
            <w:tcW w:w="567"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效益指标</w:t>
            </w:r>
          </w:p>
        </w:tc>
        <w:tc>
          <w:tcPr>
            <w:tcW w:w="1193"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color w:val="000000"/>
                <w:sz w:val="24"/>
                <w:szCs w:val="24"/>
              </w:rPr>
              <w:t>可持续影响指标</w:t>
            </w:r>
          </w:p>
        </w:tc>
        <w:tc>
          <w:tcPr>
            <w:tcW w:w="178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numPr>
                <w:ilvl w:val="0"/>
                <w:numId w:val="0"/>
              </w:numPr>
              <w:jc w:val="both"/>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1.</w:t>
            </w:r>
            <w:r>
              <w:rPr>
                <w:rFonts w:hint="eastAsia" w:ascii="仿宋" w:hAnsi="仿宋" w:eastAsia="仿宋" w:cs="仿宋"/>
                <w:color w:val="000000"/>
                <w:sz w:val="24"/>
                <w:szCs w:val="24"/>
              </w:rPr>
              <w:t>完成市场主体年报公示，“双随机一公开”检查抽查</w:t>
            </w:r>
          </w:p>
          <w:p>
            <w:pPr>
              <w:widowControl/>
              <w:numPr>
                <w:ilvl w:val="0"/>
                <w:numId w:val="0"/>
              </w:numPr>
              <w:jc w:val="both"/>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2.</w:t>
            </w:r>
            <w:r>
              <w:rPr>
                <w:rFonts w:hint="eastAsia" w:ascii="仿宋" w:hAnsi="仿宋" w:eastAsia="仿宋" w:cs="仿宋"/>
                <w:color w:val="000000"/>
                <w:sz w:val="24"/>
                <w:szCs w:val="24"/>
              </w:rPr>
              <w:t>商事制度改革</w:t>
            </w:r>
          </w:p>
          <w:p>
            <w:pPr>
              <w:widowControl/>
              <w:numPr>
                <w:ilvl w:val="0"/>
                <w:numId w:val="0"/>
              </w:numPr>
              <w:jc w:val="both"/>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3.</w:t>
            </w:r>
            <w:r>
              <w:rPr>
                <w:rFonts w:hint="eastAsia" w:ascii="仿宋" w:hAnsi="仿宋" w:eastAsia="仿宋" w:cs="仿宋"/>
                <w:color w:val="000000"/>
                <w:sz w:val="24"/>
                <w:szCs w:val="24"/>
              </w:rPr>
              <w:t>非公企业党建</w:t>
            </w:r>
          </w:p>
          <w:p>
            <w:pPr>
              <w:widowControl/>
              <w:numPr>
                <w:ilvl w:val="0"/>
                <w:numId w:val="0"/>
              </w:numPr>
              <w:jc w:val="both"/>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4.</w:t>
            </w:r>
            <w:r>
              <w:rPr>
                <w:rFonts w:hint="eastAsia" w:ascii="仿宋" w:hAnsi="仿宋" w:eastAsia="仿宋" w:cs="仿宋"/>
                <w:color w:val="000000"/>
                <w:sz w:val="24"/>
                <w:szCs w:val="24"/>
              </w:rPr>
              <w:t>市场、广告、网络商品交易监管</w:t>
            </w:r>
          </w:p>
          <w:p>
            <w:pPr>
              <w:widowControl/>
              <w:jc w:val="both"/>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5.</w:t>
            </w:r>
            <w:r>
              <w:rPr>
                <w:rFonts w:hint="eastAsia" w:ascii="仿宋" w:hAnsi="仿宋" w:eastAsia="仿宋" w:cs="仿宋"/>
                <w:color w:val="000000"/>
                <w:sz w:val="24"/>
                <w:szCs w:val="24"/>
              </w:rPr>
              <w:t>商标注册登记</w:t>
            </w:r>
          </w:p>
        </w:tc>
        <w:tc>
          <w:tcPr>
            <w:tcW w:w="2215"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构建以信用为核心的新型市场监管体制</w:t>
            </w:r>
          </w:p>
        </w:tc>
        <w:tc>
          <w:tcPr>
            <w:tcW w:w="2135"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构建以信用为核心的新型市场监管体制</w:t>
            </w:r>
          </w:p>
        </w:tc>
      </w:tr>
      <w:tr>
        <w:tblPrEx>
          <w:tblLayout w:type="fixed"/>
          <w:tblCellMar>
            <w:top w:w="0" w:type="dxa"/>
            <w:left w:w="0" w:type="dxa"/>
            <w:bottom w:w="0" w:type="dxa"/>
            <w:right w:w="0" w:type="dxa"/>
          </w:tblCellMar>
        </w:tblPrEx>
        <w:trPr>
          <w:trHeight w:val="1042"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olor w:val="000000"/>
                <w:sz w:val="24"/>
                <w:szCs w:val="24"/>
              </w:rPr>
            </w:pPr>
          </w:p>
        </w:tc>
        <w:tc>
          <w:tcPr>
            <w:tcW w:w="567"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满意度指标</w:t>
            </w:r>
          </w:p>
        </w:tc>
        <w:tc>
          <w:tcPr>
            <w:tcW w:w="1193"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textAlignment w:val="center"/>
              <w:rPr>
                <w:rFonts w:ascii="宋体"/>
                <w:color w:val="000000"/>
                <w:sz w:val="24"/>
                <w:szCs w:val="24"/>
              </w:rPr>
            </w:pPr>
            <w:r>
              <w:rPr>
                <w:rFonts w:hint="eastAsia" w:ascii="宋体"/>
                <w:color w:val="000000"/>
                <w:sz w:val="24"/>
                <w:szCs w:val="24"/>
              </w:rPr>
              <w:t>满意度指标</w:t>
            </w:r>
          </w:p>
        </w:tc>
        <w:tc>
          <w:tcPr>
            <w:tcW w:w="178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政府部门满意度</w:t>
            </w:r>
          </w:p>
        </w:tc>
        <w:tc>
          <w:tcPr>
            <w:tcW w:w="2215"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≥95%</w:t>
            </w:r>
          </w:p>
        </w:tc>
        <w:tc>
          <w:tcPr>
            <w:tcW w:w="2135"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98%</w:t>
            </w:r>
          </w:p>
        </w:tc>
      </w:tr>
      <w:tr>
        <w:tblPrEx>
          <w:tblLayout w:type="fixed"/>
          <w:tblCellMar>
            <w:top w:w="0" w:type="dxa"/>
            <w:left w:w="0" w:type="dxa"/>
            <w:bottom w:w="0" w:type="dxa"/>
            <w:right w:w="0" w:type="dxa"/>
          </w:tblCellMar>
        </w:tblPrEx>
        <w:trPr>
          <w:trHeight w:val="1042"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olor w:val="000000"/>
                <w:sz w:val="24"/>
                <w:szCs w:val="24"/>
              </w:rPr>
            </w:pPr>
          </w:p>
        </w:tc>
        <w:tc>
          <w:tcPr>
            <w:tcW w:w="567"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color w:val="000000"/>
                <w:kern w:val="0"/>
                <w:sz w:val="24"/>
                <w:szCs w:val="24"/>
              </w:rPr>
            </w:pPr>
            <w:r>
              <w:rPr>
                <w:rFonts w:hint="eastAsia" w:ascii="宋体" w:hAnsi="宋体"/>
                <w:color w:val="000000"/>
                <w:kern w:val="0"/>
                <w:sz w:val="24"/>
                <w:szCs w:val="24"/>
              </w:rPr>
              <w:t>满意度指标</w:t>
            </w:r>
          </w:p>
        </w:tc>
        <w:tc>
          <w:tcPr>
            <w:tcW w:w="1193"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color w:val="000000"/>
                <w:sz w:val="24"/>
                <w:szCs w:val="24"/>
              </w:rPr>
              <w:t>满意度指标</w:t>
            </w:r>
          </w:p>
        </w:tc>
        <w:tc>
          <w:tcPr>
            <w:tcW w:w="178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社会满意度</w:t>
            </w:r>
          </w:p>
        </w:tc>
        <w:tc>
          <w:tcPr>
            <w:tcW w:w="2215"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≥95%</w:t>
            </w:r>
          </w:p>
        </w:tc>
        <w:tc>
          <w:tcPr>
            <w:tcW w:w="2135"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98%</w:t>
            </w:r>
          </w:p>
        </w:tc>
      </w:tr>
      <w:tr>
        <w:tblPrEx>
          <w:tblLayout w:type="fixed"/>
          <w:tblCellMar>
            <w:top w:w="0" w:type="dxa"/>
            <w:left w:w="0" w:type="dxa"/>
            <w:bottom w:w="0" w:type="dxa"/>
            <w:right w:w="0" w:type="dxa"/>
          </w:tblCellMar>
        </w:tblPrEx>
        <w:trPr>
          <w:trHeight w:val="1034" w:hRule="atLeast"/>
        </w:trPr>
        <w:tc>
          <w:tcPr>
            <w:tcW w:w="8626" w:type="dxa"/>
            <w:gridSpan w:val="12"/>
            <w:tcBorders>
              <w:top w:val="nil"/>
              <w:left w:val="nil"/>
              <w:bottom w:val="nil"/>
              <w:right w:val="nil"/>
            </w:tcBorders>
            <w:tcMar>
              <w:top w:w="15" w:type="dxa"/>
              <w:left w:w="15" w:type="dxa"/>
              <w:bottom w:w="0" w:type="dxa"/>
              <w:right w:w="15" w:type="dxa"/>
            </w:tcMar>
            <w:vAlign w:val="center"/>
          </w:tcPr>
          <w:p>
            <w:pPr>
              <w:pStyle w:val="36"/>
              <w:widowControl/>
              <w:ind w:firstLine="0" w:firstLineChars="0"/>
              <w:jc w:val="center"/>
              <w:textAlignment w:val="center"/>
              <w:rPr>
                <w:rFonts w:ascii="宋体"/>
                <w:color w:val="000000"/>
                <w:sz w:val="36"/>
                <w:szCs w:val="36"/>
              </w:rPr>
            </w:pPr>
            <w:r>
              <w:rPr>
                <w:rFonts w:hint="eastAsia" w:ascii="黑体" w:hAnsi="黑体" w:eastAsia="黑体" w:cs="宋体"/>
                <w:color w:val="000000"/>
                <w:kern w:val="0"/>
                <w:sz w:val="36"/>
                <w:szCs w:val="36"/>
              </w:rPr>
              <w:t>项目支出绩效目标完成情况表</w:t>
            </w:r>
            <w:r>
              <w:rPr>
                <w:rFonts w:ascii="宋体"/>
                <w:b/>
                <w:bCs/>
                <w:color w:val="000000"/>
                <w:kern w:val="0"/>
                <w:sz w:val="36"/>
                <w:szCs w:val="36"/>
              </w:rPr>
              <w:br w:type="textWrapping"/>
            </w:r>
            <w:r>
              <w:rPr>
                <w:rFonts w:ascii="宋体" w:hAnsi="宋体"/>
                <w:color w:val="000000"/>
                <w:kern w:val="0"/>
                <w:sz w:val="36"/>
                <w:szCs w:val="36"/>
              </w:rPr>
              <w:t>(2018</w:t>
            </w:r>
            <w:r>
              <w:rPr>
                <w:rFonts w:hint="eastAsia" w:ascii="宋体" w:hAnsi="宋体"/>
                <w:color w:val="000000"/>
                <w:kern w:val="0"/>
                <w:sz w:val="36"/>
                <w:szCs w:val="36"/>
              </w:rPr>
              <w:t>年度</w:t>
            </w:r>
            <w:r>
              <w:rPr>
                <w:rFonts w:ascii="宋体" w:hAnsi="宋体"/>
                <w:color w:val="000000"/>
                <w:kern w:val="0"/>
                <w:sz w:val="36"/>
                <w:szCs w:val="36"/>
              </w:rPr>
              <w:t>)</w:t>
            </w:r>
          </w:p>
        </w:tc>
      </w:tr>
      <w:tr>
        <w:tblPrEx>
          <w:tblLayout w:type="fixed"/>
          <w:tblCellMar>
            <w:top w:w="0" w:type="dxa"/>
            <w:left w:w="0" w:type="dxa"/>
            <w:bottom w:w="0" w:type="dxa"/>
            <w:right w:w="0" w:type="dxa"/>
          </w:tblCellMar>
        </w:tblPrEx>
        <w:trPr>
          <w:trHeight w:val="276" w:hRule="atLeast"/>
        </w:trPr>
        <w:tc>
          <w:tcPr>
            <w:tcW w:w="2491" w:type="dxa"/>
            <w:gridSpan w:val="5"/>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rPr>
            </w:pPr>
            <w:r>
              <w:rPr>
                <w:rFonts w:hint="eastAsia" w:ascii="宋体" w:hAnsi="宋体"/>
                <w:color w:val="000000"/>
                <w:kern w:val="0"/>
              </w:rPr>
              <w:t>项目名称</w:t>
            </w:r>
          </w:p>
        </w:tc>
        <w:tc>
          <w:tcPr>
            <w:tcW w:w="6135" w:type="dxa"/>
            <w:gridSpan w:val="7"/>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执法办案</w:t>
            </w:r>
          </w:p>
        </w:tc>
      </w:tr>
      <w:tr>
        <w:tblPrEx>
          <w:tblLayout w:type="fixed"/>
          <w:tblCellMar>
            <w:top w:w="0" w:type="dxa"/>
            <w:left w:w="0" w:type="dxa"/>
            <w:bottom w:w="0" w:type="dxa"/>
            <w:right w:w="0" w:type="dxa"/>
          </w:tblCellMar>
        </w:tblPrEx>
        <w:trPr>
          <w:trHeight w:val="276" w:hRule="atLeast"/>
        </w:trPr>
        <w:tc>
          <w:tcPr>
            <w:tcW w:w="2491" w:type="dxa"/>
            <w:gridSpan w:val="5"/>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rPr>
            </w:pPr>
            <w:r>
              <w:rPr>
                <w:rFonts w:hint="eastAsia" w:ascii="宋体" w:hAnsi="宋体"/>
                <w:color w:val="000000"/>
                <w:kern w:val="0"/>
              </w:rPr>
              <w:t>预算单位</w:t>
            </w:r>
          </w:p>
        </w:tc>
        <w:tc>
          <w:tcPr>
            <w:tcW w:w="6135" w:type="dxa"/>
            <w:gridSpan w:val="7"/>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广元市工商行政管理局</w:t>
            </w:r>
          </w:p>
        </w:tc>
      </w:tr>
      <w:tr>
        <w:tblPrEx>
          <w:tblLayout w:type="fixed"/>
          <w:tblCellMar>
            <w:top w:w="0" w:type="dxa"/>
            <w:left w:w="0" w:type="dxa"/>
            <w:bottom w:w="0" w:type="dxa"/>
            <w:right w:w="0" w:type="dxa"/>
          </w:tblCellMar>
        </w:tblPrEx>
        <w:trPr>
          <w:trHeight w:val="953" w:hRule="atLeast"/>
        </w:trPr>
        <w:tc>
          <w:tcPr>
            <w:tcW w:w="73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rPr>
            </w:pPr>
            <w:r>
              <w:rPr>
                <w:rFonts w:hint="eastAsia" w:ascii="宋体" w:hAnsi="宋体"/>
                <w:color w:val="000000"/>
                <w:kern w:val="0"/>
              </w:rPr>
              <w:t>预算执行情况</w:t>
            </w:r>
            <w:r>
              <w:rPr>
                <w:rFonts w:ascii="宋体" w:hAnsi="宋体"/>
                <w:color w:val="000000"/>
                <w:kern w:val="0"/>
              </w:rPr>
              <w:t>(</w:t>
            </w:r>
            <w:r>
              <w:rPr>
                <w:rFonts w:hint="eastAsia" w:ascii="宋体" w:hAnsi="宋体"/>
                <w:color w:val="000000"/>
                <w:kern w:val="0"/>
              </w:rPr>
              <w:t>万元</w:t>
            </w:r>
            <w:r>
              <w:rPr>
                <w:rFonts w:ascii="宋体" w:hAnsi="宋体"/>
                <w:color w:val="000000"/>
                <w:kern w:val="0"/>
              </w:rPr>
              <w:t>)</w:t>
            </w:r>
          </w:p>
        </w:tc>
        <w:tc>
          <w:tcPr>
            <w:tcW w:w="1760"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rPr>
            </w:pPr>
            <w:r>
              <w:rPr>
                <w:rFonts w:hint="eastAsia" w:ascii="宋体" w:hAnsi="宋体"/>
                <w:color w:val="000000"/>
                <w:kern w:val="0"/>
              </w:rPr>
              <w:t>预算数</w:t>
            </w:r>
            <w:r>
              <w:rPr>
                <w:rFonts w:ascii="宋体" w:hAnsi="宋体"/>
                <w:color w:val="000000"/>
                <w:kern w:val="0"/>
              </w:rPr>
              <w:t>:</w:t>
            </w:r>
          </w:p>
        </w:tc>
        <w:tc>
          <w:tcPr>
            <w:tcW w:w="178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20.00</w:t>
            </w:r>
          </w:p>
        </w:tc>
        <w:tc>
          <w:tcPr>
            <w:tcW w:w="2215"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执行数:</w:t>
            </w:r>
          </w:p>
        </w:tc>
        <w:tc>
          <w:tcPr>
            <w:tcW w:w="2135"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15.34</w:t>
            </w:r>
          </w:p>
        </w:tc>
      </w:tr>
      <w:tr>
        <w:tblPrEx>
          <w:tblLayout w:type="fixed"/>
          <w:tblCellMar>
            <w:top w:w="0" w:type="dxa"/>
            <w:left w:w="0" w:type="dxa"/>
            <w:bottom w:w="0" w:type="dxa"/>
            <w:right w:w="0" w:type="dxa"/>
          </w:tblCellMar>
        </w:tblPrEx>
        <w:trPr>
          <w:trHeight w:val="276"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olor w:val="000000"/>
              </w:rPr>
            </w:pPr>
          </w:p>
        </w:tc>
        <w:tc>
          <w:tcPr>
            <w:tcW w:w="1760"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rPr>
            </w:pPr>
            <w:r>
              <w:rPr>
                <w:rFonts w:hint="eastAsia" w:ascii="宋体" w:hAnsi="宋体"/>
                <w:color w:val="000000"/>
                <w:kern w:val="0"/>
              </w:rPr>
              <w:t>其中</w:t>
            </w:r>
            <w:r>
              <w:rPr>
                <w:rFonts w:ascii="宋体"/>
                <w:color w:val="000000"/>
                <w:kern w:val="0"/>
              </w:rPr>
              <w:t>-</w:t>
            </w:r>
            <w:r>
              <w:rPr>
                <w:rFonts w:hint="eastAsia" w:ascii="宋体" w:hAnsi="宋体"/>
                <w:color w:val="000000"/>
                <w:kern w:val="0"/>
              </w:rPr>
              <w:t>财政拨款</w:t>
            </w:r>
            <w:r>
              <w:rPr>
                <w:rFonts w:ascii="宋体" w:hAnsi="宋体"/>
                <w:color w:val="000000"/>
                <w:kern w:val="0"/>
              </w:rPr>
              <w:t>:</w:t>
            </w:r>
          </w:p>
        </w:tc>
        <w:tc>
          <w:tcPr>
            <w:tcW w:w="178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20.00</w:t>
            </w:r>
          </w:p>
        </w:tc>
        <w:tc>
          <w:tcPr>
            <w:tcW w:w="2215"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其中-财政拨款:</w:t>
            </w:r>
          </w:p>
        </w:tc>
        <w:tc>
          <w:tcPr>
            <w:tcW w:w="2135"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15.34</w:t>
            </w:r>
          </w:p>
        </w:tc>
      </w:tr>
      <w:tr>
        <w:tblPrEx>
          <w:tblLayout w:type="fixed"/>
          <w:tblCellMar>
            <w:top w:w="0" w:type="dxa"/>
            <w:left w:w="0" w:type="dxa"/>
            <w:bottom w:w="0" w:type="dxa"/>
            <w:right w:w="0" w:type="dxa"/>
          </w:tblCellMar>
        </w:tblPrEx>
        <w:trPr>
          <w:trHeight w:val="1511"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olor w:val="000000"/>
              </w:rPr>
            </w:pPr>
          </w:p>
        </w:tc>
        <w:tc>
          <w:tcPr>
            <w:tcW w:w="1760"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rPr>
            </w:pPr>
            <w:r>
              <w:rPr>
                <w:rFonts w:hint="eastAsia" w:ascii="宋体" w:hAnsi="宋体"/>
                <w:color w:val="000000"/>
                <w:kern w:val="0"/>
              </w:rPr>
              <w:t>其它资金</w:t>
            </w:r>
            <w:r>
              <w:rPr>
                <w:rFonts w:ascii="宋体" w:hAnsi="宋体"/>
                <w:color w:val="000000"/>
                <w:kern w:val="0"/>
              </w:rPr>
              <w:t>:</w:t>
            </w:r>
          </w:p>
        </w:tc>
        <w:tc>
          <w:tcPr>
            <w:tcW w:w="178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p>
        </w:tc>
        <w:tc>
          <w:tcPr>
            <w:tcW w:w="2215"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其它资金:</w:t>
            </w:r>
          </w:p>
        </w:tc>
        <w:tc>
          <w:tcPr>
            <w:tcW w:w="2135"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hint="eastAsia" w:ascii="仿宋" w:hAnsi="仿宋" w:eastAsia="仿宋" w:cs="仿宋"/>
                <w:color w:val="000000"/>
                <w:sz w:val="24"/>
                <w:szCs w:val="24"/>
              </w:rPr>
            </w:pPr>
          </w:p>
        </w:tc>
      </w:tr>
      <w:tr>
        <w:tblPrEx>
          <w:tblLayout w:type="fixed"/>
          <w:tblCellMar>
            <w:top w:w="0" w:type="dxa"/>
            <w:left w:w="0" w:type="dxa"/>
            <w:bottom w:w="0" w:type="dxa"/>
            <w:right w:w="0" w:type="dxa"/>
          </w:tblCellMar>
        </w:tblPrEx>
        <w:trPr>
          <w:trHeight w:val="276" w:hRule="atLeast"/>
        </w:trPr>
        <w:tc>
          <w:tcPr>
            <w:tcW w:w="73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rPr>
            </w:pPr>
            <w:r>
              <w:rPr>
                <w:rFonts w:hint="eastAsia" w:ascii="宋体" w:hAnsi="宋体"/>
                <w:color w:val="000000"/>
                <w:kern w:val="0"/>
              </w:rPr>
              <w:t>年度目标完成情况</w:t>
            </w:r>
          </w:p>
        </w:tc>
        <w:tc>
          <w:tcPr>
            <w:tcW w:w="3545" w:type="dxa"/>
            <w:gridSpan w:val="5"/>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预期目标</w:t>
            </w:r>
          </w:p>
        </w:tc>
        <w:tc>
          <w:tcPr>
            <w:tcW w:w="4350" w:type="dxa"/>
            <w:gridSpan w:val="6"/>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实际完成目标</w:t>
            </w:r>
          </w:p>
        </w:tc>
      </w:tr>
      <w:tr>
        <w:tblPrEx>
          <w:tblLayout w:type="fixed"/>
          <w:tblCellMar>
            <w:top w:w="0" w:type="dxa"/>
            <w:left w:w="0" w:type="dxa"/>
            <w:bottom w:w="0" w:type="dxa"/>
            <w:right w:w="0" w:type="dxa"/>
          </w:tblCellMar>
        </w:tblPrEx>
        <w:trPr>
          <w:trHeight w:val="1546"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olor w:val="000000"/>
              </w:rPr>
            </w:pPr>
          </w:p>
        </w:tc>
        <w:tc>
          <w:tcPr>
            <w:tcW w:w="3545" w:type="dxa"/>
            <w:gridSpan w:val="5"/>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tbl>
            <w:tblPr>
              <w:tblStyle w:val="20"/>
              <w:tblW w:w="6820" w:type="dxa"/>
              <w:tblInd w:w="0" w:type="dxa"/>
              <w:tblLayout w:type="fixed"/>
              <w:tblCellMar>
                <w:top w:w="0" w:type="dxa"/>
                <w:left w:w="108" w:type="dxa"/>
                <w:bottom w:w="0" w:type="dxa"/>
                <w:right w:w="108" w:type="dxa"/>
              </w:tblCellMar>
            </w:tblPr>
            <w:tblGrid>
              <w:gridCol w:w="6820"/>
            </w:tblGrid>
            <w:tr>
              <w:tblPrEx>
                <w:tblLayout w:type="fixed"/>
                <w:tblCellMar>
                  <w:top w:w="0" w:type="dxa"/>
                  <w:left w:w="108" w:type="dxa"/>
                  <w:bottom w:w="0" w:type="dxa"/>
                  <w:right w:w="108" w:type="dxa"/>
                </w:tblCellMar>
              </w:tblPrEx>
              <w:trPr>
                <w:trHeight w:val="799" w:hRule="atLeast"/>
              </w:trPr>
              <w:tc>
                <w:tcPr>
                  <w:tcW w:w="6820" w:type="dxa"/>
                  <w:shd w:val="clear" w:color="auto" w:fill="auto"/>
                  <w:vAlign w:val="center"/>
                </w:tcPr>
                <w:p>
                  <w:pPr>
                    <w:rPr>
                      <w:rFonts w:hint="eastAsia" w:ascii="仿宋" w:hAnsi="仿宋" w:eastAsia="仿宋" w:cs="仿宋"/>
                      <w:sz w:val="24"/>
                      <w:szCs w:val="24"/>
                    </w:rPr>
                  </w:pPr>
                  <w:r>
                    <w:rPr>
                      <w:rFonts w:hint="eastAsia" w:ascii="仿宋" w:hAnsi="仿宋" w:eastAsia="仿宋" w:cs="仿宋"/>
                      <w:sz w:val="24"/>
                      <w:szCs w:val="24"/>
                    </w:rPr>
                    <w:t>1</w:t>
                  </w:r>
                  <w:r>
                    <w:rPr>
                      <w:rFonts w:hint="eastAsia" w:ascii="仿宋" w:hAnsi="仿宋" w:eastAsia="仿宋" w:cs="仿宋"/>
                      <w:sz w:val="24"/>
                      <w:szCs w:val="24"/>
                      <w:lang w:val="en-US" w:eastAsia="zh-CN"/>
                    </w:rPr>
                    <w:t>.</w:t>
                  </w:r>
                  <w:r>
                    <w:rPr>
                      <w:rFonts w:hint="eastAsia" w:ascii="仿宋" w:hAnsi="仿宋" w:eastAsia="仿宋" w:cs="仿宋"/>
                      <w:sz w:val="24"/>
                      <w:szCs w:val="24"/>
                    </w:rPr>
                    <w:t>法律法规宣传</w:t>
                  </w:r>
                </w:p>
              </w:tc>
            </w:tr>
            <w:tr>
              <w:tblPrEx>
                <w:tblLayout w:type="fixed"/>
                <w:tblCellMar>
                  <w:top w:w="0" w:type="dxa"/>
                  <w:left w:w="108" w:type="dxa"/>
                  <w:bottom w:w="0" w:type="dxa"/>
                  <w:right w:w="108" w:type="dxa"/>
                </w:tblCellMar>
              </w:tblPrEx>
              <w:trPr>
                <w:trHeight w:val="379" w:hRule="atLeast"/>
              </w:trPr>
              <w:tc>
                <w:tcPr>
                  <w:tcW w:w="6820" w:type="dxa"/>
                  <w:shd w:val="clear" w:color="auto" w:fill="auto"/>
                  <w:vAlign w:val="center"/>
                </w:tcPr>
                <w:p>
                  <w:pPr>
                    <w:rPr>
                      <w:rFonts w:hint="eastAsia" w:ascii="仿宋" w:hAnsi="仿宋" w:eastAsia="仿宋" w:cs="仿宋"/>
                      <w:sz w:val="24"/>
                      <w:szCs w:val="24"/>
                    </w:rPr>
                  </w:pPr>
                  <w:r>
                    <w:rPr>
                      <w:rFonts w:hint="eastAsia" w:ascii="仿宋" w:hAnsi="仿宋" w:eastAsia="仿宋" w:cs="仿宋"/>
                      <w:sz w:val="24"/>
                      <w:szCs w:val="24"/>
                      <w:lang w:val="en-US" w:eastAsia="zh-CN"/>
                    </w:rPr>
                    <w:t>2.</w:t>
                  </w:r>
                  <w:r>
                    <w:rPr>
                      <w:rFonts w:hint="eastAsia" w:ascii="仿宋" w:hAnsi="仿宋" w:eastAsia="仿宋" w:cs="仿宋"/>
                      <w:sz w:val="24"/>
                      <w:szCs w:val="24"/>
                    </w:rPr>
                    <w:t>案件查办，行业整顿，各类专项整治</w:t>
                  </w:r>
                </w:p>
              </w:tc>
            </w:tr>
          </w:tbl>
          <w:p>
            <w:pPr>
              <w:widowControl/>
              <w:jc w:val="center"/>
              <w:textAlignment w:val="center"/>
              <w:rPr>
                <w:rFonts w:hint="eastAsia" w:ascii="仿宋" w:hAnsi="仿宋" w:eastAsia="仿宋" w:cs="仿宋"/>
                <w:color w:val="000000"/>
                <w:sz w:val="24"/>
                <w:szCs w:val="24"/>
              </w:rPr>
            </w:pPr>
          </w:p>
        </w:tc>
        <w:tc>
          <w:tcPr>
            <w:tcW w:w="4350" w:type="dxa"/>
            <w:gridSpan w:val="6"/>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加强市场监管执法，</w:t>
            </w:r>
            <w:r>
              <w:rPr>
                <w:rFonts w:hint="eastAsia" w:ascii="仿宋" w:hAnsi="仿宋" w:eastAsia="仿宋" w:cs="仿宋"/>
                <w:color w:val="000000"/>
                <w:sz w:val="24"/>
                <w:szCs w:val="24"/>
              </w:rPr>
              <w:t>开展</w:t>
            </w:r>
            <w:r>
              <w:rPr>
                <w:rFonts w:hint="eastAsia" w:ascii="仿宋" w:hAnsi="仿宋" w:eastAsia="仿宋" w:cs="仿宋"/>
                <w:color w:val="000000"/>
                <w:sz w:val="24"/>
                <w:szCs w:val="24"/>
                <w:lang w:eastAsia="zh-CN"/>
              </w:rPr>
              <w:t>“红盾春雷行动”等</w:t>
            </w:r>
            <w:r>
              <w:rPr>
                <w:rFonts w:hint="eastAsia" w:ascii="仿宋" w:hAnsi="仿宋" w:eastAsia="仿宋" w:cs="仿宋"/>
                <w:color w:val="000000"/>
                <w:sz w:val="24"/>
                <w:szCs w:val="24"/>
              </w:rPr>
              <w:t>各类专项整治行动不低于1</w:t>
            </w:r>
            <w:r>
              <w:rPr>
                <w:rFonts w:hint="eastAsia" w:ascii="仿宋" w:hAnsi="仿宋" w:eastAsia="仿宋" w:cs="仿宋"/>
                <w:color w:val="000000"/>
                <w:sz w:val="24"/>
                <w:szCs w:val="24"/>
                <w:lang w:val="en-US" w:eastAsia="zh-CN"/>
              </w:rPr>
              <w:t>0</w:t>
            </w:r>
            <w:r>
              <w:rPr>
                <w:rFonts w:hint="eastAsia" w:ascii="仿宋" w:hAnsi="仿宋" w:eastAsia="仿宋" w:cs="仿宋"/>
                <w:color w:val="000000"/>
                <w:sz w:val="24"/>
                <w:szCs w:val="24"/>
              </w:rPr>
              <w:t>次；</w:t>
            </w:r>
            <w:r>
              <w:rPr>
                <w:rFonts w:hint="eastAsia" w:ascii="仿宋" w:hAnsi="仿宋" w:eastAsia="仿宋" w:cs="仿宋"/>
                <w:color w:val="000000"/>
                <w:sz w:val="24"/>
                <w:szCs w:val="24"/>
                <w:lang w:eastAsia="zh-CN"/>
              </w:rPr>
              <w:t>强化法律法规宣传，</w:t>
            </w:r>
            <w:r>
              <w:rPr>
                <w:rFonts w:hint="eastAsia" w:ascii="仿宋" w:hAnsi="仿宋" w:eastAsia="仿宋" w:cs="仿宋"/>
                <w:color w:val="000000"/>
                <w:sz w:val="24"/>
                <w:szCs w:val="24"/>
              </w:rPr>
              <w:t>活动覆盖面不低于95%</w:t>
            </w:r>
          </w:p>
        </w:tc>
      </w:tr>
      <w:tr>
        <w:tblPrEx>
          <w:tblLayout w:type="fixed"/>
          <w:tblCellMar>
            <w:top w:w="0" w:type="dxa"/>
            <w:left w:w="0" w:type="dxa"/>
            <w:bottom w:w="0" w:type="dxa"/>
            <w:right w:w="0" w:type="dxa"/>
          </w:tblCellMar>
        </w:tblPrEx>
        <w:trPr>
          <w:trHeight w:val="1042" w:hRule="atLeast"/>
        </w:trPr>
        <w:tc>
          <w:tcPr>
            <w:tcW w:w="73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rPr>
            </w:pPr>
            <w:r>
              <w:rPr>
                <w:rFonts w:hint="eastAsia" w:ascii="宋体" w:hAnsi="宋体"/>
                <w:color w:val="000000"/>
              </w:rPr>
              <w:t>绩效指标完成情况</w:t>
            </w:r>
          </w:p>
        </w:tc>
        <w:tc>
          <w:tcPr>
            <w:tcW w:w="567"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rPr>
            </w:pPr>
            <w:r>
              <w:rPr>
                <w:rFonts w:hint="eastAsia" w:ascii="宋体" w:hAnsi="宋体"/>
                <w:color w:val="000000"/>
                <w:kern w:val="0"/>
              </w:rPr>
              <w:t>一级指标</w:t>
            </w:r>
          </w:p>
        </w:tc>
        <w:tc>
          <w:tcPr>
            <w:tcW w:w="1193"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rPr>
            </w:pPr>
            <w:r>
              <w:rPr>
                <w:rFonts w:hint="eastAsia" w:ascii="宋体" w:hAnsi="宋体"/>
                <w:color w:val="000000"/>
                <w:kern w:val="0"/>
              </w:rPr>
              <w:t>二级指标</w:t>
            </w:r>
          </w:p>
        </w:tc>
        <w:tc>
          <w:tcPr>
            <w:tcW w:w="178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三级指标</w:t>
            </w:r>
          </w:p>
        </w:tc>
        <w:tc>
          <w:tcPr>
            <w:tcW w:w="2215"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预期指标值(包含数字及文字描述)</w:t>
            </w:r>
          </w:p>
        </w:tc>
        <w:tc>
          <w:tcPr>
            <w:tcW w:w="2135"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实际完成指标值(包含数字及文字描述)</w:t>
            </w:r>
          </w:p>
        </w:tc>
      </w:tr>
      <w:tr>
        <w:tblPrEx>
          <w:tblLayout w:type="fixed"/>
          <w:tblCellMar>
            <w:top w:w="0" w:type="dxa"/>
            <w:left w:w="0" w:type="dxa"/>
            <w:bottom w:w="0" w:type="dxa"/>
            <w:right w:w="0" w:type="dxa"/>
          </w:tblCellMar>
        </w:tblPrEx>
        <w:trPr>
          <w:trHeight w:val="953"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olor w:val="000000"/>
              </w:rPr>
            </w:pPr>
          </w:p>
        </w:tc>
        <w:tc>
          <w:tcPr>
            <w:tcW w:w="567"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rPr>
            </w:pPr>
            <w:r>
              <w:rPr>
                <w:rFonts w:hint="eastAsia" w:ascii="宋体" w:hAnsi="宋体"/>
                <w:color w:val="000000"/>
                <w:kern w:val="0"/>
              </w:rPr>
              <w:t>项目完成指标</w:t>
            </w:r>
          </w:p>
        </w:tc>
        <w:tc>
          <w:tcPr>
            <w:tcW w:w="1193"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cs="宋体"/>
              </w:rPr>
            </w:pPr>
            <w:r>
              <w:rPr>
                <w:rFonts w:hint="eastAsia"/>
              </w:rPr>
              <w:t>数量指标</w:t>
            </w:r>
          </w:p>
        </w:tc>
        <w:tc>
          <w:tcPr>
            <w:tcW w:w="178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1、法律法规宣传</w:t>
            </w:r>
          </w:p>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2</w:t>
            </w:r>
            <w:r>
              <w:rPr>
                <w:rFonts w:hint="eastAsia" w:ascii="仿宋" w:hAnsi="仿宋" w:eastAsia="仿宋" w:cs="仿宋"/>
                <w:color w:val="000000"/>
                <w:sz w:val="24"/>
                <w:szCs w:val="24"/>
                <w:lang w:eastAsia="zh-CN"/>
              </w:rPr>
              <w:t>、</w:t>
            </w:r>
            <w:r>
              <w:rPr>
                <w:rFonts w:hint="eastAsia" w:ascii="仿宋" w:hAnsi="仿宋" w:eastAsia="仿宋" w:cs="仿宋"/>
                <w:color w:val="000000"/>
                <w:sz w:val="24"/>
                <w:szCs w:val="24"/>
              </w:rPr>
              <w:t>案件查办、行业整顿、各类专项整治</w:t>
            </w:r>
          </w:p>
        </w:tc>
        <w:tc>
          <w:tcPr>
            <w:tcW w:w="2215"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rPr>
              <w:t>宣传资料≥</w:t>
            </w:r>
            <w:r>
              <w:rPr>
                <w:rFonts w:hint="eastAsia" w:ascii="仿宋" w:hAnsi="仿宋" w:eastAsia="仿宋" w:cs="仿宋"/>
                <w:color w:val="000000"/>
                <w:sz w:val="24"/>
                <w:szCs w:val="24"/>
                <w:lang w:val="en-US" w:eastAsia="zh-CN"/>
              </w:rPr>
              <w:t>30</w:t>
            </w:r>
            <w:r>
              <w:rPr>
                <w:rFonts w:hint="eastAsia" w:ascii="仿宋" w:hAnsi="仿宋" w:eastAsia="仿宋" w:cs="仿宋"/>
                <w:color w:val="000000"/>
                <w:sz w:val="24"/>
                <w:szCs w:val="24"/>
              </w:rPr>
              <w:t>00份，宣传标语≥1</w:t>
            </w:r>
            <w:r>
              <w:rPr>
                <w:rFonts w:hint="eastAsia" w:ascii="仿宋" w:hAnsi="仿宋" w:eastAsia="仿宋" w:cs="仿宋"/>
                <w:color w:val="000000"/>
                <w:sz w:val="24"/>
                <w:szCs w:val="24"/>
                <w:lang w:val="en-US" w:eastAsia="zh-CN"/>
              </w:rPr>
              <w:t>0</w:t>
            </w:r>
            <w:r>
              <w:rPr>
                <w:rFonts w:hint="eastAsia" w:ascii="仿宋" w:hAnsi="仿宋" w:eastAsia="仿宋" w:cs="仿宋"/>
                <w:color w:val="000000"/>
                <w:sz w:val="24"/>
                <w:szCs w:val="24"/>
              </w:rPr>
              <w:t>幅，LED显示≥2</w:t>
            </w:r>
            <w:r>
              <w:rPr>
                <w:rFonts w:hint="eastAsia" w:ascii="仿宋" w:hAnsi="仿宋" w:eastAsia="仿宋" w:cs="仿宋"/>
                <w:color w:val="000000"/>
                <w:sz w:val="24"/>
                <w:szCs w:val="24"/>
                <w:lang w:val="en-US" w:eastAsia="zh-CN"/>
              </w:rPr>
              <w:t>0</w:t>
            </w:r>
            <w:r>
              <w:rPr>
                <w:rFonts w:hint="eastAsia" w:ascii="仿宋" w:hAnsi="仿宋" w:eastAsia="仿宋" w:cs="仿宋"/>
                <w:color w:val="000000"/>
                <w:sz w:val="24"/>
                <w:szCs w:val="24"/>
              </w:rPr>
              <w:t>次，专项行动≥1次</w:t>
            </w:r>
            <w:r>
              <w:rPr>
                <w:rFonts w:hint="eastAsia" w:ascii="仿宋" w:hAnsi="仿宋" w:eastAsia="仿宋" w:cs="仿宋"/>
                <w:color w:val="000000"/>
                <w:sz w:val="24"/>
                <w:szCs w:val="24"/>
                <w:lang w:eastAsia="zh-CN"/>
              </w:rPr>
              <w:t>。</w:t>
            </w:r>
          </w:p>
        </w:tc>
        <w:tc>
          <w:tcPr>
            <w:tcW w:w="2135"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发放</w:t>
            </w:r>
            <w:r>
              <w:rPr>
                <w:rFonts w:hint="eastAsia" w:ascii="仿宋" w:hAnsi="仿宋" w:eastAsia="仿宋" w:cs="仿宋"/>
                <w:color w:val="000000"/>
                <w:sz w:val="24"/>
                <w:szCs w:val="24"/>
              </w:rPr>
              <w:t>宣传资料</w:t>
            </w:r>
            <w:r>
              <w:rPr>
                <w:rFonts w:hint="eastAsia" w:ascii="仿宋" w:hAnsi="仿宋" w:eastAsia="仿宋" w:cs="仿宋"/>
                <w:color w:val="000000"/>
                <w:sz w:val="24"/>
                <w:szCs w:val="24"/>
                <w:lang w:val="en-US" w:eastAsia="zh-CN"/>
              </w:rPr>
              <w:t>3200余</w:t>
            </w:r>
            <w:r>
              <w:rPr>
                <w:rFonts w:hint="eastAsia" w:ascii="仿宋" w:hAnsi="仿宋" w:eastAsia="仿宋" w:cs="仿宋"/>
                <w:color w:val="000000"/>
                <w:sz w:val="24"/>
                <w:szCs w:val="24"/>
              </w:rPr>
              <w:t>份，宣传标语</w:t>
            </w:r>
            <w:r>
              <w:rPr>
                <w:rFonts w:hint="eastAsia" w:ascii="仿宋" w:hAnsi="仿宋" w:eastAsia="仿宋" w:cs="仿宋"/>
                <w:color w:val="000000"/>
                <w:sz w:val="24"/>
                <w:szCs w:val="24"/>
                <w:lang w:val="en-US" w:eastAsia="zh-CN"/>
              </w:rPr>
              <w:t>1</w:t>
            </w:r>
            <w:r>
              <w:rPr>
                <w:rFonts w:hint="eastAsia" w:ascii="仿宋" w:hAnsi="仿宋" w:eastAsia="仿宋" w:cs="仿宋"/>
                <w:color w:val="000000"/>
                <w:sz w:val="24"/>
                <w:szCs w:val="24"/>
              </w:rPr>
              <w:t>2幅，LED显示25次，</w:t>
            </w:r>
            <w:r>
              <w:rPr>
                <w:rFonts w:hint="eastAsia" w:ascii="仿宋" w:hAnsi="仿宋" w:eastAsia="仿宋" w:cs="仿宋"/>
                <w:color w:val="000000"/>
                <w:sz w:val="24"/>
                <w:szCs w:val="24"/>
                <w:lang w:eastAsia="zh-CN"/>
              </w:rPr>
              <w:t>活动基本全覆盖。开展“红盾春雷行动”“假冒伪类商品专项整治”等</w:t>
            </w:r>
            <w:r>
              <w:rPr>
                <w:rFonts w:hint="eastAsia" w:ascii="仿宋" w:hAnsi="仿宋" w:eastAsia="仿宋" w:cs="仿宋"/>
                <w:color w:val="000000"/>
                <w:sz w:val="24"/>
                <w:szCs w:val="24"/>
              </w:rPr>
              <w:t>专项行动</w:t>
            </w:r>
            <w:r>
              <w:rPr>
                <w:rFonts w:hint="eastAsia" w:ascii="仿宋" w:hAnsi="仿宋" w:eastAsia="仿宋" w:cs="仿宋"/>
                <w:color w:val="000000"/>
                <w:sz w:val="24"/>
                <w:szCs w:val="24"/>
                <w:lang w:val="en-US" w:eastAsia="zh-CN"/>
              </w:rPr>
              <w:t>10余</w:t>
            </w:r>
            <w:r>
              <w:rPr>
                <w:rFonts w:hint="eastAsia" w:ascii="仿宋" w:hAnsi="仿宋" w:eastAsia="仿宋" w:cs="仿宋"/>
                <w:color w:val="000000"/>
                <w:sz w:val="24"/>
                <w:szCs w:val="24"/>
              </w:rPr>
              <w:t>次</w:t>
            </w:r>
            <w:r>
              <w:rPr>
                <w:rFonts w:hint="eastAsia" w:ascii="仿宋" w:hAnsi="仿宋" w:eastAsia="仿宋" w:cs="仿宋"/>
                <w:color w:val="000000"/>
                <w:sz w:val="24"/>
                <w:szCs w:val="24"/>
                <w:lang w:eastAsia="zh-CN"/>
              </w:rPr>
              <w:t>。</w:t>
            </w:r>
          </w:p>
        </w:tc>
      </w:tr>
      <w:tr>
        <w:tblPrEx>
          <w:tblLayout w:type="fixed"/>
          <w:tblCellMar>
            <w:top w:w="0" w:type="dxa"/>
            <w:left w:w="0" w:type="dxa"/>
            <w:bottom w:w="0" w:type="dxa"/>
            <w:right w:w="0" w:type="dxa"/>
          </w:tblCellMar>
        </w:tblPrEx>
        <w:trPr>
          <w:trHeight w:val="1297"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olor w:val="000000"/>
              </w:rPr>
            </w:pPr>
          </w:p>
        </w:tc>
        <w:tc>
          <w:tcPr>
            <w:tcW w:w="567"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rPr>
            </w:pPr>
            <w:r>
              <w:rPr>
                <w:rFonts w:hint="eastAsia" w:ascii="宋体" w:hAnsi="宋体"/>
                <w:color w:val="000000"/>
                <w:kern w:val="0"/>
              </w:rPr>
              <w:t>项目完成指标</w:t>
            </w:r>
          </w:p>
        </w:tc>
        <w:tc>
          <w:tcPr>
            <w:tcW w:w="1193"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cs="宋体"/>
              </w:rPr>
            </w:pPr>
            <w:r>
              <w:rPr>
                <w:rFonts w:hint="eastAsia"/>
              </w:rPr>
              <w:t>质量指标</w:t>
            </w:r>
          </w:p>
        </w:tc>
        <w:tc>
          <w:tcPr>
            <w:tcW w:w="178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1、法律法规宣传</w:t>
            </w:r>
          </w:p>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2</w:t>
            </w:r>
            <w:r>
              <w:rPr>
                <w:rFonts w:hint="eastAsia" w:ascii="仿宋" w:hAnsi="仿宋" w:eastAsia="仿宋" w:cs="仿宋"/>
                <w:color w:val="000000"/>
                <w:sz w:val="24"/>
                <w:szCs w:val="24"/>
                <w:lang w:eastAsia="zh-CN"/>
              </w:rPr>
              <w:t>、</w:t>
            </w:r>
            <w:r>
              <w:rPr>
                <w:rFonts w:hint="eastAsia" w:ascii="仿宋" w:hAnsi="仿宋" w:eastAsia="仿宋" w:cs="仿宋"/>
                <w:color w:val="000000"/>
                <w:sz w:val="24"/>
                <w:szCs w:val="24"/>
              </w:rPr>
              <w:t>案件查办、行业整顿、各类专项整治</w:t>
            </w:r>
          </w:p>
        </w:tc>
        <w:tc>
          <w:tcPr>
            <w:tcW w:w="2215"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hint="eastAsia" w:ascii="仿宋" w:hAnsi="仿宋" w:eastAsia="仿宋" w:cs="仿宋"/>
                <w:sz w:val="24"/>
                <w:szCs w:val="24"/>
              </w:rPr>
            </w:pPr>
            <w:r>
              <w:rPr>
                <w:rFonts w:hint="eastAsia" w:ascii="仿宋" w:hAnsi="仿宋" w:eastAsia="仿宋" w:cs="仿宋"/>
                <w:sz w:val="24"/>
                <w:szCs w:val="24"/>
              </w:rPr>
              <w:t>专项行动≥1</w:t>
            </w:r>
            <w:r>
              <w:rPr>
                <w:rFonts w:hint="eastAsia" w:ascii="仿宋" w:hAnsi="仿宋" w:eastAsia="仿宋" w:cs="仿宋"/>
                <w:sz w:val="24"/>
                <w:szCs w:val="24"/>
                <w:lang w:val="en-US" w:eastAsia="zh-CN"/>
              </w:rPr>
              <w:t>0</w:t>
            </w:r>
            <w:r>
              <w:rPr>
                <w:rFonts w:hint="eastAsia" w:ascii="仿宋" w:hAnsi="仿宋" w:eastAsia="仿宋" w:cs="仿宋"/>
                <w:sz w:val="24"/>
                <w:szCs w:val="24"/>
              </w:rPr>
              <w:t>次，案件数≥20件</w:t>
            </w:r>
            <w:r>
              <w:rPr>
                <w:rFonts w:hint="eastAsia" w:ascii="仿宋" w:hAnsi="仿宋" w:eastAsia="仿宋" w:cs="仿宋"/>
                <w:sz w:val="24"/>
                <w:szCs w:val="24"/>
                <w:lang w:eastAsia="zh-CN"/>
              </w:rPr>
              <w:t>。</w:t>
            </w:r>
            <w:r>
              <w:rPr>
                <w:rFonts w:hint="eastAsia" w:ascii="仿宋" w:hAnsi="仿宋" w:eastAsia="仿宋" w:cs="仿宋"/>
                <w:sz w:val="24"/>
                <w:szCs w:val="24"/>
              </w:rPr>
              <w:t>让市场主体达到守法经营，提高市场主体及群众法律意识营造公平竞争环境，规范行业经营行为，净化市场环境</w:t>
            </w:r>
          </w:p>
        </w:tc>
        <w:tc>
          <w:tcPr>
            <w:tcW w:w="2135"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开展“红盾春雷行动”“假冒伪类商品专项整治”等</w:t>
            </w:r>
            <w:r>
              <w:rPr>
                <w:rFonts w:hint="eastAsia" w:ascii="仿宋" w:hAnsi="仿宋" w:eastAsia="仿宋" w:cs="仿宋"/>
                <w:color w:val="000000"/>
                <w:sz w:val="24"/>
                <w:szCs w:val="24"/>
              </w:rPr>
              <w:t>专项行动</w:t>
            </w:r>
            <w:r>
              <w:rPr>
                <w:rFonts w:hint="eastAsia" w:ascii="仿宋" w:hAnsi="仿宋" w:eastAsia="仿宋" w:cs="仿宋"/>
                <w:color w:val="000000"/>
                <w:sz w:val="24"/>
                <w:szCs w:val="24"/>
                <w:lang w:val="en-US" w:eastAsia="zh-CN"/>
              </w:rPr>
              <w:t>10余</w:t>
            </w:r>
            <w:r>
              <w:rPr>
                <w:rFonts w:hint="eastAsia" w:ascii="仿宋" w:hAnsi="仿宋" w:eastAsia="仿宋" w:cs="仿宋"/>
                <w:color w:val="000000"/>
                <w:sz w:val="24"/>
                <w:szCs w:val="24"/>
              </w:rPr>
              <w:t>次</w:t>
            </w:r>
            <w:r>
              <w:rPr>
                <w:rFonts w:hint="eastAsia" w:ascii="仿宋" w:hAnsi="仿宋" w:eastAsia="仿宋" w:cs="仿宋"/>
                <w:color w:val="000000"/>
                <w:sz w:val="24"/>
                <w:szCs w:val="24"/>
                <w:lang w:eastAsia="zh-CN"/>
              </w:rPr>
              <w:t>。</w:t>
            </w:r>
            <w:r>
              <w:rPr>
                <w:rFonts w:hint="eastAsia" w:ascii="仿宋" w:hAnsi="仿宋" w:eastAsia="仿宋" w:cs="仿宋"/>
                <w:color w:val="000000"/>
                <w:sz w:val="24"/>
                <w:szCs w:val="24"/>
              </w:rPr>
              <w:t>春雷期间共出动执法人员296人次，检查企业和个体户703户，立案24件，结案24件，万元以上大案2件，10万元以上大案1件移交司法部门处理案件1件，罚没款21.941 万元</w:t>
            </w:r>
            <w:r>
              <w:rPr>
                <w:rFonts w:hint="eastAsia" w:ascii="仿宋" w:hAnsi="仿宋" w:eastAsia="仿宋" w:cs="仿宋"/>
                <w:color w:val="000000"/>
                <w:sz w:val="24"/>
                <w:szCs w:val="24"/>
                <w:lang w:eastAsia="zh-CN"/>
              </w:rPr>
              <w:t>。</w:t>
            </w:r>
          </w:p>
        </w:tc>
      </w:tr>
      <w:tr>
        <w:tblPrEx>
          <w:tblLayout w:type="fixed"/>
          <w:tblCellMar>
            <w:top w:w="0" w:type="dxa"/>
            <w:left w:w="0" w:type="dxa"/>
            <w:bottom w:w="0" w:type="dxa"/>
            <w:right w:w="0" w:type="dxa"/>
          </w:tblCellMar>
        </w:tblPrEx>
        <w:trPr>
          <w:trHeight w:val="1042"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olor w:val="000000"/>
              </w:rPr>
            </w:pPr>
          </w:p>
        </w:tc>
        <w:tc>
          <w:tcPr>
            <w:tcW w:w="567"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rPr>
            </w:pPr>
            <w:r>
              <w:rPr>
                <w:rFonts w:hint="eastAsia" w:ascii="宋体" w:hAnsi="宋体"/>
                <w:color w:val="000000"/>
                <w:kern w:val="0"/>
              </w:rPr>
              <w:t>项目完成指标</w:t>
            </w:r>
          </w:p>
        </w:tc>
        <w:tc>
          <w:tcPr>
            <w:tcW w:w="1193"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cs="宋体"/>
              </w:rPr>
            </w:pPr>
            <w:r>
              <w:rPr>
                <w:rFonts w:hint="eastAsia"/>
              </w:rPr>
              <w:t>时效指标</w:t>
            </w:r>
          </w:p>
        </w:tc>
        <w:tc>
          <w:tcPr>
            <w:tcW w:w="178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1、法律法规宣传</w:t>
            </w:r>
          </w:p>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2</w:t>
            </w:r>
            <w:r>
              <w:rPr>
                <w:rFonts w:hint="eastAsia" w:ascii="仿宋" w:hAnsi="仿宋" w:eastAsia="仿宋" w:cs="仿宋"/>
                <w:color w:val="000000"/>
                <w:sz w:val="24"/>
                <w:szCs w:val="24"/>
                <w:lang w:eastAsia="zh-CN"/>
              </w:rPr>
              <w:t>、</w:t>
            </w:r>
            <w:r>
              <w:rPr>
                <w:rFonts w:hint="eastAsia" w:ascii="仿宋" w:hAnsi="仿宋" w:eastAsia="仿宋" w:cs="仿宋"/>
                <w:color w:val="000000"/>
                <w:sz w:val="24"/>
                <w:szCs w:val="24"/>
              </w:rPr>
              <w:t>案件查办、行业整顿、各类专项整治</w:t>
            </w:r>
          </w:p>
        </w:tc>
        <w:tc>
          <w:tcPr>
            <w:tcW w:w="2215"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hint="eastAsia" w:ascii="仿宋" w:hAnsi="仿宋" w:eastAsia="仿宋" w:cs="仿宋"/>
                <w:sz w:val="24"/>
                <w:szCs w:val="24"/>
              </w:rPr>
            </w:pPr>
            <w:r>
              <w:rPr>
                <w:rFonts w:hint="eastAsia" w:ascii="仿宋" w:hAnsi="仿宋" w:eastAsia="仿宋" w:cs="仿宋"/>
                <w:sz w:val="24"/>
                <w:szCs w:val="24"/>
              </w:rPr>
              <w:t>2018年1月1日至2018年12月31日</w:t>
            </w:r>
          </w:p>
        </w:tc>
        <w:tc>
          <w:tcPr>
            <w:tcW w:w="2135"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按照时间节点完成</w:t>
            </w:r>
          </w:p>
        </w:tc>
      </w:tr>
      <w:tr>
        <w:tblPrEx>
          <w:tblLayout w:type="fixed"/>
          <w:tblCellMar>
            <w:top w:w="0" w:type="dxa"/>
            <w:left w:w="0" w:type="dxa"/>
            <w:bottom w:w="0" w:type="dxa"/>
            <w:right w:w="0" w:type="dxa"/>
          </w:tblCellMar>
        </w:tblPrEx>
        <w:trPr>
          <w:trHeight w:val="1042"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olor w:val="000000"/>
              </w:rPr>
            </w:pPr>
          </w:p>
        </w:tc>
        <w:tc>
          <w:tcPr>
            <w:tcW w:w="567"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kern w:val="0"/>
              </w:rPr>
            </w:pPr>
            <w:r>
              <w:rPr>
                <w:rFonts w:hint="eastAsia" w:ascii="宋体" w:hAnsi="宋体"/>
                <w:color w:val="000000"/>
                <w:kern w:val="0"/>
              </w:rPr>
              <w:t>项目完成指标</w:t>
            </w:r>
          </w:p>
        </w:tc>
        <w:tc>
          <w:tcPr>
            <w:tcW w:w="1193"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cs="宋体"/>
              </w:rPr>
            </w:pPr>
            <w:r>
              <w:rPr>
                <w:rFonts w:hint="eastAsia"/>
              </w:rPr>
              <w:t>成本指标</w:t>
            </w:r>
          </w:p>
        </w:tc>
        <w:tc>
          <w:tcPr>
            <w:tcW w:w="178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1、法律法规宣传</w:t>
            </w:r>
          </w:p>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2</w:t>
            </w:r>
            <w:r>
              <w:rPr>
                <w:rFonts w:hint="eastAsia" w:ascii="仿宋" w:hAnsi="仿宋" w:eastAsia="仿宋" w:cs="仿宋"/>
                <w:color w:val="000000"/>
                <w:sz w:val="24"/>
                <w:szCs w:val="24"/>
                <w:lang w:eastAsia="zh-CN"/>
              </w:rPr>
              <w:t>、</w:t>
            </w:r>
            <w:r>
              <w:rPr>
                <w:rFonts w:hint="eastAsia" w:ascii="仿宋" w:hAnsi="仿宋" w:eastAsia="仿宋" w:cs="仿宋"/>
                <w:color w:val="000000"/>
                <w:sz w:val="24"/>
                <w:szCs w:val="24"/>
              </w:rPr>
              <w:t>案件查办、行业整顿、各类专项整治</w:t>
            </w:r>
          </w:p>
        </w:tc>
        <w:tc>
          <w:tcPr>
            <w:tcW w:w="2215"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hint="eastAsia" w:ascii="仿宋" w:hAnsi="仿宋" w:eastAsia="仿宋" w:cs="仿宋"/>
                <w:sz w:val="24"/>
                <w:szCs w:val="24"/>
              </w:rPr>
            </w:pPr>
            <w:r>
              <w:rPr>
                <w:rFonts w:hint="eastAsia" w:ascii="仿宋" w:hAnsi="仿宋" w:eastAsia="仿宋" w:cs="仿宋"/>
                <w:color w:val="000000"/>
                <w:sz w:val="24"/>
                <w:szCs w:val="24"/>
              </w:rPr>
              <w:t>严格按照要求控制支出</w:t>
            </w:r>
            <w:r>
              <w:rPr>
                <w:rFonts w:hint="eastAsia" w:ascii="仿宋" w:hAnsi="仿宋" w:eastAsia="仿宋" w:cs="仿宋"/>
                <w:color w:val="000000"/>
                <w:sz w:val="24"/>
                <w:szCs w:val="24"/>
                <w:lang w:eastAsia="zh-CN"/>
              </w:rPr>
              <w:t>。</w:t>
            </w:r>
            <w:r>
              <w:rPr>
                <w:rFonts w:hint="eastAsia" w:ascii="仿宋" w:hAnsi="仿宋" w:eastAsia="仿宋" w:cs="仿宋"/>
                <w:color w:val="000000"/>
                <w:sz w:val="24"/>
                <w:szCs w:val="24"/>
              </w:rPr>
              <w:t>费用控制支出费用（万元）≦</w:t>
            </w:r>
            <w:r>
              <w:rPr>
                <w:rFonts w:hint="eastAsia" w:ascii="仿宋" w:hAnsi="仿宋" w:eastAsia="仿宋" w:cs="仿宋"/>
                <w:color w:val="000000"/>
                <w:sz w:val="24"/>
                <w:szCs w:val="24"/>
                <w:lang w:val="en-US" w:eastAsia="zh-CN"/>
              </w:rPr>
              <w:t>2</w:t>
            </w:r>
            <w:r>
              <w:rPr>
                <w:rFonts w:hint="eastAsia" w:ascii="仿宋" w:hAnsi="仿宋" w:eastAsia="仿宋" w:cs="仿宋"/>
                <w:color w:val="000000"/>
                <w:sz w:val="24"/>
                <w:szCs w:val="24"/>
              </w:rPr>
              <w:t>0</w:t>
            </w:r>
          </w:p>
        </w:tc>
        <w:tc>
          <w:tcPr>
            <w:tcW w:w="2135"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完成成本</w:t>
            </w:r>
            <w:r>
              <w:rPr>
                <w:rFonts w:hint="eastAsia" w:ascii="仿宋" w:hAnsi="仿宋" w:eastAsia="仿宋" w:cs="仿宋"/>
                <w:color w:val="000000"/>
                <w:sz w:val="24"/>
                <w:szCs w:val="24"/>
                <w:lang w:val="en-US" w:eastAsia="zh-CN"/>
              </w:rPr>
              <w:t>15.34</w:t>
            </w:r>
            <w:r>
              <w:rPr>
                <w:rFonts w:hint="eastAsia" w:ascii="仿宋" w:hAnsi="仿宋" w:eastAsia="仿宋" w:cs="仿宋"/>
                <w:color w:val="000000"/>
                <w:sz w:val="24"/>
                <w:szCs w:val="24"/>
              </w:rPr>
              <w:t>万元，严控支出费用</w:t>
            </w:r>
          </w:p>
        </w:tc>
      </w:tr>
      <w:tr>
        <w:tblPrEx>
          <w:tblLayout w:type="fixed"/>
          <w:tblCellMar>
            <w:top w:w="0" w:type="dxa"/>
            <w:left w:w="0" w:type="dxa"/>
            <w:bottom w:w="0" w:type="dxa"/>
            <w:right w:w="0" w:type="dxa"/>
          </w:tblCellMar>
        </w:tblPrEx>
        <w:trPr>
          <w:trHeight w:val="1042"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olor w:val="000000"/>
              </w:rPr>
            </w:pPr>
          </w:p>
        </w:tc>
        <w:tc>
          <w:tcPr>
            <w:tcW w:w="567"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rPr>
            </w:pPr>
            <w:r>
              <w:rPr>
                <w:rFonts w:hint="eastAsia" w:ascii="宋体" w:hAnsi="宋体"/>
                <w:color w:val="000000"/>
                <w:kern w:val="0"/>
              </w:rPr>
              <w:t>效益指标</w:t>
            </w:r>
          </w:p>
        </w:tc>
        <w:tc>
          <w:tcPr>
            <w:tcW w:w="1193"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cs="宋体"/>
              </w:rPr>
            </w:pPr>
            <w:r>
              <w:rPr>
                <w:rFonts w:hint="eastAsia"/>
              </w:rPr>
              <w:t>经济效益</w:t>
            </w:r>
            <w:r>
              <w:rPr>
                <w:rFonts w:hint="eastAsia"/>
              </w:rPr>
              <w:br w:type="textWrapping"/>
            </w:r>
            <w:r>
              <w:rPr>
                <w:rFonts w:hint="eastAsia"/>
              </w:rPr>
              <w:t>指标</w:t>
            </w:r>
          </w:p>
        </w:tc>
        <w:tc>
          <w:tcPr>
            <w:tcW w:w="178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1、法律法规宣传</w:t>
            </w:r>
          </w:p>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2</w:t>
            </w:r>
            <w:r>
              <w:rPr>
                <w:rFonts w:hint="eastAsia" w:ascii="仿宋" w:hAnsi="仿宋" w:eastAsia="仿宋" w:cs="仿宋"/>
                <w:color w:val="000000"/>
                <w:sz w:val="24"/>
                <w:szCs w:val="24"/>
                <w:lang w:eastAsia="zh-CN"/>
              </w:rPr>
              <w:t>、</w:t>
            </w:r>
            <w:r>
              <w:rPr>
                <w:rFonts w:hint="eastAsia" w:ascii="仿宋" w:hAnsi="仿宋" w:eastAsia="仿宋" w:cs="仿宋"/>
                <w:color w:val="000000"/>
                <w:sz w:val="24"/>
                <w:szCs w:val="24"/>
              </w:rPr>
              <w:t>案件查办、行业整顿、各类专项整治</w:t>
            </w:r>
          </w:p>
        </w:tc>
        <w:tc>
          <w:tcPr>
            <w:tcW w:w="2215"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hint="eastAsia" w:ascii="仿宋" w:hAnsi="仿宋" w:eastAsia="仿宋" w:cs="仿宋"/>
                <w:sz w:val="24"/>
                <w:szCs w:val="24"/>
                <w:lang w:eastAsia="zh-CN"/>
              </w:rPr>
            </w:pPr>
            <w:r>
              <w:rPr>
                <w:rFonts w:hint="eastAsia" w:ascii="仿宋" w:hAnsi="仿宋" w:eastAsia="仿宋" w:cs="仿宋"/>
                <w:sz w:val="24"/>
                <w:szCs w:val="24"/>
              </w:rPr>
              <w:t>营造公平</w:t>
            </w:r>
            <w:r>
              <w:rPr>
                <w:rFonts w:hint="eastAsia" w:ascii="仿宋" w:hAnsi="仿宋" w:eastAsia="仿宋" w:cs="仿宋"/>
                <w:sz w:val="24"/>
                <w:szCs w:val="24"/>
                <w:lang w:eastAsia="zh-CN"/>
              </w:rPr>
              <w:t>诚信的市场</w:t>
            </w:r>
            <w:r>
              <w:rPr>
                <w:rFonts w:hint="eastAsia" w:ascii="仿宋" w:hAnsi="仿宋" w:eastAsia="仿宋" w:cs="仿宋"/>
                <w:sz w:val="24"/>
                <w:szCs w:val="24"/>
              </w:rPr>
              <w:t>竞争环境</w:t>
            </w:r>
            <w:r>
              <w:rPr>
                <w:rFonts w:hint="eastAsia" w:ascii="仿宋" w:hAnsi="仿宋" w:eastAsia="仿宋" w:cs="仿宋"/>
                <w:sz w:val="24"/>
                <w:szCs w:val="24"/>
                <w:lang w:eastAsia="zh-CN"/>
              </w:rPr>
              <w:t>和社会环境</w:t>
            </w:r>
          </w:p>
          <w:p>
            <w:pPr>
              <w:widowControl/>
              <w:jc w:val="center"/>
              <w:textAlignment w:val="center"/>
              <w:rPr>
                <w:rFonts w:hint="eastAsia" w:ascii="仿宋" w:hAnsi="仿宋" w:eastAsia="仿宋" w:cs="仿宋"/>
                <w:color w:val="000000"/>
                <w:sz w:val="24"/>
                <w:szCs w:val="24"/>
              </w:rPr>
            </w:pPr>
          </w:p>
        </w:tc>
        <w:tc>
          <w:tcPr>
            <w:tcW w:w="2135"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sz w:val="24"/>
                <w:szCs w:val="24"/>
              </w:rPr>
              <w:t>营造公平</w:t>
            </w:r>
            <w:r>
              <w:rPr>
                <w:rFonts w:hint="eastAsia" w:ascii="仿宋" w:hAnsi="仿宋" w:eastAsia="仿宋" w:cs="仿宋"/>
                <w:sz w:val="24"/>
                <w:szCs w:val="24"/>
                <w:lang w:eastAsia="zh-CN"/>
              </w:rPr>
              <w:t>诚信的市场</w:t>
            </w:r>
            <w:r>
              <w:rPr>
                <w:rFonts w:hint="eastAsia" w:ascii="仿宋" w:hAnsi="仿宋" w:eastAsia="仿宋" w:cs="仿宋"/>
                <w:sz w:val="24"/>
                <w:szCs w:val="24"/>
              </w:rPr>
              <w:t>竞争环境</w:t>
            </w:r>
            <w:r>
              <w:rPr>
                <w:rFonts w:hint="eastAsia" w:ascii="仿宋" w:hAnsi="仿宋" w:eastAsia="仿宋" w:cs="仿宋"/>
                <w:sz w:val="24"/>
                <w:szCs w:val="24"/>
                <w:lang w:eastAsia="zh-CN"/>
              </w:rPr>
              <w:t>和社会环境</w:t>
            </w:r>
          </w:p>
        </w:tc>
      </w:tr>
      <w:tr>
        <w:tblPrEx>
          <w:tblLayout w:type="fixed"/>
          <w:tblCellMar>
            <w:top w:w="0" w:type="dxa"/>
            <w:left w:w="0" w:type="dxa"/>
            <w:bottom w:w="0" w:type="dxa"/>
            <w:right w:w="0" w:type="dxa"/>
          </w:tblCellMar>
        </w:tblPrEx>
        <w:trPr>
          <w:trHeight w:val="1297"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olor w:val="000000"/>
              </w:rPr>
            </w:pPr>
          </w:p>
        </w:tc>
        <w:tc>
          <w:tcPr>
            <w:tcW w:w="567"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rPr>
            </w:pPr>
            <w:r>
              <w:rPr>
                <w:rFonts w:hint="eastAsia" w:ascii="宋体" w:hAnsi="宋体"/>
                <w:color w:val="000000"/>
                <w:kern w:val="0"/>
              </w:rPr>
              <w:t>效益指标</w:t>
            </w:r>
          </w:p>
        </w:tc>
        <w:tc>
          <w:tcPr>
            <w:tcW w:w="1193"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cs="宋体"/>
              </w:rPr>
            </w:pPr>
            <w:r>
              <w:rPr>
                <w:rFonts w:hint="eastAsia"/>
              </w:rPr>
              <w:t>社会效益</w:t>
            </w:r>
            <w:r>
              <w:rPr>
                <w:rFonts w:hint="eastAsia"/>
              </w:rPr>
              <w:br w:type="textWrapping"/>
            </w:r>
            <w:r>
              <w:rPr>
                <w:rFonts w:hint="eastAsia"/>
              </w:rPr>
              <w:t>指标</w:t>
            </w:r>
          </w:p>
        </w:tc>
        <w:tc>
          <w:tcPr>
            <w:tcW w:w="178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1、法律法规宣传</w:t>
            </w:r>
          </w:p>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2</w:t>
            </w:r>
            <w:r>
              <w:rPr>
                <w:rFonts w:hint="eastAsia" w:ascii="仿宋" w:hAnsi="仿宋" w:eastAsia="仿宋" w:cs="仿宋"/>
                <w:color w:val="000000"/>
                <w:sz w:val="24"/>
                <w:szCs w:val="24"/>
                <w:lang w:eastAsia="zh-CN"/>
              </w:rPr>
              <w:t>、</w:t>
            </w:r>
            <w:r>
              <w:rPr>
                <w:rFonts w:hint="eastAsia" w:ascii="仿宋" w:hAnsi="仿宋" w:eastAsia="仿宋" w:cs="仿宋"/>
                <w:color w:val="000000"/>
                <w:sz w:val="24"/>
                <w:szCs w:val="24"/>
              </w:rPr>
              <w:t>案件查办、行业整顿、各类专项整治</w:t>
            </w:r>
          </w:p>
        </w:tc>
        <w:tc>
          <w:tcPr>
            <w:tcW w:w="2215"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sz w:val="24"/>
                <w:szCs w:val="24"/>
              </w:rPr>
              <w:t>营造公平</w:t>
            </w:r>
            <w:r>
              <w:rPr>
                <w:rFonts w:hint="eastAsia" w:ascii="仿宋" w:hAnsi="仿宋" w:eastAsia="仿宋" w:cs="仿宋"/>
                <w:sz w:val="24"/>
                <w:szCs w:val="24"/>
                <w:lang w:eastAsia="zh-CN"/>
              </w:rPr>
              <w:t>诚信的市场</w:t>
            </w:r>
            <w:r>
              <w:rPr>
                <w:rFonts w:hint="eastAsia" w:ascii="仿宋" w:hAnsi="仿宋" w:eastAsia="仿宋" w:cs="仿宋"/>
                <w:sz w:val="24"/>
                <w:szCs w:val="24"/>
              </w:rPr>
              <w:t>竞争环境</w:t>
            </w:r>
            <w:r>
              <w:rPr>
                <w:rFonts w:hint="eastAsia" w:ascii="仿宋" w:hAnsi="仿宋" w:eastAsia="仿宋" w:cs="仿宋"/>
                <w:sz w:val="24"/>
                <w:szCs w:val="24"/>
                <w:lang w:eastAsia="zh-CN"/>
              </w:rPr>
              <w:t>和社会环境</w:t>
            </w:r>
          </w:p>
        </w:tc>
        <w:tc>
          <w:tcPr>
            <w:tcW w:w="2135"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sz w:val="24"/>
                <w:szCs w:val="24"/>
              </w:rPr>
              <w:t>营造公平</w:t>
            </w:r>
            <w:r>
              <w:rPr>
                <w:rFonts w:hint="eastAsia" w:ascii="仿宋" w:hAnsi="仿宋" w:eastAsia="仿宋" w:cs="仿宋"/>
                <w:sz w:val="24"/>
                <w:szCs w:val="24"/>
                <w:lang w:eastAsia="zh-CN"/>
              </w:rPr>
              <w:t>诚信的市场</w:t>
            </w:r>
            <w:r>
              <w:rPr>
                <w:rFonts w:hint="eastAsia" w:ascii="仿宋" w:hAnsi="仿宋" w:eastAsia="仿宋" w:cs="仿宋"/>
                <w:sz w:val="24"/>
                <w:szCs w:val="24"/>
              </w:rPr>
              <w:t>竞争环境</w:t>
            </w:r>
            <w:r>
              <w:rPr>
                <w:rFonts w:hint="eastAsia" w:ascii="仿宋" w:hAnsi="仿宋" w:eastAsia="仿宋" w:cs="仿宋"/>
                <w:sz w:val="24"/>
                <w:szCs w:val="24"/>
                <w:lang w:eastAsia="zh-CN"/>
              </w:rPr>
              <w:t>和社会环境</w:t>
            </w:r>
          </w:p>
        </w:tc>
      </w:tr>
      <w:tr>
        <w:tblPrEx>
          <w:tblLayout w:type="fixed"/>
          <w:tblCellMar>
            <w:top w:w="0" w:type="dxa"/>
            <w:left w:w="0" w:type="dxa"/>
            <w:bottom w:w="0" w:type="dxa"/>
            <w:right w:w="0" w:type="dxa"/>
          </w:tblCellMar>
        </w:tblPrEx>
        <w:trPr>
          <w:trHeight w:val="1297"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olor w:val="000000"/>
              </w:rPr>
            </w:pPr>
          </w:p>
        </w:tc>
        <w:tc>
          <w:tcPr>
            <w:tcW w:w="567"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kern w:val="0"/>
              </w:rPr>
            </w:pPr>
            <w:r>
              <w:rPr>
                <w:rFonts w:hint="eastAsia" w:ascii="宋体" w:hAnsi="宋体"/>
                <w:color w:val="000000"/>
                <w:kern w:val="0"/>
              </w:rPr>
              <w:t>……</w:t>
            </w:r>
          </w:p>
        </w:tc>
        <w:tc>
          <w:tcPr>
            <w:tcW w:w="1193"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cs="宋体"/>
              </w:rPr>
            </w:pPr>
            <w:r>
              <w:rPr>
                <w:rFonts w:hint="eastAsia"/>
              </w:rPr>
              <w:t>可持续影响</w:t>
            </w:r>
            <w:r>
              <w:rPr>
                <w:rFonts w:hint="eastAsia"/>
              </w:rPr>
              <w:br w:type="textWrapping"/>
            </w:r>
            <w:r>
              <w:rPr>
                <w:rFonts w:hint="eastAsia"/>
              </w:rPr>
              <w:t>指标</w:t>
            </w:r>
          </w:p>
        </w:tc>
        <w:tc>
          <w:tcPr>
            <w:tcW w:w="178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1、法律法规宣传</w:t>
            </w:r>
          </w:p>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2</w:t>
            </w:r>
            <w:r>
              <w:rPr>
                <w:rFonts w:hint="eastAsia" w:ascii="仿宋" w:hAnsi="仿宋" w:eastAsia="仿宋" w:cs="仿宋"/>
                <w:color w:val="000000"/>
                <w:sz w:val="24"/>
                <w:szCs w:val="24"/>
                <w:lang w:eastAsia="zh-CN"/>
              </w:rPr>
              <w:t>、</w:t>
            </w:r>
            <w:r>
              <w:rPr>
                <w:rFonts w:hint="eastAsia" w:ascii="仿宋" w:hAnsi="仿宋" w:eastAsia="仿宋" w:cs="仿宋"/>
                <w:color w:val="000000"/>
                <w:sz w:val="24"/>
                <w:szCs w:val="24"/>
              </w:rPr>
              <w:t>案件查办、行业整顿、各类专项整治</w:t>
            </w:r>
          </w:p>
        </w:tc>
        <w:tc>
          <w:tcPr>
            <w:tcW w:w="2215"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hint="eastAsia" w:ascii="仿宋" w:hAnsi="仿宋" w:eastAsia="仿宋" w:cs="仿宋"/>
                <w:sz w:val="24"/>
                <w:szCs w:val="24"/>
              </w:rPr>
            </w:pPr>
            <w:r>
              <w:rPr>
                <w:rFonts w:hint="eastAsia" w:ascii="仿宋" w:hAnsi="仿宋" w:eastAsia="仿宋" w:cs="仿宋"/>
                <w:sz w:val="24"/>
                <w:szCs w:val="24"/>
              </w:rPr>
              <w:t>建立健全长效监管机制</w:t>
            </w:r>
          </w:p>
          <w:p>
            <w:pPr>
              <w:widowControl/>
              <w:jc w:val="center"/>
              <w:textAlignment w:val="center"/>
              <w:rPr>
                <w:rFonts w:hint="eastAsia" w:ascii="仿宋" w:hAnsi="仿宋" w:eastAsia="仿宋" w:cs="仿宋"/>
                <w:color w:val="000000"/>
                <w:sz w:val="24"/>
                <w:szCs w:val="24"/>
              </w:rPr>
            </w:pPr>
          </w:p>
        </w:tc>
        <w:tc>
          <w:tcPr>
            <w:tcW w:w="2135"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hint="eastAsia" w:ascii="仿宋" w:hAnsi="仿宋" w:eastAsia="仿宋" w:cs="仿宋"/>
                <w:sz w:val="24"/>
                <w:szCs w:val="24"/>
              </w:rPr>
            </w:pPr>
            <w:r>
              <w:rPr>
                <w:rFonts w:hint="eastAsia" w:ascii="仿宋" w:hAnsi="仿宋" w:eastAsia="仿宋" w:cs="仿宋"/>
                <w:sz w:val="24"/>
                <w:szCs w:val="24"/>
              </w:rPr>
              <w:t>建立健全长效监管机制</w:t>
            </w:r>
          </w:p>
          <w:p>
            <w:pPr>
              <w:widowControl/>
              <w:jc w:val="center"/>
              <w:textAlignment w:val="center"/>
              <w:rPr>
                <w:rFonts w:hint="eastAsia" w:ascii="仿宋" w:hAnsi="仿宋" w:eastAsia="仿宋" w:cs="仿宋"/>
                <w:color w:val="000000"/>
                <w:sz w:val="24"/>
                <w:szCs w:val="24"/>
              </w:rPr>
            </w:pPr>
          </w:p>
        </w:tc>
      </w:tr>
      <w:tr>
        <w:tblPrEx>
          <w:tblLayout w:type="fixed"/>
          <w:tblCellMar>
            <w:top w:w="0" w:type="dxa"/>
            <w:left w:w="0" w:type="dxa"/>
            <w:bottom w:w="0" w:type="dxa"/>
            <w:right w:w="0" w:type="dxa"/>
          </w:tblCellMar>
        </w:tblPrEx>
        <w:trPr>
          <w:trHeight w:val="1050"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olor w:val="000000"/>
              </w:rPr>
            </w:pPr>
          </w:p>
        </w:tc>
        <w:tc>
          <w:tcPr>
            <w:tcW w:w="567"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rPr>
            </w:pPr>
            <w:r>
              <w:rPr>
                <w:rFonts w:hint="eastAsia" w:ascii="宋体" w:hAnsi="宋体"/>
                <w:color w:val="000000"/>
                <w:kern w:val="0"/>
              </w:rPr>
              <w:t>满意度指标</w:t>
            </w:r>
          </w:p>
        </w:tc>
        <w:tc>
          <w:tcPr>
            <w:tcW w:w="1193"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宋体" w:hAnsi="宋体" w:cs="宋体"/>
              </w:rPr>
            </w:pPr>
            <w:r>
              <w:rPr>
                <w:rFonts w:hint="eastAsia"/>
              </w:rPr>
              <w:t>政府满意</w:t>
            </w:r>
          </w:p>
        </w:tc>
        <w:tc>
          <w:tcPr>
            <w:tcW w:w="178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1、法律法规宣传</w:t>
            </w:r>
          </w:p>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2</w:t>
            </w:r>
            <w:r>
              <w:rPr>
                <w:rFonts w:hint="eastAsia" w:ascii="仿宋" w:hAnsi="仿宋" w:eastAsia="仿宋" w:cs="仿宋"/>
                <w:color w:val="000000"/>
                <w:sz w:val="24"/>
                <w:szCs w:val="24"/>
                <w:lang w:eastAsia="zh-CN"/>
              </w:rPr>
              <w:t>、</w:t>
            </w:r>
            <w:r>
              <w:rPr>
                <w:rFonts w:hint="eastAsia" w:ascii="仿宋" w:hAnsi="仿宋" w:eastAsia="仿宋" w:cs="仿宋"/>
                <w:color w:val="000000"/>
                <w:sz w:val="24"/>
                <w:szCs w:val="24"/>
              </w:rPr>
              <w:t>案件查办、行业整顿、各类专项整治</w:t>
            </w:r>
          </w:p>
        </w:tc>
        <w:tc>
          <w:tcPr>
            <w:tcW w:w="2215"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hint="eastAsia" w:ascii="仿宋" w:hAnsi="仿宋" w:eastAsia="仿宋" w:cs="仿宋"/>
                <w:sz w:val="24"/>
                <w:szCs w:val="24"/>
              </w:rPr>
            </w:pPr>
            <w:r>
              <w:rPr>
                <w:rFonts w:hint="eastAsia" w:ascii="仿宋" w:hAnsi="仿宋" w:eastAsia="仿宋" w:cs="仿宋"/>
                <w:sz w:val="24"/>
                <w:szCs w:val="24"/>
              </w:rPr>
              <w:t>≥95%</w:t>
            </w:r>
          </w:p>
          <w:p>
            <w:pPr>
              <w:widowControl/>
              <w:jc w:val="center"/>
              <w:textAlignment w:val="center"/>
              <w:rPr>
                <w:rFonts w:hint="eastAsia" w:ascii="仿宋" w:hAnsi="仿宋" w:eastAsia="仿宋" w:cs="仿宋"/>
                <w:color w:val="000000"/>
                <w:sz w:val="24"/>
                <w:szCs w:val="24"/>
              </w:rPr>
            </w:pPr>
          </w:p>
        </w:tc>
        <w:tc>
          <w:tcPr>
            <w:tcW w:w="2135"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hint="eastAsia" w:ascii="仿宋" w:hAnsi="仿宋" w:eastAsia="仿宋" w:cs="仿宋"/>
                <w:sz w:val="24"/>
                <w:szCs w:val="24"/>
              </w:rPr>
            </w:pPr>
            <w:r>
              <w:rPr>
                <w:rFonts w:hint="eastAsia" w:ascii="仿宋" w:hAnsi="仿宋" w:eastAsia="仿宋" w:cs="仿宋"/>
                <w:sz w:val="24"/>
                <w:szCs w:val="24"/>
              </w:rPr>
              <w:t>95%</w:t>
            </w:r>
          </w:p>
          <w:p>
            <w:pPr>
              <w:widowControl/>
              <w:jc w:val="center"/>
              <w:textAlignment w:val="center"/>
              <w:rPr>
                <w:rFonts w:hint="eastAsia" w:ascii="仿宋" w:hAnsi="仿宋" w:eastAsia="仿宋" w:cs="仿宋"/>
                <w:color w:val="000000"/>
                <w:sz w:val="24"/>
                <w:szCs w:val="24"/>
              </w:rPr>
            </w:pPr>
          </w:p>
        </w:tc>
      </w:tr>
      <w:tr>
        <w:tblPrEx>
          <w:tblLayout w:type="fixed"/>
          <w:tblCellMar>
            <w:top w:w="0" w:type="dxa"/>
            <w:left w:w="0" w:type="dxa"/>
            <w:bottom w:w="0" w:type="dxa"/>
            <w:right w:w="0" w:type="dxa"/>
          </w:tblCellMar>
        </w:tblPrEx>
        <w:trPr>
          <w:trHeight w:val="1050"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olor w:val="000000"/>
              </w:rPr>
            </w:pPr>
          </w:p>
        </w:tc>
        <w:tc>
          <w:tcPr>
            <w:tcW w:w="567"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宋体" w:hAnsi="宋体"/>
                <w:color w:val="000000"/>
                <w:kern w:val="0"/>
              </w:rPr>
            </w:pPr>
            <w:r>
              <w:rPr>
                <w:rFonts w:hint="eastAsia" w:ascii="宋体" w:hAnsi="宋体"/>
                <w:color w:val="000000"/>
                <w:kern w:val="0"/>
              </w:rPr>
              <w:t>满意度指标</w:t>
            </w:r>
          </w:p>
        </w:tc>
        <w:tc>
          <w:tcPr>
            <w:tcW w:w="1193"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rPr>
                <w:rFonts w:ascii="宋体" w:hAnsi="宋体" w:cs="宋体"/>
              </w:rPr>
            </w:pPr>
            <w:r>
              <w:rPr>
                <w:rFonts w:hint="eastAsia" w:ascii="宋体" w:hAnsi="宋体" w:cs="宋体"/>
              </w:rPr>
              <w:t>社会满意</w:t>
            </w:r>
          </w:p>
        </w:tc>
        <w:tc>
          <w:tcPr>
            <w:tcW w:w="178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宋体"/>
                <w:color w:val="000000"/>
              </w:rPr>
            </w:pPr>
            <w:r>
              <w:rPr>
                <w:rFonts w:hint="eastAsia" w:ascii="宋体"/>
                <w:color w:val="000000"/>
              </w:rPr>
              <w:t>1、法律法规宣传</w:t>
            </w:r>
          </w:p>
          <w:p>
            <w:pPr>
              <w:widowControl/>
              <w:jc w:val="center"/>
              <w:textAlignment w:val="center"/>
              <w:rPr>
                <w:rFonts w:ascii="宋体"/>
                <w:color w:val="000000"/>
              </w:rPr>
            </w:pPr>
            <w:r>
              <w:rPr>
                <w:rFonts w:hint="eastAsia" w:ascii="宋体"/>
                <w:color w:val="000000"/>
              </w:rPr>
              <w:t>2</w:t>
            </w:r>
            <w:r>
              <w:rPr>
                <w:rFonts w:hint="eastAsia" w:ascii="宋体"/>
                <w:color w:val="000000"/>
                <w:lang w:eastAsia="zh-CN"/>
              </w:rPr>
              <w:t>、</w:t>
            </w:r>
            <w:r>
              <w:rPr>
                <w:rFonts w:hint="eastAsia" w:ascii="宋体"/>
                <w:color w:val="000000"/>
              </w:rPr>
              <w:t>案件查办、行业整顿、各类专项整治</w:t>
            </w:r>
          </w:p>
        </w:tc>
        <w:tc>
          <w:tcPr>
            <w:tcW w:w="2215"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Arial" w:hAnsi="Arial" w:cs="Arial"/>
              </w:rPr>
            </w:pPr>
            <w:r>
              <w:rPr>
                <w:rFonts w:ascii="Arial" w:hAnsi="Arial" w:cs="Arial"/>
              </w:rPr>
              <w:t>≥</w:t>
            </w:r>
            <w:r>
              <w:rPr>
                <w:rFonts w:hint="eastAsia" w:cs="Arial"/>
              </w:rPr>
              <w:t>95%</w:t>
            </w:r>
          </w:p>
          <w:p>
            <w:pPr>
              <w:widowControl/>
              <w:jc w:val="center"/>
              <w:textAlignment w:val="center"/>
              <w:rPr>
                <w:rFonts w:ascii="宋体"/>
                <w:color w:val="000000"/>
              </w:rPr>
            </w:pPr>
          </w:p>
        </w:tc>
        <w:tc>
          <w:tcPr>
            <w:tcW w:w="2135"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ascii="Arial" w:hAnsi="Arial" w:cs="Arial"/>
              </w:rPr>
            </w:pPr>
            <w:r>
              <w:rPr>
                <w:rFonts w:hint="eastAsia" w:cs="Arial"/>
              </w:rPr>
              <w:t>95%</w:t>
            </w:r>
          </w:p>
          <w:p>
            <w:pPr>
              <w:widowControl/>
              <w:jc w:val="center"/>
              <w:textAlignment w:val="center"/>
              <w:rPr>
                <w:rFonts w:ascii="宋体"/>
                <w:color w:val="000000"/>
              </w:rPr>
            </w:pPr>
          </w:p>
        </w:tc>
      </w:tr>
      <w:tr>
        <w:tblPrEx>
          <w:tblLayout w:type="fixed"/>
          <w:tblCellMar>
            <w:top w:w="0" w:type="dxa"/>
            <w:left w:w="0" w:type="dxa"/>
            <w:bottom w:w="0" w:type="dxa"/>
            <w:right w:w="0" w:type="dxa"/>
          </w:tblCellMar>
        </w:tblPrEx>
        <w:trPr>
          <w:gridAfter w:val="1"/>
          <w:wAfter w:w="15" w:type="dxa"/>
          <w:trHeight w:val="1034" w:hRule="atLeast"/>
        </w:trPr>
        <w:tc>
          <w:tcPr>
            <w:tcW w:w="8611" w:type="dxa"/>
            <w:gridSpan w:val="11"/>
            <w:tcBorders>
              <w:top w:val="nil"/>
              <w:left w:val="nil"/>
              <w:bottom w:val="nil"/>
              <w:right w:val="nil"/>
            </w:tcBorders>
            <w:tcMar>
              <w:top w:w="15" w:type="dxa"/>
              <w:left w:w="15" w:type="dxa"/>
              <w:bottom w:w="0" w:type="dxa"/>
              <w:right w:w="15" w:type="dxa"/>
            </w:tcMar>
            <w:vAlign w:val="center"/>
          </w:tcPr>
          <w:p>
            <w:pPr>
              <w:pStyle w:val="36"/>
              <w:widowControl/>
              <w:ind w:firstLine="0" w:firstLineChars="0"/>
              <w:jc w:val="center"/>
              <w:textAlignment w:val="center"/>
              <w:rPr>
                <w:rFonts w:ascii="宋体"/>
                <w:color w:val="000000"/>
                <w:sz w:val="36"/>
                <w:szCs w:val="36"/>
              </w:rPr>
            </w:pPr>
            <w:r>
              <w:rPr>
                <w:rFonts w:hint="eastAsia" w:ascii="黑体" w:hAnsi="黑体" w:eastAsia="黑体" w:cs="宋体"/>
                <w:color w:val="000000"/>
                <w:kern w:val="0"/>
                <w:sz w:val="36"/>
                <w:szCs w:val="36"/>
              </w:rPr>
              <w:t>项目支出绩效目标完成情况表</w:t>
            </w:r>
            <w:r>
              <w:rPr>
                <w:rFonts w:ascii="宋体"/>
                <w:b/>
                <w:bCs/>
                <w:color w:val="000000"/>
                <w:kern w:val="0"/>
                <w:sz w:val="36"/>
                <w:szCs w:val="36"/>
              </w:rPr>
              <w:br w:type="textWrapping"/>
            </w:r>
            <w:r>
              <w:rPr>
                <w:rFonts w:ascii="宋体" w:hAnsi="宋体"/>
                <w:color w:val="000000"/>
                <w:kern w:val="0"/>
                <w:sz w:val="36"/>
                <w:szCs w:val="36"/>
              </w:rPr>
              <w:t>(2018</w:t>
            </w:r>
            <w:r>
              <w:rPr>
                <w:rFonts w:hint="eastAsia" w:ascii="宋体" w:hAnsi="宋体"/>
                <w:color w:val="000000"/>
                <w:kern w:val="0"/>
                <w:sz w:val="36"/>
                <w:szCs w:val="36"/>
              </w:rPr>
              <w:t>年度</w:t>
            </w:r>
            <w:r>
              <w:rPr>
                <w:rFonts w:ascii="宋体" w:hAnsi="宋体"/>
                <w:color w:val="000000"/>
                <w:kern w:val="0"/>
                <w:sz w:val="36"/>
                <w:szCs w:val="36"/>
              </w:rPr>
              <w:t>)</w:t>
            </w:r>
          </w:p>
        </w:tc>
      </w:tr>
      <w:tr>
        <w:tblPrEx>
          <w:tblLayout w:type="fixed"/>
          <w:tblCellMar>
            <w:top w:w="0" w:type="dxa"/>
            <w:left w:w="0" w:type="dxa"/>
            <w:bottom w:w="0" w:type="dxa"/>
            <w:right w:w="0" w:type="dxa"/>
          </w:tblCellMar>
        </w:tblPrEx>
        <w:trPr>
          <w:gridAfter w:val="1"/>
          <w:wAfter w:w="15" w:type="dxa"/>
          <w:trHeight w:val="276" w:hRule="atLeast"/>
        </w:trPr>
        <w:tc>
          <w:tcPr>
            <w:tcW w:w="2491" w:type="dxa"/>
            <w:gridSpan w:val="5"/>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rPr>
            </w:pPr>
            <w:r>
              <w:rPr>
                <w:rFonts w:hint="eastAsia" w:ascii="宋体" w:hAnsi="宋体"/>
                <w:color w:val="000000"/>
                <w:kern w:val="0"/>
              </w:rPr>
              <w:t>项目名称</w:t>
            </w:r>
          </w:p>
        </w:tc>
        <w:tc>
          <w:tcPr>
            <w:tcW w:w="6120" w:type="dxa"/>
            <w:gridSpan w:val="6"/>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rPr>
            </w:pPr>
            <w:r>
              <w:rPr>
                <w:rFonts w:hint="eastAsia" w:ascii="宋体"/>
                <w:color w:val="000000"/>
              </w:rPr>
              <w:t>12315投诉</w:t>
            </w:r>
          </w:p>
        </w:tc>
      </w:tr>
      <w:tr>
        <w:tblPrEx>
          <w:tblLayout w:type="fixed"/>
          <w:tblCellMar>
            <w:top w:w="0" w:type="dxa"/>
            <w:left w:w="0" w:type="dxa"/>
            <w:bottom w:w="0" w:type="dxa"/>
            <w:right w:w="0" w:type="dxa"/>
          </w:tblCellMar>
        </w:tblPrEx>
        <w:trPr>
          <w:gridAfter w:val="1"/>
          <w:wAfter w:w="15" w:type="dxa"/>
          <w:trHeight w:val="276" w:hRule="atLeast"/>
        </w:trPr>
        <w:tc>
          <w:tcPr>
            <w:tcW w:w="2491" w:type="dxa"/>
            <w:gridSpan w:val="5"/>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rPr>
            </w:pPr>
            <w:r>
              <w:rPr>
                <w:rFonts w:hint="eastAsia" w:ascii="宋体" w:hAnsi="宋体"/>
                <w:color w:val="000000"/>
                <w:kern w:val="0"/>
              </w:rPr>
              <w:t>预算单位</w:t>
            </w:r>
          </w:p>
        </w:tc>
        <w:tc>
          <w:tcPr>
            <w:tcW w:w="6120" w:type="dxa"/>
            <w:gridSpan w:val="6"/>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宋体" w:eastAsia="宋体"/>
                <w:color w:val="000000"/>
                <w:lang w:eastAsia="zh-CN"/>
              </w:rPr>
            </w:pPr>
            <w:r>
              <w:rPr>
                <w:rFonts w:hint="eastAsia" w:ascii="宋体"/>
                <w:color w:val="000000"/>
                <w:lang w:eastAsia="zh-CN"/>
              </w:rPr>
              <w:t>广元市工商行政管理局</w:t>
            </w:r>
          </w:p>
        </w:tc>
      </w:tr>
      <w:tr>
        <w:tblPrEx>
          <w:tblLayout w:type="fixed"/>
          <w:tblCellMar>
            <w:top w:w="0" w:type="dxa"/>
            <w:left w:w="0" w:type="dxa"/>
            <w:bottom w:w="0" w:type="dxa"/>
            <w:right w:w="0" w:type="dxa"/>
          </w:tblCellMar>
        </w:tblPrEx>
        <w:trPr>
          <w:gridAfter w:val="1"/>
          <w:wAfter w:w="15" w:type="dxa"/>
          <w:trHeight w:val="276" w:hRule="atLeast"/>
        </w:trPr>
        <w:tc>
          <w:tcPr>
            <w:tcW w:w="73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rPr>
            </w:pPr>
            <w:r>
              <w:rPr>
                <w:rFonts w:hint="eastAsia" w:ascii="宋体" w:hAnsi="宋体"/>
                <w:color w:val="000000"/>
                <w:kern w:val="0"/>
              </w:rPr>
              <w:t>预算执行情况</w:t>
            </w:r>
            <w:r>
              <w:rPr>
                <w:rFonts w:ascii="宋体" w:hAnsi="宋体"/>
                <w:color w:val="000000"/>
                <w:kern w:val="0"/>
              </w:rPr>
              <w:t>(</w:t>
            </w:r>
            <w:r>
              <w:rPr>
                <w:rFonts w:hint="eastAsia" w:ascii="宋体" w:hAnsi="宋体"/>
                <w:color w:val="000000"/>
                <w:kern w:val="0"/>
              </w:rPr>
              <w:t>万元</w:t>
            </w:r>
            <w:r>
              <w:rPr>
                <w:rFonts w:ascii="宋体" w:hAnsi="宋体"/>
                <w:color w:val="000000"/>
                <w:kern w:val="0"/>
              </w:rPr>
              <w:t>)</w:t>
            </w:r>
          </w:p>
        </w:tc>
        <w:tc>
          <w:tcPr>
            <w:tcW w:w="1760"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rPr>
            </w:pPr>
            <w:r>
              <w:rPr>
                <w:rFonts w:hint="eastAsia" w:ascii="宋体" w:hAnsi="宋体"/>
                <w:color w:val="000000"/>
                <w:kern w:val="0"/>
              </w:rPr>
              <w:t>预算数</w:t>
            </w:r>
            <w:r>
              <w:rPr>
                <w:rFonts w:ascii="宋体" w:hAnsi="宋体"/>
                <w:color w:val="000000"/>
                <w:kern w:val="0"/>
              </w:rPr>
              <w:t>:</w:t>
            </w:r>
          </w:p>
        </w:tc>
        <w:tc>
          <w:tcPr>
            <w:tcW w:w="2250"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宋体" w:eastAsia="宋体"/>
                <w:color w:val="000000"/>
                <w:sz w:val="24"/>
                <w:szCs w:val="24"/>
                <w:lang w:val="en-US" w:eastAsia="zh-CN"/>
              </w:rPr>
            </w:pPr>
            <w:r>
              <w:rPr>
                <w:rFonts w:hint="eastAsia" w:ascii="宋体"/>
                <w:color w:val="000000"/>
                <w:sz w:val="24"/>
                <w:szCs w:val="24"/>
                <w:lang w:val="en-US" w:eastAsia="zh-CN"/>
              </w:rPr>
              <w:t>15.00</w:t>
            </w:r>
          </w:p>
        </w:tc>
        <w:tc>
          <w:tcPr>
            <w:tcW w:w="1943"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rPr>
            </w:pPr>
            <w:r>
              <w:rPr>
                <w:rFonts w:hint="eastAsia" w:ascii="宋体" w:hAnsi="宋体"/>
                <w:color w:val="000000"/>
                <w:kern w:val="0"/>
              </w:rPr>
              <w:t>执行数</w:t>
            </w:r>
            <w:r>
              <w:rPr>
                <w:rFonts w:ascii="宋体" w:hAnsi="宋体"/>
                <w:color w:val="000000"/>
                <w:kern w:val="0"/>
              </w:rPr>
              <w:t>:</w:t>
            </w:r>
          </w:p>
        </w:tc>
        <w:tc>
          <w:tcPr>
            <w:tcW w:w="1927"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宋体" w:eastAsia="宋体"/>
                <w:color w:val="000000"/>
                <w:sz w:val="24"/>
                <w:szCs w:val="24"/>
                <w:lang w:val="en-US" w:eastAsia="zh-CN"/>
              </w:rPr>
            </w:pPr>
            <w:r>
              <w:rPr>
                <w:rFonts w:hint="eastAsia" w:ascii="宋体"/>
                <w:color w:val="000000"/>
                <w:sz w:val="24"/>
                <w:szCs w:val="24"/>
                <w:lang w:val="en-US" w:eastAsia="zh-CN"/>
              </w:rPr>
              <w:t>13.04</w:t>
            </w:r>
          </w:p>
        </w:tc>
      </w:tr>
      <w:tr>
        <w:tblPrEx>
          <w:tblLayout w:type="fixed"/>
          <w:tblCellMar>
            <w:top w:w="0" w:type="dxa"/>
            <w:left w:w="0" w:type="dxa"/>
            <w:bottom w:w="0" w:type="dxa"/>
            <w:right w:w="0" w:type="dxa"/>
          </w:tblCellMar>
        </w:tblPrEx>
        <w:trPr>
          <w:gridAfter w:val="1"/>
          <w:wAfter w:w="15" w:type="dxa"/>
          <w:trHeight w:val="276"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olor w:val="000000"/>
              </w:rPr>
            </w:pPr>
          </w:p>
        </w:tc>
        <w:tc>
          <w:tcPr>
            <w:tcW w:w="1760"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rPr>
            </w:pPr>
            <w:r>
              <w:rPr>
                <w:rFonts w:hint="eastAsia" w:ascii="宋体" w:hAnsi="宋体"/>
                <w:color w:val="000000"/>
                <w:kern w:val="0"/>
              </w:rPr>
              <w:t>其中</w:t>
            </w:r>
            <w:r>
              <w:rPr>
                <w:rFonts w:ascii="宋体"/>
                <w:color w:val="000000"/>
                <w:kern w:val="0"/>
              </w:rPr>
              <w:t>-</w:t>
            </w:r>
            <w:r>
              <w:rPr>
                <w:rFonts w:hint="eastAsia" w:ascii="宋体" w:hAnsi="宋体"/>
                <w:color w:val="000000"/>
                <w:kern w:val="0"/>
              </w:rPr>
              <w:t>财政拨款</w:t>
            </w:r>
            <w:r>
              <w:rPr>
                <w:rFonts w:ascii="宋体" w:hAnsi="宋体"/>
                <w:color w:val="000000"/>
                <w:kern w:val="0"/>
              </w:rPr>
              <w:t>:</w:t>
            </w:r>
          </w:p>
        </w:tc>
        <w:tc>
          <w:tcPr>
            <w:tcW w:w="2250"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宋体" w:eastAsia="宋体"/>
                <w:color w:val="000000"/>
                <w:sz w:val="24"/>
                <w:szCs w:val="24"/>
                <w:lang w:val="en-US" w:eastAsia="zh-CN"/>
              </w:rPr>
            </w:pPr>
            <w:r>
              <w:rPr>
                <w:rFonts w:hint="eastAsia" w:ascii="宋体"/>
                <w:color w:val="000000"/>
                <w:sz w:val="24"/>
                <w:szCs w:val="24"/>
                <w:lang w:val="en-US" w:eastAsia="zh-CN"/>
              </w:rPr>
              <w:t>15.00</w:t>
            </w:r>
          </w:p>
        </w:tc>
        <w:tc>
          <w:tcPr>
            <w:tcW w:w="1943"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rPr>
            </w:pPr>
            <w:r>
              <w:rPr>
                <w:rFonts w:hint="eastAsia" w:ascii="宋体" w:hAnsi="宋体"/>
                <w:color w:val="000000"/>
                <w:kern w:val="0"/>
              </w:rPr>
              <w:t>其中</w:t>
            </w:r>
            <w:r>
              <w:rPr>
                <w:rFonts w:ascii="宋体"/>
                <w:color w:val="000000"/>
                <w:kern w:val="0"/>
              </w:rPr>
              <w:t>-</w:t>
            </w:r>
            <w:r>
              <w:rPr>
                <w:rFonts w:hint="eastAsia" w:ascii="宋体" w:hAnsi="宋体"/>
                <w:color w:val="000000"/>
                <w:kern w:val="0"/>
              </w:rPr>
              <w:t>财政拨款</w:t>
            </w:r>
            <w:r>
              <w:rPr>
                <w:rFonts w:ascii="宋体" w:hAnsi="宋体"/>
                <w:color w:val="000000"/>
                <w:kern w:val="0"/>
              </w:rPr>
              <w:t>:</w:t>
            </w:r>
          </w:p>
        </w:tc>
        <w:tc>
          <w:tcPr>
            <w:tcW w:w="1927"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宋体" w:eastAsia="宋体"/>
                <w:color w:val="000000"/>
                <w:sz w:val="24"/>
                <w:szCs w:val="24"/>
                <w:lang w:val="en-US" w:eastAsia="zh-CN"/>
              </w:rPr>
            </w:pPr>
            <w:r>
              <w:rPr>
                <w:rFonts w:hint="eastAsia" w:ascii="宋体"/>
                <w:color w:val="000000"/>
                <w:sz w:val="24"/>
                <w:szCs w:val="24"/>
                <w:lang w:val="en-US" w:eastAsia="zh-CN"/>
              </w:rPr>
              <w:t>13.04</w:t>
            </w:r>
          </w:p>
        </w:tc>
      </w:tr>
      <w:tr>
        <w:tblPrEx>
          <w:tblLayout w:type="fixed"/>
          <w:tblCellMar>
            <w:top w:w="0" w:type="dxa"/>
            <w:left w:w="0" w:type="dxa"/>
            <w:bottom w:w="0" w:type="dxa"/>
            <w:right w:w="0" w:type="dxa"/>
          </w:tblCellMar>
        </w:tblPrEx>
        <w:trPr>
          <w:gridAfter w:val="1"/>
          <w:wAfter w:w="15" w:type="dxa"/>
          <w:trHeight w:val="1511"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1760"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其它资金:</w:t>
            </w:r>
          </w:p>
        </w:tc>
        <w:tc>
          <w:tcPr>
            <w:tcW w:w="2250"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p>
        </w:tc>
        <w:tc>
          <w:tcPr>
            <w:tcW w:w="1943"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其它资金:</w:t>
            </w:r>
          </w:p>
        </w:tc>
        <w:tc>
          <w:tcPr>
            <w:tcW w:w="1927"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hint="eastAsia" w:ascii="仿宋" w:hAnsi="仿宋" w:eastAsia="仿宋" w:cs="仿宋"/>
                <w:color w:val="000000"/>
                <w:sz w:val="24"/>
                <w:szCs w:val="24"/>
              </w:rPr>
            </w:pPr>
          </w:p>
        </w:tc>
      </w:tr>
      <w:tr>
        <w:tblPrEx>
          <w:tblLayout w:type="fixed"/>
          <w:tblCellMar>
            <w:top w:w="0" w:type="dxa"/>
            <w:left w:w="0" w:type="dxa"/>
            <w:bottom w:w="0" w:type="dxa"/>
            <w:right w:w="0" w:type="dxa"/>
          </w:tblCellMar>
        </w:tblPrEx>
        <w:trPr>
          <w:gridAfter w:val="1"/>
          <w:wAfter w:w="15" w:type="dxa"/>
          <w:trHeight w:val="276" w:hRule="atLeast"/>
        </w:trPr>
        <w:tc>
          <w:tcPr>
            <w:tcW w:w="73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年度目标完成情况</w:t>
            </w:r>
          </w:p>
        </w:tc>
        <w:tc>
          <w:tcPr>
            <w:tcW w:w="4010" w:type="dxa"/>
            <w:gridSpan w:val="6"/>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预期目标</w:t>
            </w:r>
          </w:p>
        </w:tc>
        <w:tc>
          <w:tcPr>
            <w:tcW w:w="3870"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实际完成目标</w:t>
            </w:r>
          </w:p>
        </w:tc>
      </w:tr>
      <w:tr>
        <w:tblPrEx>
          <w:tblLayout w:type="fixed"/>
          <w:tblCellMar>
            <w:top w:w="0" w:type="dxa"/>
            <w:left w:w="0" w:type="dxa"/>
            <w:bottom w:w="0" w:type="dxa"/>
            <w:right w:w="0" w:type="dxa"/>
          </w:tblCellMar>
        </w:tblPrEx>
        <w:trPr>
          <w:gridAfter w:val="1"/>
          <w:wAfter w:w="15" w:type="dxa"/>
          <w:trHeight w:val="1159"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4010" w:type="dxa"/>
            <w:gridSpan w:val="6"/>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消费者维权机制不断健全，社会信用环境明显改善，市场监管进一步加强，，重要消费产品和服务标准体系全面建立，消费产品和服务质量不断提升，消费者满意度显著提高。</w:t>
            </w:r>
          </w:p>
        </w:tc>
        <w:tc>
          <w:tcPr>
            <w:tcW w:w="3870" w:type="dxa"/>
            <w:gridSpan w:val="4"/>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消费者维权机制不断健全，社会信用环境明显改善，市场监管进一步加强，，重要消费产品和服务标准体系全面建立，消费产品和服务质量不断提升，消费者满意度显著提高。</w:t>
            </w:r>
          </w:p>
        </w:tc>
      </w:tr>
      <w:tr>
        <w:tblPrEx>
          <w:tblLayout w:type="fixed"/>
          <w:tblCellMar>
            <w:top w:w="0" w:type="dxa"/>
            <w:left w:w="0" w:type="dxa"/>
            <w:bottom w:w="0" w:type="dxa"/>
            <w:right w:w="0" w:type="dxa"/>
          </w:tblCellMar>
        </w:tblPrEx>
        <w:trPr>
          <w:gridAfter w:val="1"/>
          <w:wAfter w:w="15" w:type="dxa"/>
          <w:trHeight w:val="1042" w:hRule="atLeast"/>
        </w:trPr>
        <w:tc>
          <w:tcPr>
            <w:tcW w:w="73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绩效指标完成情况</w:t>
            </w:r>
          </w:p>
        </w:tc>
        <w:tc>
          <w:tcPr>
            <w:tcW w:w="4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一级指标</w:t>
            </w:r>
          </w:p>
        </w:tc>
        <w:tc>
          <w:tcPr>
            <w:tcW w:w="1065"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二级指标</w:t>
            </w:r>
          </w:p>
        </w:tc>
        <w:tc>
          <w:tcPr>
            <w:tcW w:w="2520"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三级指标</w:t>
            </w:r>
          </w:p>
        </w:tc>
        <w:tc>
          <w:tcPr>
            <w:tcW w:w="175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预期指标值(包含数字及文字描述)</w:t>
            </w:r>
          </w:p>
        </w:tc>
        <w:tc>
          <w:tcPr>
            <w:tcW w:w="2120"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实际完成指标值(包含数字及文字描述)</w:t>
            </w:r>
          </w:p>
        </w:tc>
      </w:tr>
      <w:tr>
        <w:tblPrEx>
          <w:tblLayout w:type="fixed"/>
          <w:tblCellMar>
            <w:top w:w="0" w:type="dxa"/>
            <w:left w:w="0" w:type="dxa"/>
            <w:bottom w:w="0" w:type="dxa"/>
            <w:right w:w="0" w:type="dxa"/>
          </w:tblCellMar>
        </w:tblPrEx>
        <w:trPr>
          <w:gridAfter w:val="1"/>
          <w:wAfter w:w="15" w:type="dxa"/>
          <w:trHeight w:val="953"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4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项目完成指标</w:t>
            </w:r>
          </w:p>
        </w:tc>
        <w:tc>
          <w:tcPr>
            <w:tcW w:w="1065"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hint="eastAsia" w:ascii="仿宋" w:hAnsi="仿宋" w:eastAsia="仿宋" w:cs="仿宋"/>
                <w:sz w:val="24"/>
                <w:szCs w:val="24"/>
              </w:rPr>
            </w:pPr>
            <w:r>
              <w:rPr>
                <w:rFonts w:hint="eastAsia" w:ascii="仿宋" w:hAnsi="仿宋" w:eastAsia="仿宋" w:cs="仿宋"/>
                <w:sz w:val="24"/>
                <w:szCs w:val="24"/>
              </w:rPr>
              <w:t>数量指标</w:t>
            </w:r>
          </w:p>
        </w:tc>
        <w:tc>
          <w:tcPr>
            <w:tcW w:w="2520"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tbl>
            <w:tblPr>
              <w:tblStyle w:val="20"/>
              <w:tblW w:w="3860" w:type="dxa"/>
              <w:tblInd w:w="0" w:type="dxa"/>
              <w:tblLayout w:type="fixed"/>
              <w:tblCellMar>
                <w:top w:w="0" w:type="dxa"/>
                <w:left w:w="108" w:type="dxa"/>
                <w:bottom w:w="0" w:type="dxa"/>
                <w:right w:w="108" w:type="dxa"/>
              </w:tblCellMar>
            </w:tblPr>
            <w:tblGrid>
              <w:gridCol w:w="3860"/>
            </w:tblGrid>
            <w:tr>
              <w:tblPrEx>
                <w:tblLayout w:type="fixed"/>
                <w:tblCellMar>
                  <w:top w:w="0" w:type="dxa"/>
                  <w:left w:w="108" w:type="dxa"/>
                  <w:bottom w:w="0" w:type="dxa"/>
                  <w:right w:w="108" w:type="dxa"/>
                </w:tblCellMar>
              </w:tblPrEx>
              <w:trPr>
                <w:trHeight w:val="360" w:hRule="atLeast"/>
              </w:trPr>
              <w:tc>
                <w:tcPr>
                  <w:tcW w:w="3860" w:type="dxa"/>
                  <w:shd w:val="clear" w:color="auto" w:fill="auto"/>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1、3.15宣传</w:t>
                  </w:r>
                </w:p>
              </w:tc>
            </w:tr>
            <w:tr>
              <w:tblPrEx>
                <w:tblLayout w:type="fixed"/>
                <w:tblCellMar>
                  <w:top w:w="0" w:type="dxa"/>
                  <w:left w:w="108" w:type="dxa"/>
                  <w:bottom w:w="0" w:type="dxa"/>
                  <w:right w:w="108" w:type="dxa"/>
                </w:tblCellMar>
              </w:tblPrEx>
              <w:trPr>
                <w:trHeight w:val="882" w:hRule="atLeast"/>
              </w:trPr>
              <w:tc>
                <w:tcPr>
                  <w:tcW w:w="3860" w:type="dxa"/>
                  <w:shd w:val="clear" w:color="auto" w:fill="auto"/>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2、12315维权</w:t>
                  </w:r>
                </w:p>
              </w:tc>
            </w:tr>
            <w:tr>
              <w:tblPrEx>
                <w:tblLayout w:type="fixed"/>
                <w:tblCellMar>
                  <w:top w:w="0" w:type="dxa"/>
                  <w:left w:w="108" w:type="dxa"/>
                  <w:bottom w:w="0" w:type="dxa"/>
                  <w:right w:w="108" w:type="dxa"/>
                </w:tblCellMar>
              </w:tblPrEx>
              <w:trPr>
                <w:trHeight w:val="462" w:hRule="atLeast"/>
              </w:trPr>
              <w:tc>
                <w:tcPr>
                  <w:tcW w:w="3860" w:type="dxa"/>
                  <w:shd w:val="clear" w:color="auto" w:fill="auto"/>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3、建立消费维权投诉站</w:t>
                  </w:r>
                </w:p>
              </w:tc>
            </w:tr>
          </w:tbl>
          <w:p>
            <w:pPr>
              <w:widowControl/>
              <w:jc w:val="center"/>
              <w:textAlignment w:val="center"/>
              <w:rPr>
                <w:rFonts w:hint="eastAsia" w:ascii="仿宋" w:hAnsi="仿宋" w:eastAsia="仿宋" w:cs="仿宋"/>
                <w:color w:val="000000"/>
                <w:sz w:val="24"/>
                <w:szCs w:val="24"/>
              </w:rPr>
            </w:pPr>
          </w:p>
        </w:tc>
        <w:tc>
          <w:tcPr>
            <w:tcW w:w="175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组织开展315消费者权益日宣传活动，调解处理消费投诉,流通领域商品抽检,受理投诉100%，建立消费者投诉站≥1个</w:t>
            </w:r>
          </w:p>
        </w:tc>
        <w:tc>
          <w:tcPr>
            <w:tcW w:w="2120"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eastAsia="zh-CN"/>
              </w:rPr>
              <w:t>开展</w:t>
            </w:r>
            <w:r>
              <w:rPr>
                <w:rFonts w:hint="eastAsia" w:ascii="仿宋" w:hAnsi="仿宋" w:eastAsia="仿宋" w:cs="仿宋"/>
                <w:color w:val="000000"/>
                <w:sz w:val="24"/>
                <w:szCs w:val="24"/>
              </w:rPr>
              <w:t>3.15系列宣传活动</w:t>
            </w:r>
            <w:r>
              <w:rPr>
                <w:rFonts w:hint="eastAsia" w:ascii="仿宋" w:hAnsi="仿宋" w:eastAsia="仿宋" w:cs="仿宋"/>
                <w:color w:val="000000"/>
                <w:sz w:val="24"/>
                <w:szCs w:val="24"/>
                <w:lang w:eastAsia="zh-CN"/>
              </w:rPr>
              <w:t>，受理各类投诉63件，成功调解63件，设立消费维权指导站（点）3个。</w:t>
            </w:r>
            <w:r>
              <w:rPr>
                <w:rFonts w:hint="eastAsia" w:ascii="仿宋" w:hAnsi="仿宋" w:eastAsia="仿宋" w:cs="仿宋"/>
                <w:color w:val="000000"/>
                <w:sz w:val="24"/>
                <w:szCs w:val="24"/>
              </w:rPr>
              <w:t>七类商品进行抽检，共抽检样品43个批次</w:t>
            </w:r>
            <w:r>
              <w:rPr>
                <w:rFonts w:hint="eastAsia" w:ascii="仿宋" w:hAnsi="仿宋" w:eastAsia="仿宋" w:cs="仿宋"/>
                <w:color w:val="000000"/>
                <w:sz w:val="24"/>
                <w:szCs w:val="24"/>
                <w:lang w:eastAsia="zh-CN"/>
              </w:rPr>
              <w:t>。</w:t>
            </w:r>
          </w:p>
          <w:p>
            <w:pPr>
              <w:widowControl/>
              <w:jc w:val="center"/>
              <w:textAlignment w:val="center"/>
              <w:rPr>
                <w:rFonts w:hint="eastAsia" w:ascii="仿宋" w:hAnsi="仿宋" w:eastAsia="仿宋" w:cs="仿宋"/>
                <w:color w:val="000000"/>
                <w:sz w:val="24"/>
                <w:szCs w:val="24"/>
                <w:lang w:eastAsia="zh-CN"/>
              </w:rPr>
            </w:pPr>
          </w:p>
        </w:tc>
      </w:tr>
      <w:tr>
        <w:tblPrEx>
          <w:tblLayout w:type="fixed"/>
          <w:tblCellMar>
            <w:top w:w="0" w:type="dxa"/>
            <w:left w:w="0" w:type="dxa"/>
            <w:bottom w:w="0" w:type="dxa"/>
            <w:right w:w="0" w:type="dxa"/>
          </w:tblCellMar>
        </w:tblPrEx>
        <w:trPr>
          <w:gridAfter w:val="1"/>
          <w:wAfter w:w="15" w:type="dxa"/>
          <w:trHeight w:val="1297"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4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项目完成指标</w:t>
            </w:r>
          </w:p>
        </w:tc>
        <w:tc>
          <w:tcPr>
            <w:tcW w:w="1065"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hint="eastAsia" w:ascii="仿宋" w:hAnsi="仿宋" w:eastAsia="仿宋" w:cs="仿宋"/>
                <w:sz w:val="24"/>
                <w:szCs w:val="24"/>
              </w:rPr>
            </w:pPr>
            <w:r>
              <w:rPr>
                <w:rFonts w:hint="eastAsia" w:ascii="仿宋" w:hAnsi="仿宋" w:eastAsia="仿宋" w:cs="仿宋"/>
                <w:sz w:val="24"/>
                <w:szCs w:val="24"/>
              </w:rPr>
              <w:t>质量指标</w:t>
            </w:r>
          </w:p>
        </w:tc>
        <w:tc>
          <w:tcPr>
            <w:tcW w:w="2520"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tbl>
            <w:tblPr>
              <w:tblStyle w:val="20"/>
              <w:tblW w:w="3860" w:type="dxa"/>
              <w:tblInd w:w="0" w:type="dxa"/>
              <w:tblLayout w:type="fixed"/>
              <w:tblCellMar>
                <w:top w:w="0" w:type="dxa"/>
                <w:left w:w="108" w:type="dxa"/>
                <w:bottom w:w="0" w:type="dxa"/>
                <w:right w:w="108" w:type="dxa"/>
              </w:tblCellMar>
            </w:tblPr>
            <w:tblGrid>
              <w:gridCol w:w="3860"/>
            </w:tblGrid>
            <w:tr>
              <w:tblPrEx>
                <w:tblLayout w:type="fixed"/>
                <w:tblCellMar>
                  <w:top w:w="0" w:type="dxa"/>
                  <w:left w:w="108" w:type="dxa"/>
                  <w:bottom w:w="0" w:type="dxa"/>
                  <w:right w:w="108" w:type="dxa"/>
                </w:tblCellMar>
              </w:tblPrEx>
              <w:trPr>
                <w:trHeight w:val="360" w:hRule="atLeast"/>
              </w:trPr>
              <w:tc>
                <w:tcPr>
                  <w:tcW w:w="3860" w:type="dxa"/>
                  <w:shd w:val="clear" w:color="auto" w:fill="auto"/>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1、3.15宣传</w:t>
                  </w:r>
                </w:p>
              </w:tc>
            </w:tr>
            <w:tr>
              <w:tblPrEx>
                <w:tblLayout w:type="fixed"/>
                <w:tblCellMar>
                  <w:top w:w="0" w:type="dxa"/>
                  <w:left w:w="108" w:type="dxa"/>
                  <w:bottom w:w="0" w:type="dxa"/>
                  <w:right w:w="108" w:type="dxa"/>
                </w:tblCellMar>
              </w:tblPrEx>
              <w:trPr>
                <w:trHeight w:val="882" w:hRule="atLeast"/>
              </w:trPr>
              <w:tc>
                <w:tcPr>
                  <w:tcW w:w="3860" w:type="dxa"/>
                  <w:shd w:val="clear" w:color="auto" w:fill="auto"/>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2、12315维权</w:t>
                  </w:r>
                </w:p>
              </w:tc>
            </w:tr>
            <w:tr>
              <w:tblPrEx>
                <w:tblLayout w:type="fixed"/>
                <w:tblCellMar>
                  <w:top w:w="0" w:type="dxa"/>
                  <w:left w:w="108" w:type="dxa"/>
                  <w:bottom w:w="0" w:type="dxa"/>
                  <w:right w:w="108" w:type="dxa"/>
                </w:tblCellMar>
              </w:tblPrEx>
              <w:trPr>
                <w:trHeight w:val="462" w:hRule="atLeast"/>
              </w:trPr>
              <w:tc>
                <w:tcPr>
                  <w:tcW w:w="3860" w:type="dxa"/>
                  <w:shd w:val="clear" w:color="auto" w:fill="auto"/>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3、建立消费维权投诉站</w:t>
                  </w:r>
                </w:p>
              </w:tc>
            </w:tr>
          </w:tbl>
          <w:p>
            <w:pPr>
              <w:widowControl/>
              <w:jc w:val="center"/>
              <w:textAlignment w:val="center"/>
              <w:rPr>
                <w:rFonts w:hint="eastAsia" w:ascii="仿宋" w:hAnsi="仿宋" w:eastAsia="仿宋" w:cs="仿宋"/>
                <w:color w:val="000000"/>
                <w:sz w:val="24"/>
                <w:szCs w:val="24"/>
              </w:rPr>
            </w:pPr>
          </w:p>
        </w:tc>
        <w:tc>
          <w:tcPr>
            <w:tcW w:w="175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组织开展315消费者权益日宣传活动1次，村、镇、社有投诉站点1个以上，调解处理消费投诉受理率100%</w:t>
            </w:r>
          </w:p>
        </w:tc>
        <w:tc>
          <w:tcPr>
            <w:tcW w:w="2120"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组织开展315消费者权益日宣传活动1次，</w:t>
            </w:r>
            <w:r>
              <w:rPr>
                <w:rFonts w:hint="eastAsia" w:ascii="仿宋" w:hAnsi="仿宋" w:eastAsia="仿宋" w:cs="仿宋"/>
                <w:color w:val="000000"/>
                <w:sz w:val="24"/>
                <w:szCs w:val="24"/>
                <w:lang w:eastAsia="zh-CN"/>
              </w:rPr>
              <w:t>共设点</w:t>
            </w:r>
            <w:r>
              <w:rPr>
                <w:rFonts w:hint="eastAsia" w:ascii="仿宋" w:hAnsi="仿宋" w:eastAsia="仿宋" w:cs="仿宋"/>
                <w:color w:val="000000"/>
                <w:sz w:val="24"/>
                <w:szCs w:val="24"/>
                <w:lang w:val="en-US" w:eastAsia="zh-CN"/>
              </w:rPr>
              <w:t>3个。</w:t>
            </w:r>
            <w:r>
              <w:rPr>
                <w:rFonts w:hint="eastAsia" w:ascii="仿宋" w:hAnsi="仿宋" w:eastAsia="仿宋" w:cs="仿宋"/>
                <w:color w:val="000000"/>
                <w:sz w:val="24"/>
                <w:szCs w:val="24"/>
              </w:rPr>
              <w:t>发放宣传资料2000余份，悬挂宣传标语5条（幅），现场接待消费者咨询100余人（次），受理消费者投诉5件，解决5件。</w:t>
            </w:r>
          </w:p>
          <w:p>
            <w:pPr>
              <w:widowControl/>
              <w:jc w:val="center"/>
              <w:textAlignment w:val="center"/>
              <w:rPr>
                <w:rFonts w:hint="eastAsia" w:ascii="仿宋" w:hAnsi="仿宋" w:eastAsia="仿宋" w:cs="仿宋"/>
                <w:color w:val="000000"/>
                <w:sz w:val="24"/>
                <w:szCs w:val="24"/>
              </w:rPr>
            </w:pPr>
          </w:p>
        </w:tc>
      </w:tr>
      <w:tr>
        <w:tblPrEx>
          <w:tblLayout w:type="fixed"/>
          <w:tblCellMar>
            <w:top w:w="0" w:type="dxa"/>
            <w:left w:w="0" w:type="dxa"/>
            <w:bottom w:w="0" w:type="dxa"/>
            <w:right w:w="0" w:type="dxa"/>
          </w:tblCellMar>
        </w:tblPrEx>
        <w:trPr>
          <w:gridAfter w:val="1"/>
          <w:wAfter w:w="15" w:type="dxa"/>
          <w:trHeight w:val="1042"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4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项目完成指标</w:t>
            </w:r>
          </w:p>
        </w:tc>
        <w:tc>
          <w:tcPr>
            <w:tcW w:w="1065"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hint="eastAsia" w:ascii="仿宋" w:hAnsi="仿宋" w:eastAsia="仿宋" w:cs="仿宋"/>
                <w:sz w:val="24"/>
                <w:szCs w:val="24"/>
              </w:rPr>
            </w:pPr>
            <w:r>
              <w:rPr>
                <w:rFonts w:hint="eastAsia" w:ascii="仿宋" w:hAnsi="仿宋" w:eastAsia="仿宋" w:cs="仿宋"/>
                <w:sz w:val="24"/>
                <w:szCs w:val="24"/>
              </w:rPr>
              <w:t>时效指标</w:t>
            </w:r>
          </w:p>
        </w:tc>
        <w:tc>
          <w:tcPr>
            <w:tcW w:w="2520"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tbl>
            <w:tblPr>
              <w:tblStyle w:val="20"/>
              <w:tblW w:w="3860" w:type="dxa"/>
              <w:tblInd w:w="0" w:type="dxa"/>
              <w:tblLayout w:type="fixed"/>
              <w:tblCellMar>
                <w:top w:w="0" w:type="dxa"/>
                <w:left w:w="108" w:type="dxa"/>
                <w:bottom w:w="0" w:type="dxa"/>
                <w:right w:w="108" w:type="dxa"/>
              </w:tblCellMar>
            </w:tblPr>
            <w:tblGrid>
              <w:gridCol w:w="3860"/>
            </w:tblGrid>
            <w:tr>
              <w:tblPrEx>
                <w:tblLayout w:type="fixed"/>
                <w:tblCellMar>
                  <w:top w:w="0" w:type="dxa"/>
                  <w:left w:w="108" w:type="dxa"/>
                  <w:bottom w:w="0" w:type="dxa"/>
                  <w:right w:w="108" w:type="dxa"/>
                </w:tblCellMar>
              </w:tblPrEx>
              <w:trPr>
                <w:trHeight w:val="360" w:hRule="atLeast"/>
              </w:trPr>
              <w:tc>
                <w:tcPr>
                  <w:tcW w:w="3860" w:type="dxa"/>
                  <w:shd w:val="clear" w:color="auto" w:fill="auto"/>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1、3.15宣传</w:t>
                  </w:r>
                </w:p>
              </w:tc>
            </w:tr>
            <w:tr>
              <w:tblPrEx>
                <w:tblLayout w:type="fixed"/>
                <w:tblCellMar>
                  <w:top w:w="0" w:type="dxa"/>
                  <w:left w:w="108" w:type="dxa"/>
                  <w:bottom w:w="0" w:type="dxa"/>
                  <w:right w:w="108" w:type="dxa"/>
                </w:tblCellMar>
              </w:tblPrEx>
              <w:trPr>
                <w:trHeight w:val="882" w:hRule="atLeast"/>
              </w:trPr>
              <w:tc>
                <w:tcPr>
                  <w:tcW w:w="3860" w:type="dxa"/>
                  <w:shd w:val="clear" w:color="auto" w:fill="auto"/>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2、12315维权</w:t>
                  </w:r>
                </w:p>
              </w:tc>
            </w:tr>
            <w:tr>
              <w:tblPrEx>
                <w:tblLayout w:type="fixed"/>
                <w:tblCellMar>
                  <w:top w:w="0" w:type="dxa"/>
                  <w:left w:w="108" w:type="dxa"/>
                  <w:bottom w:w="0" w:type="dxa"/>
                  <w:right w:w="108" w:type="dxa"/>
                </w:tblCellMar>
              </w:tblPrEx>
              <w:trPr>
                <w:trHeight w:val="462" w:hRule="atLeast"/>
              </w:trPr>
              <w:tc>
                <w:tcPr>
                  <w:tcW w:w="3860" w:type="dxa"/>
                  <w:shd w:val="clear" w:color="auto" w:fill="auto"/>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3、建立消费维权投诉站</w:t>
                  </w:r>
                </w:p>
              </w:tc>
            </w:tr>
          </w:tbl>
          <w:p>
            <w:pPr>
              <w:widowControl/>
              <w:jc w:val="center"/>
              <w:textAlignment w:val="center"/>
              <w:rPr>
                <w:rFonts w:hint="eastAsia" w:ascii="仿宋" w:hAnsi="仿宋" w:eastAsia="仿宋" w:cs="仿宋"/>
                <w:color w:val="000000"/>
                <w:sz w:val="24"/>
                <w:szCs w:val="24"/>
              </w:rPr>
            </w:pPr>
          </w:p>
        </w:tc>
        <w:tc>
          <w:tcPr>
            <w:tcW w:w="175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按照时间节点完成</w:t>
            </w:r>
          </w:p>
        </w:tc>
        <w:tc>
          <w:tcPr>
            <w:tcW w:w="2120"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按照时间节点完成</w:t>
            </w:r>
          </w:p>
        </w:tc>
      </w:tr>
      <w:tr>
        <w:tblPrEx>
          <w:tblLayout w:type="fixed"/>
          <w:tblCellMar>
            <w:top w:w="0" w:type="dxa"/>
            <w:left w:w="0" w:type="dxa"/>
            <w:bottom w:w="0" w:type="dxa"/>
            <w:right w:w="0" w:type="dxa"/>
          </w:tblCellMar>
        </w:tblPrEx>
        <w:trPr>
          <w:gridAfter w:val="1"/>
          <w:wAfter w:w="15" w:type="dxa"/>
          <w:trHeight w:val="1042"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4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项目完成指标</w:t>
            </w:r>
          </w:p>
        </w:tc>
        <w:tc>
          <w:tcPr>
            <w:tcW w:w="1065"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hint="eastAsia" w:ascii="仿宋" w:hAnsi="仿宋" w:eastAsia="仿宋" w:cs="仿宋"/>
                <w:sz w:val="24"/>
                <w:szCs w:val="24"/>
              </w:rPr>
            </w:pPr>
            <w:r>
              <w:rPr>
                <w:rFonts w:hint="eastAsia" w:ascii="仿宋" w:hAnsi="仿宋" w:eastAsia="仿宋" w:cs="仿宋"/>
                <w:sz w:val="24"/>
                <w:szCs w:val="24"/>
              </w:rPr>
              <w:t>成本指标</w:t>
            </w:r>
          </w:p>
        </w:tc>
        <w:tc>
          <w:tcPr>
            <w:tcW w:w="2520"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tbl>
            <w:tblPr>
              <w:tblStyle w:val="20"/>
              <w:tblW w:w="3860" w:type="dxa"/>
              <w:tblInd w:w="0" w:type="dxa"/>
              <w:tblLayout w:type="fixed"/>
              <w:tblCellMar>
                <w:top w:w="0" w:type="dxa"/>
                <w:left w:w="108" w:type="dxa"/>
                <w:bottom w:w="0" w:type="dxa"/>
                <w:right w:w="108" w:type="dxa"/>
              </w:tblCellMar>
            </w:tblPr>
            <w:tblGrid>
              <w:gridCol w:w="3860"/>
            </w:tblGrid>
            <w:tr>
              <w:tblPrEx>
                <w:tblLayout w:type="fixed"/>
                <w:tblCellMar>
                  <w:top w:w="0" w:type="dxa"/>
                  <w:left w:w="108" w:type="dxa"/>
                  <w:bottom w:w="0" w:type="dxa"/>
                  <w:right w:w="108" w:type="dxa"/>
                </w:tblCellMar>
              </w:tblPrEx>
              <w:trPr>
                <w:trHeight w:val="360" w:hRule="atLeast"/>
              </w:trPr>
              <w:tc>
                <w:tcPr>
                  <w:tcW w:w="3860" w:type="dxa"/>
                  <w:shd w:val="clear" w:color="auto" w:fill="auto"/>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1、3.15宣传</w:t>
                  </w:r>
                </w:p>
              </w:tc>
            </w:tr>
            <w:tr>
              <w:tblPrEx>
                <w:tblLayout w:type="fixed"/>
                <w:tblCellMar>
                  <w:top w:w="0" w:type="dxa"/>
                  <w:left w:w="108" w:type="dxa"/>
                  <w:bottom w:w="0" w:type="dxa"/>
                  <w:right w:w="108" w:type="dxa"/>
                </w:tblCellMar>
              </w:tblPrEx>
              <w:trPr>
                <w:trHeight w:val="882" w:hRule="atLeast"/>
              </w:trPr>
              <w:tc>
                <w:tcPr>
                  <w:tcW w:w="3860" w:type="dxa"/>
                  <w:shd w:val="clear" w:color="auto" w:fill="auto"/>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2、12315维权</w:t>
                  </w:r>
                </w:p>
              </w:tc>
            </w:tr>
            <w:tr>
              <w:tblPrEx>
                <w:tblLayout w:type="fixed"/>
                <w:tblCellMar>
                  <w:top w:w="0" w:type="dxa"/>
                  <w:left w:w="108" w:type="dxa"/>
                  <w:bottom w:w="0" w:type="dxa"/>
                  <w:right w:w="108" w:type="dxa"/>
                </w:tblCellMar>
              </w:tblPrEx>
              <w:trPr>
                <w:trHeight w:val="462" w:hRule="atLeast"/>
              </w:trPr>
              <w:tc>
                <w:tcPr>
                  <w:tcW w:w="3860" w:type="dxa"/>
                  <w:shd w:val="clear" w:color="auto" w:fill="auto"/>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3、建立消费维权投诉站</w:t>
                  </w:r>
                </w:p>
              </w:tc>
            </w:tr>
          </w:tbl>
          <w:p>
            <w:pPr>
              <w:widowControl/>
              <w:jc w:val="center"/>
              <w:textAlignment w:val="center"/>
              <w:rPr>
                <w:rFonts w:hint="eastAsia" w:ascii="仿宋" w:hAnsi="仿宋" w:eastAsia="仿宋" w:cs="仿宋"/>
                <w:color w:val="000000"/>
                <w:sz w:val="24"/>
                <w:szCs w:val="24"/>
              </w:rPr>
            </w:pPr>
          </w:p>
        </w:tc>
        <w:tc>
          <w:tcPr>
            <w:tcW w:w="175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rPr>
              <w:t>严格按照要求控制支出费用</w:t>
            </w:r>
            <w:r>
              <w:rPr>
                <w:rFonts w:hint="eastAsia" w:ascii="仿宋" w:hAnsi="仿宋" w:eastAsia="仿宋" w:cs="仿宋"/>
                <w:color w:val="000000"/>
                <w:sz w:val="24"/>
                <w:szCs w:val="24"/>
                <w:lang w:eastAsia="zh-CN"/>
              </w:rPr>
              <w:t>。</w:t>
            </w:r>
            <w:r>
              <w:rPr>
                <w:rFonts w:hint="eastAsia" w:ascii="仿宋" w:hAnsi="仿宋" w:eastAsia="仿宋" w:cs="仿宋"/>
                <w:color w:val="000000"/>
                <w:sz w:val="24"/>
                <w:szCs w:val="24"/>
              </w:rPr>
              <w:t>控制支出费用（万元）≦1</w:t>
            </w:r>
            <w:r>
              <w:rPr>
                <w:rFonts w:hint="eastAsia" w:ascii="仿宋" w:hAnsi="仿宋" w:eastAsia="仿宋" w:cs="仿宋"/>
                <w:color w:val="000000"/>
                <w:sz w:val="24"/>
                <w:szCs w:val="24"/>
                <w:lang w:val="en-US" w:eastAsia="zh-CN"/>
              </w:rPr>
              <w:t>5</w:t>
            </w:r>
          </w:p>
        </w:tc>
        <w:tc>
          <w:tcPr>
            <w:tcW w:w="2120"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完成成本1</w:t>
            </w:r>
            <w:r>
              <w:rPr>
                <w:rFonts w:hint="eastAsia" w:ascii="仿宋" w:hAnsi="仿宋" w:eastAsia="仿宋" w:cs="仿宋"/>
                <w:color w:val="000000"/>
                <w:sz w:val="24"/>
                <w:szCs w:val="24"/>
                <w:lang w:val="en-US" w:eastAsia="zh-CN"/>
              </w:rPr>
              <w:t>3.04</w:t>
            </w:r>
            <w:r>
              <w:rPr>
                <w:rFonts w:hint="eastAsia" w:ascii="仿宋" w:hAnsi="仿宋" w:eastAsia="仿宋" w:cs="仿宋"/>
                <w:color w:val="000000"/>
                <w:sz w:val="24"/>
                <w:szCs w:val="24"/>
              </w:rPr>
              <w:t>万元，严控支出费用</w:t>
            </w:r>
          </w:p>
        </w:tc>
      </w:tr>
      <w:tr>
        <w:tblPrEx>
          <w:tblLayout w:type="fixed"/>
          <w:tblCellMar>
            <w:top w:w="0" w:type="dxa"/>
            <w:left w:w="0" w:type="dxa"/>
            <w:bottom w:w="0" w:type="dxa"/>
            <w:right w:w="0" w:type="dxa"/>
          </w:tblCellMar>
        </w:tblPrEx>
        <w:trPr>
          <w:gridAfter w:val="1"/>
          <w:wAfter w:w="15" w:type="dxa"/>
          <w:trHeight w:val="1042"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4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效益指标</w:t>
            </w:r>
          </w:p>
        </w:tc>
        <w:tc>
          <w:tcPr>
            <w:tcW w:w="1065"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hint="eastAsia" w:ascii="仿宋" w:hAnsi="仿宋" w:eastAsia="仿宋" w:cs="仿宋"/>
                <w:sz w:val="24"/>
                <w:szCs w:val="24"/>
              </w:rPr>
            </w:pPr>
            <w:r>
              <w:rPr>
                <w:rFonts w:hint="eastAsia" w:ascii="仿宋" w:hAnsi="仿宋" w:eastAsia="仿宋" w:cs="仿宋"/>
                <w:sz w:val="24"/>
                <w:szCs w:val="24"/>
              </w:rPr>
              <w:t>经济效益</w:t>
            </w:r>
            <w:r>
              <w:rPr>
                <w:rFonts w:hint="eastAsia" w:ascii="仿宋" w:hAnsi="仿宋" w:eastAsia="仿宋" w:cs="仿宋"/>
                <w:sz w:val="24"/>
                <w:szCs w:val="24"/>
              </w:rPr>
              <w:br w:type="textWrapping"/>
            </w:r>
            <w:r>
              <w:rPr>
                <w:rFonts w:hint="eastAsia" w:ascii="仿宋" w:hAnsi="仿宋" w:eastAsia="仿宋" w:cs="仿宋"/>
                <w:sz w:val="24"/>
                <w:szCs w:val="24"/>
              </w:rPr>
              <w:t>指标</w:t>
            </w:r>
          </w:p>
        </w:tc>
        <w:tc>
          <w:tcPr>
            <w:tcW w:w="2520"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tbl>
            <w:tblPr>
              <w:tblStyle w:val="20"/>
              <w:tblW w:w="3860" w:type="dxa"/>
              <w:tblInd w:w="0" w:type="dxa"/>
              <w:tblLayout w:type="fixed"/>
              <w:tblCellMar>
                <w:top w:w="0" w:type="dxa"/>
                <w:left w:w="108" w:type="dxa"/>
                <w:bottom w:w="0" w:type="dxa"/>
                <w:right w:w="108" w:type="dxa"/>
              </w:tblCellMar>
            </w:tblPr>
            <w:tblGrid>
              <w:gridCol w:w="3860"/>
            </w:tblGrid>
            <w:tr>
              <w:tblPrEx>
                <w:tblLayout w:type="fixed"/>
                <w:tblCellMar>
                  <w:top w:w="0" w:type="dxa"/>
                  <w:left w:w="108" w:type="dxa"/>
                  <w:bottom w:w="0" w:type="dxa"/>
                  <w:right w:w="108" w:type="dxa"/>
                </w:tblCellMar>
              </w:tblPrEx>
              <w:trPr>
                <w:trHeight w:val="360" w:hRule="atLeast"/>
              </w:trPr>
              <w:tc>
                <w:tcPr>
                  <w:tcW w:w="3860" w:type="dxa"/>
                  <w:shd w:val="clear" w:color="auto" w:fill="auto"/>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1、3.15宣传</w:t>
                  </w:r>
                </w:p>
              </w:tc>
            </w:tr>
            <w:tr>
              <w:tblPrEx>
                <w:tblLayout w:type="fixed"/>
                <w:tblCellMar>
                  <w:top w:w="0" w:type="dxa"/>
                  <w:left w:w="108" w:type="dxa"/>
                  <w:bottom w:w="0" w:type="dxa"/>
                  <w:right w:w="108" w:type="dxa"/>
                </w:tblCellMar>
              </w:tblPrEx>
              <w:trPr>
                <w:trHeight w:val="882" w:hRule="atLeast"/>
              </w:trPr>
              <w:tc>
                <w:tcPr>
                  <w:tcW w:w="3860" w:type="dxa"/>
                  <w:shd w:val="clear" w:color="auto" w:fill="auto"/>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2、12315维权</w:t>
                  </w:r>
                </w:p>
              </w:tc>
            </w:tr>
            <w:tr>
              <w:tblPrEx>
                <w:tblLayout w:type="fixed"/>
                <w:tblCellMar>
                  <w:top w:w="0" w:type="dxa"/>
                  <w:left w:w="108" w:type="dxa"/>
                  <w:bottom w:w="0" w:type="dxa"/>
                  <w:right w:w="108" w:type="dxa"/>
                </w:tblCellMar>
              </w:tblPrEx>
              <w:trPr>
                <w:trHeight w:val="462" w:hRule="atLeast"/>
              </w:trPr>
              <w:tc>
                <w:tcPr>
                  <w:tcW w:w="3860" w:type="dxa"/>
                  <w:shd w:val="clear" w:color="auto" w:fill="auto"/>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3、建立消费维权投诉站</w:t>
                  </w:r>
                </w:p>
              </w:tc>
            </w:tr>
          </w:tbl>
          <w:p>
            <w:pPr>
              <w:widowControl/>
              <w:jc w:val="center"/>
              <w:textAlignment w:val="center"/>
              <w:rPr>
                <w:rFonts w:hint="eastAsia" w:ascii="仿宋" w:hAnsi="仿宋" w:eastAsia="仿宋" w:cs="仿宋"/>
                <w:color w:val="000000"/>
                <w:sz w:val="24"/>
                <w:szCs w:val="24"/>
              </w:rPr>
            </w:pPr>
          </w:p>
        </w:tc>
        <w:tc>
          <w:tcPr>
            <w:tcW w:w="175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维护消费者合法权益</w:t>
            </w:r>
          </w:p>
        </w:tc>
        <w:tc>
          <w:tcPr>
            <w:tcW w:w="2120"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维护消费者合法权益</w:t>
            </w:r>
          </w:p>
        </w:tc>
      </w:tr>
      <w:tr>
        <w:tblPrEx>
          <w:tblLayout w:type="fixed"/>
          <w:tblCellMar>
            <w:top w:w="0" w:type="dxa"/>
            <w:left w:w="0" w:type="dxa"/>
            <w:bottom w:w="0" w:type="dxa"/>
            <w:right w:w="0" w:type="dxa"/>
          </w:tblCellMar>
        </w:tblPrEx>
        <w:trPr>
          <w:gridAfter w:val="1"/>
          <w:wAfter w:w="15" w:type="dxa"/>
          <w:trHeight w:val="1297"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4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效益指标</w:t>
            </w:r>
          </w:p>
        </w:tc>
        <w:tc>
          <w:tcPr>
            <w:tcW w:w="1065"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hint="eastAsia" w:ascii="仿宋" w:hAnsi="仿宋" w:eastAsia="仿宋" w:cs="仿宋"/>
                <w:sz w:val="24"/>
                <w:szCs w:val="24"/>
              </w:rPr>
            </w:pPr>
            <w:r>
              <w:rPr>
                <w:rFonts w:hint="eastAsia" w:ascii="仿宋" w:hAnsi="仿宋" w:eastAsia="仿宋" w:cs="仿宋"/>
                <w:sz w:val="24"/>
                <w:szCs w:val="24"/>
              </w:rPr>
              <w:t>社会效益</w:t>
            </w:r>
            <w:r>
              <w:rPr>
                <w:rFonts w:hint="eastAsia" w:ascii="仿宋" w:hAnsi="仿宋" w:eastAsia="仿宋" w:cs="仿宋"/>
                <w:sz w:val="24"/>
                <w:szCs w:val="24"/>
              </w:rPr>
              <w:br w:type="textWrapping"/>
            </w:r>
            <w:r>
              <w:rPr>
                <w:rFonts w:hint="eastAsia" w:ascii="仿宋" w:hAnsi="仿宋" w:eastAsia="仿宋" w:cs="仿宋"/>
                <w:sz w:val="24"/>
                <w:szCs w:val="24"/>
              </w:rPr>
              <w:t>指标</w:t>
            </w:r>
          </w:p>
        </w:tc>
        <w:tc>
          <w:tcPr>
            <w:tcW w:w="2520"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tbl>
            <w:tblPr>
              <w:tblStyle w:val="20"/>
              <w:tblW w:w="3860" w:type="dxa"/>
              <w:tblInd w:w="0" w:type="dxa"/>
              <w:tblLayout w:type="fixed"/>
              <w:tblCellMar>
                <w:top w:w="0" w:type="dxa"/>
                <w:left w:w="108" w:type="dxa"/>
                <w:bottom w:w="0" w:type="dxa"/>
                <w:right w:w="108" w:type="dxa"/>
              </w:tblCellMar>
            </w:tblPr>
            <w:tblGrid>
              <w:gridCol w:w="3860"/>
            </w:tblGrid>
            <w:tr>
              <w:tblPrEx>
                <w:tblLayout w:type="fixed"/>
                <w:tblCellMar>
                  <w:top w:w="0" w:type="dxa"/>
                  <w:left w:w="108" w:type="dxa"/>
                  <w:bottom w:w="0" w:type="dxa"/>
                  <w:right w:w="108" w:type="dxa"/>
                </w:tblCellMar>
              </w:tblPrEx>
              <w:trPr>
                <w:trHeight w:val="360" w:hRule="atLeast"/>
              </w:trPr>
              <w:tc>
                <w:tcPr>
                  <w:tcW w:w="3860" w:type="dxa"/>
                  <w:shd w:val="clear" w:color="auto" w:fill="auto"/>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1、3.15宣传</w:t>
                  </w:r>
                </w:p>
              </w:tc>
            </w:tr>
            <w:tr>
              <w:tblPrEx>
                <w:tblLayout w:type="fixed"/>
                <w:tblCellMar>
                  <w:top w:w="0" w:type="dxa"/>
                  <w:left w:w="108" w:type="dxa"/>
                  <w:bottom w:w="0" w:type="dxa"/>
                  <w:right w:w="108" w:type="dxa"/>
                </w:tblCellMar>
              </w:tblPrEx>
              <w:trPr>
                <w:trHeight w:val="882" w:hRule="atLeast"/>
              </w:trPr>
              <w:tc>
                <w:tcPr>
                  <w:tcW w:w="3860" w:type="dxa"/>
                  <w:shd w:val="clear" w:color="auto" w:fill="auto"/>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2、12315维权</w:t>
                  </w:r>
                </w:p>
              </w:tc>
            </w:tr>
            <w:tr>
              <w:tblPrEx>
                <w:tblLayout w:type="fixed"/>
                <w:tblCellMar>
                  <w:top w:w="0" w:type="dxa"/>
                  <w:left w:w="108" w:type="dxa"/>
                  <w:bottom w:w="0" w:type="dxa"/>
                  <w:right w:w="108" w:type="dxa"/>
                </w:tblCellMar>
              </w:tblPrEx>
              <w:trPr>
                <w:trHeight w:val="462" w:hRule="atLeast"/>
              </w:trPr>
              <w:tc>
                <w:tcPr>
                  <w:tcW w:w="3860" w:type="dxa"/>
                  <w:shd w:val="clear" w:color="auto" w:fill="auto"/>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3、建立消费维权投诉站</w:t>
                  </w:r>
                </w:p>
              </w:tc>
            </w:tr>
          </w:tbl>
          <w:p>
            <w:pPr>
              <w:widowControl/>
              <w:jc w:val="center"/>
              <w:textAlignment w:val="center"/>
              <w:rPr>
                <w:rFonts w:hint="eastAsia" w:ascii="仿宋" w:hAnsi="仿宋" w:eastAsia="仿宋" w:cs="仿宋"/>
                <w:color w:val="000000"/>
                <w:sz w:val="24"/>
                <w:szCs w:val="24"/>
              </w:rPr>
            </w:pPr>
          </w:p>
        </w:tc>
        <w:tc>
          <w:tcPr>
            <w:tcW w:w="175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社会信用环境明显改善</w:t>
            </w:r>
          </w:p>
        </w:tc>
        <w:tc>
          <w:tcPr>
            <w:tcW w:w="2120"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社会信用环境明显改善</w:t>
            </w:r>
          </w:p>
        </w:tc>
      </w:tr>
      <w:tr>
        <w:tblPrEx>
          <w:tblLayout w:type="fixed"/>
          <w:tblCellMar>
            <w:top w:w="0" w:type="dxa"/>
            <w:left w:w="0" w:type="dxa"/>
            <w:bottom w:w="0" w:type="dxa"/>
            <w:right w:w="0" w:type="dxa"/>
          </w:tblCellMar>
        </w:tblPrEx>
        <w:trPr>
          <w:gridAfter w:val="1"/>
          <w:wAfter w:w="15" w:type="dxa"/>
          <w:trHeight w:val="1297"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4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w:t>
            </w:r>
          </w:p>
        </w:tc>
        <w:tc>
          <w:tcPr>
            <w:tcW w:w="1065"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center"/>
              <w:rPr>
                <w:rFonts w:hint="eastAsia" w:ascii="仿宋" w:hAnsi="仿宋" w:eastAsia="仿宋" w:cs="仿宋"/>
                <w:sz w:val="24"/>
                <w:szCs w:val="24"/>
              </w:rPr>
            </w:pPr>
            <w:r>
              <w:rPr>
                <w:rFonts w:hint="eastAsia" w:ascii="仿宋" w:hAnsi="仿宋" w:eastAsia="仿宋" w:cs="仿宋"/>
                <w:sz w:val="24"/>
                <w:szCs w:val="24"/>
              </w:rPr>
              <w:t>可持续影响</w:t>
            </w:r>
            <w:r>
              <w:rPr>
                <w:rFonts w:hint="eastAsia" w:ascii="仿宋" w:hAnsi="仿宋" w:eastAsia="仿宋" w:cs="仿宋"/>
                <w:sz w:val="24"/>
                <w:szCs w:val="24"/>
              </w:rPr>
              <w:br w:type="textWrapping"/>
            </w:r>
            <w:r>
              <w:rPr>
                <w:rFonts w:hint="eastAsia" w:ascii="仿宋" w:hAnsi="仿宋" w:eastAsia="仿宋" w:cs="仿宋"/>
                <w:sz w:val="24"/>
                <w:szCs w:val="24"/>
              </w:rPr>
              <w:t>指标</w:t>
            </w:r>
          </w:p>
        </w:tc>
        <w:tc>
          <w:tcPr>
            <w:tcW w:w="2520"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tbl>
            <w:tblPr>
              <w:tblStyle w:val="20"/>
              <w:tblW w:w="3860" w:type="dxa"/>
              <w:tblInd w:w="0" w:type="dxa"/>
              <w:tblLayout w:type="fixed"/>
              <w:tblCellMar>
                <w:top w:w="0" w:type="dxa"/>
                <w:left w:w="108" w:type="dxa"/>
                <w:bottom w:w="0" w:type="dxa"/>
                <w:right w:w="108" w:type="dxa"/>
              </w:tblCellMar>
            </w:tblPr>
            <w:tblGrid>
              <w:gridCol w:w="3860"/>
            </w:tblGrid>
            <w:tr>
              <w:tblPrEx>
                <w:tblLayout w:type="fixed"/>
                <w:tblCellMar>
                  <w:top w:w="0" w:type="dxa"/>
                  <w:left w:w="108" w:type="dxa"/>
                  <w:bottom w:w="0" w:type="dxa"/>
                  <w:right w:w="108" w:type="dxa"/>
                </w:tblCellMar>
              </w:tblPrEx>
              <w:trPr>
                <w:trHeight w:val="360" w:hRule="atLeast"/>
              </w:trPr>
              <w:tc>
                <w:tcPr>
                  <w:tcW w:w="3860" w:type="dxa"/>
                  <w:shd w:val="clear" w:color="auto" w:fill="auto"/>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1、3.15宣传</w:t>
                  </w:r>
                </w:p>
              </w:tc>
            </w:tr>
            <w:tr>
              <w:tblPrEx>
                <w:tblLayout w:type="fixed"/>
                <w:tblCellMar>
                  <w:top w:w="0" w:type="dxa"/>
                  <w:left w:w="108" w:type="dxa"/>
                  <w:bottom w:w="0" w:type="dxa"/>
                  <w:right w:w="108" w:type="dxa"/>
                </w:tblCellMar>
              </w:tblPrEx>
              <w:trPr>
                <w:trHeight w:val="882" w:hRule="atLeast"/>
              </w:trPr>
              <w:tc>
                <w:tcPr>
                  <w:tcW w:w="3860" w:type="dxa"/>
                  <w:shd w:val="clear" w:color="auto" w:fill="auto"/>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2、12315维权</w:t>
                  </w:r>
                </w:p>
              </w:tc>
            </w:tr>
            <w:tr>
              <w:tblPrEx>
                <w:tblLayout w:type="fixed"/>
                <w:tblCellMar>
                  <w:top w:w="0" w:type="dxa"/>
                  <w:left w:w="108" w:type="dxa"/>
                  <w:bottom w:w="0" w:type="dxa"/>
                  <w:right w:w="108" w:type="dxa"/>
                </w:tblCellMar>
              </w:tblPrEx>
              <w:trPr>
                <w:trHeight w:val="462" w:hRule="atLeast"/>
              </w:trPr>
              <w:tc>
                <w:tcPr>
                  <w:tcW w:w="3860" w:type="dxa"/>
                  <w:shd w:val="clear" w:color="auto" w:fill="auto"/>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3、建立消费维权投诉站</w:t>
                  </w:r>
                </w:p>
              </w:tc>
            </w:tr>
          </w:tbl>
          <w:p>
            <w:pPr>
              <w:widowControl/>
              <w:jc w:val="center"/>
              <w:textAlignment w:val="center"/>
              <w:rPr>
                <w:rFonts w:hint="eastAsia" w:ascii="仿宋" w:hAnsi="仿宋" w:eastAsia="仿宋" w:cs="仿宋"/>
                <w:color w:val="000000"/>
                <w:sz w:val="24"/>
                <w:szCs w:val="24"/>
              </w:rPr>
            </w:pPr>
          </w:p>
        </w:tc>
        <w:tc>
          <w:tcPr>
            <w:tcW w:w="175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消费产品和服务质量不断提升，消费者满意度显著提高持续发展</w:t>
            </w:r>
          </w:p>
        </w:tc>
        <w:tc>
          <w:tcPr>
            <w:tcW w:w="2120"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消费产品和服务质量不断提升，消费者满意度显著提高持续发展</w:t>
            </w:r>
          </w:p>
        </w:tc>
      </w:tr>
      <w:tr>
        <w:tblPrEx>
          <w:tblLayout w:type="fixed"/>
          <w:tblCellMar>
            <w:top w:w="0" w:type="dxa"/>
            <w:left w:w="0" w:type="dxa"/>
            <w:bottom w:w="0" w:type="dxa"/>
            <w:right w:w="0" w:type="dxa"/>
          </w:tblCellMar>
        </w:tblPrEx>
        <w:trPr>
          <w:gridAfter w:val="1"/>
          <w:wAfter w:w="15" w:type="dxa"/>
          <w:trHeight w:val="1050"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4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满意度指标</w:t>
            </w:r>
          </w:p>
        </w:tc>
        <w:tc>
          <w:tcPr>
            <w:tcW w:w="1065"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rPr>
                <w:rFonts w:hint="eastAsia" w:ascii="仿宋" w:hAnsi="仿宋" w:eastAsia="仿宋" w:cs="仿宋"/>
                <w:sz w:val="24"/>
                <w:szCs w:val="24"/>
              </w:rPr>
            </w:pPr>
            <w:r>
              <w:rPr>
                <w:rFonts w:hint="eastAsia" w:ascii="仿宋" w:hAnsi="仿宋" w:eastAsia="仿宋" w:cs="仿宋"/>
                <w:sz w:val="24"/>
                <w:szCs w:val="24"/>
              </w:rPr>
              <w:t xml:space="preserve"> 政府部门满意度</w:t>
            </w:r>
          </w:p>
        </w:tc>
        <w:tc>
          <w:tcPr>
            <w:tcW w:w="2520"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tbl>
            <w:tblPr>
              <w:tblStyle w:val="20"/>
              <w:tblW w:w="3860" w:type="dxa"/>
              <w:tblInd w:w="0" w:type="dxa"/>
              <w:tblLayout w:type="fixed"/>
              <w:tblCellMar>
                <w:top w:w="0" w:type="dxa"/>
                <w:left w:w="108" w:type="dxa"/>
                <w:bottom w:w="0" w:type="dxa"/>
                <w:right w:w="108" w:type="dxa"/>
              </w:tblCellMar>
            </w:tblPr>
            <w:tblGrid>
              <w:gridCol w:w="3860"/>
            </w:tblGrid>
            <w:tr>
              <w:tblPrEx>
                <w:tblLayout w:type="fixed"/>
                <w:tblCellMar>
                  <w:top w:w="0" w:type="dxa"/>
                  <w:left w:w="108" w:type="dxa"/>
                  <w:bottom w:w="0" w:type="dxa"/>
                  <w:right w:w="108" w:type="dxa"/>
                </w:tblCellMar>
              </w:tblPrEx>
              <w:trPr>
                <w:trHeight w:val="360" w:hRule="atLeast"/>
              </w:trPr>
              <w:tc>
                <w:tcPr>
                  <w:tcW w:w="3860" w:type="dxa"/>
                  <w:shd w:val="clear" w:color="auto" w:fill="auto"/>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1、3.15宣传</w:t>
                  </w:r>
                </w:p>
              </w:tc>
            </w:tr>
            <w:tr>
              <w:tblPrEx>
                <w:tblLayout w:type="fixed"/>
                <w:tblCellMar>
                  <w:top w:w="0" w:type="dxa"/>
                  <w:left w:w="108" w:type="dxa"/>
                  <w:bottom w:w="0" w:type="dxa"/>
                  <w:right w:w="108" w:type="dxa"/>
                </w:tblCellMar>
              </w:tblPrEx>
              <w:trPr>
                <w:trHeight w:val="882" w:hRule="atLeast"/>
              </w:trPr>
              <w:tc>
                <w:tcPr>
                  <w:tcW w:w="3860" w:type="dxa"/>
                  <w:shd w:val="clear" w:color="auto" w:fill="auto"/>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2、12315维权</w:t>
                  </w:r>
                </w:p>
              </w:tc>
            </w:tr>
            <w:tr>
              <w:tblPrEx>
                <w:tblLayout w:type="fixed"/>
                <w:tblCellMar>
                  <w:top w:w="0" w:type="dxa"/>
                  <w:left w:w="108" w:type="dxa"/>
                  <w:bottom w:w="0" w:type="dxa"/>
                  <w:right w:w="108" w:type="dxa"/>
                </w:tblCellMar>
              </w:tblPrEx>
              <w:trPr>
                <w:trHeight w:val="462" w:hRule="atLeast"/>
              </w:trPr>
              <w:tc>
                <w:tcPr>
                  <w:tcW w:w="3860" w:type="dxa"/>
                  <w:shd w:val="clear" w:color="auto" w:fill="auto"/>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3、建立消费维权投诉站</w:t>
                  </w:r>
                </w:p>
              </w:tc>
            </w:tr>
          </w:tbl>
          <w:p>
            <w:pPr>
              <w:widowControl/>
              <w:jc w:val="center"/>
              <w:textAlignment w:val="center"/>
              <w:rPr>
                <w:rFonts w:hint="eastAsia" w:ascii="仿宋" w:hAnsi="仿宋" w:eastAsia="仿宋" w:cs="仿宋"/>
                <w:color w:val="000000"/>
                <w:sz w:val="24"/>
                <w:szCs w:val="24"/>
              </w:rPr>
            </w:pPr>
          </w:p>
        </w:tc>
        <w:tc>
          <w:tcPr>
            <w:tcW w:w="175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≥95％</w:t>
            </w:r>
          </w:p>
        </w:tc>
        <w:tc>
          <w:tcPr>
            <w:tcW w:w="2120"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rPr>
              <w:t>95％</w:t>
            </w:r>
          </w:p>
        </w:tc>
      </w:tr>
      <w:tr>
        <w:tblPrEx>
          <w:tblLayout w:type="fixed"/>
          <w:tblCellMar>
            <w:top w:w="0" w:type="dxa"/>
            <w:left w:w="0" w:type="dxa"/>
            <w:bottom w:w="0" w:type="dxa"/>
            <w:right w:w="0" w:type="dxa"/>
          </w:tblCellMar>
        </w:tblPrEx>
        <w:trPr>
          <w:gridAfter w:val="1"/>
          <w:wAfter w:w="15" w:type="dxa"/>
          <w:trHeight w:val="1050" w:hRule="atLeast"/>
        </w:trPr>
        <w:tc>
          <w:tcPr>
            <w:tcW w:w="731"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color w:val="000000"/>
                <w:sz w:val="24"/>
                <w:szCs w:val="24"/>
              </w:rPr>
            </w:pPr>
          </w:p>
        </w:tc>
        <w:tc>
          <w:tcPr>
            <w:tcW w:w="425"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kern w:val="0"/>
                <w:sz w:val="24"/>
                <w:szCs w:val="24"/>
              </w:rPr>
            </w:pPr>
          </w:p>
        </w:tc>
        <w:tc>
          <w:tcPr>
            <w:tcW w:w="1065"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rPr>
                <w:rFonts w:hint="eastAsia" w:ascii="仿宋" w:hAnsi="仿宋" w:eastAsia="仿宋" w:cs="仿宋"/>
                <w:sz w:val="24"/>
                <w:szCs w:val="24"/>
              </w:rPr>
            </w:pPr>
            <w:r>
              <w:rPr>
                <w:rFonts w:hint="eastAsia" w:ascii="仿宋" w:hAnsi="仿宋" w:eastAsia="仿宋" w:cs="仿宋"/>
                <w:sz w:val="24"/>
                <w:szCs w:val="24"/>
              </w:rPr>
              <w:t>社会满意度</w:t>
            </w:r>
          </w:p>
          <w:p>
            <w:pPr>
              <w:rPr>
                <w:rFonts w:hint="eastAsia" w:ascii="仿宋" w:hAnsi="仿宋" w:eastAsia="仿宋" w:cs="仿宋"/>
                <w:sz w:val="24"/>
                <w:szCs w:val="24"/>
              </w:rPr>
            </w:pPr>
          </w:p>
        </w:tc>
        <w:tc>
          <w:tcPr>
            <w:tcW w:w="2520"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tbl>
            <w:tblPr>
              <w:tblStyle w:val="20"/>
              <w:tblW w:w="3860" w:type="dxa"/>
              <w:tblInd w:w="0" w:type="dxa"/>
              <w:tblLayout w:type="fixed"/>
              <w:tblCellMar>
                <w:top w:w="0" w:type="dxa"/>
                <w:left w:w="108" w:type="dxa"/>
                <w:bottom w:w="0" w:type="dxa"/>
                <w:right w:w="108" w:type="dxa"/>
              </w:tblCellMar>
            </w:tblPr>
            <w:tblGrid>
              <w:gridCol w:w="3860"/>
            </w:tblGrid>
            <w:tr>
              <w:tblPrEx>
                <w:tblLayout w:type="fixed"/>
                <w:tblCellMar>
                  <w:top w:w="0" w:type="dxa"/>
                  <w:left w:w="108" w:type="dxa"/>
                  <w:bottom w:w="0" w:type="dxa"/>
                  <w:right w:w="108" w:type="dxa"/>
                </w:tblCellMar>
              </w:tblPrEx>
              <w:trPr>
                <w:trHeight w:val="360" w:hRule="atLeast"/>
              </w:trPr>
              <w:tc>
                <w:tcPr>
                  <w:tcW w:w="3860" w:type="dxa"/>
                  <w:shd w:val="clear" w:color="auto" w:fill="auto"/>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1、3.15宣传</w:t>
                  </w:r>
                </w:p>
              </w:tc>
            </w:tr>
            <w:tr>
              <w:tblPrEx>
                <w:tblLayout w:type="fixed"/>
                <w:tblCellMar>
                  <w:top w:w="0" w:type="dxa"/>
                  <w:left w:w="108" w:type="dxa"/>
                  <w:bottom w:w="0" w:type="dxa"/>
                  <w:right w:w="108" w:type="dxa"/>
                </w:tblCellMar>
              </w:tblPrEx>
              <w:trPr>
                <w:trHeight w:val="882" w:hRule="atLeast"/>
              </w:trPr>
              <w:tc>
                <w:tcPr>
                  <w:tcW w:w="3860" w:type="dxa"/>
                  <w:shd w:val="clear" w:color="auto" w:fill="auto"/>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2、12315维权</w:t>
                  </w:r>
                </w:p>
              </w:tc>
            </w:tr>
            <w:tr>
              <w:tblPrEx>
                <w:tblLayout w:type="fixed"/>
                <w:tblCellMar>
                  <w:top w:w="0" w:type="dxa"/>
                  <w:left w:w="108" w:type="dxa"/>
                  <w:bottom w:w="0" w:type="dxa"/>
                  <w:right w:w="108" w:type="dxa"/>
                </w:tblCellMar>
              </w:tblPrEx>
              <w:trPr>
                <w:trHeight w:val="462" w:hRule="atLeast"/>
              </w:trPr>
              <w:tc>
                <w:tcPr>
                  <w:tcW w:w="3860" w:type="dxa"/>
                  <w:shd w:val="clear" w:color="auto" w:fill="auto"/>
                  <w:vAlign w:val="center"/>
                </w:tcPr>
                <w:p>
                  <w:pPr>
                    <w:widowControl/>
                    <w:jc w:val="left"/>
                    <w:rPr>
                      <w:rFonts w:hint="eastAsia" w:ascii="仿宋" w:hAnsi="仿宋" w:eastAsia="仿宋" w:cs="仿宋"/>
                      <w:kern w:val="0"/>
                      <w:sz w:val="24"/>
                      <w:szCs w:val="24"/>
                    </w:rPr>
                  </w:pPr>
                  <w:r>
                    <w:rPr>
                      <w:rFonts w:hint="eastAsia" w:ascii="仿宋" w:hAnsi="仿宋" w:eastAsia="仿宋" w:cs="仿宋"/>
                      <w:kern w:val="0"/>
                      <w:sz w:val="24"/>
                      <w:szCs w:val="24"/>
                    </w:rPr>
                    <w:t>3、建立消费维权投诉站</w:t>
                  </w:r>
                </w:p>
              </w:tc>
            </w:tr>
          </w:tbl>
          <w:p>
            <w:pPr>
              <w:widowControl/>
              <w:jc w:val="center"/>
              <w:textAlignment w:val="center"/>
              <w:rPr>
                <w:rFonts w:hint="eastAsia" w:ascii="仿宋" w:hAnsi="仿宋" w:eastAsia="仿宋" w:cs="仿宋"/>
                <w:color w:val="000000"/>
                <w:sz w:val="24"/>
                <w:szCs w:val="24"/>
              </w:rPr>
            </w:pPr>
          </w:p>
        </w:tc>
        <w:tc>
          <w:tcPr>
            <w:tcW w:w="1750"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≥95％</w:t>
            </w:r>
          </w:p>
        </w:tc>
        <w:tc>
          <w:tcPr>
            <w:tcW w:w="2120"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sz w:val="24"/>
                <w:szCs w:val="24"/>
              </w:rPr>
              <w:t>95％</w:t>
            </w:r>
          </w:p>
        </w:tc>
      </w:tr>
    </w:tbl>
    <w:p>
      <w:pPr>
        <w:numPr>
          <w:ilvl w:val="0"/>
          <w:numId w:val="0"/>
        </w:numPr>
        <w:spacing w:line="580" w:lineRule="exact"/>
        <w:rPr>
          <w:rFonts w:hint="eastAsia" w:ascii="仿宋" w:hAnsi="仿宋" w:eastAsia="仿宋" w:cs="仿宋"/>
          <w:sz w:val="24"/>
          <w:szCs w:val="24"/>
          <w:lang w:val="en-US" w:eastAsia="zh-CN"/>
        </w:rPr>
      </w:pPr>
    </w:p>
    <w:p>
      <w:pPr>
        <w:spacing w:line="580" w:lineRule="exact"/>
        <w:ind w:firstLine="640" w:firstLineChars="200"/>
        <w:rPr>
          <w:rFonts w:ascii="??_GB2312" w:hAnsi="仿宋" w:eastAsia="Times New Roman" w:cs="??_GB2312"/>
          <w:sz w:val="32"/>
          <w:szCs w:val="32"/>
        </w:rPr>
      </w:pPr>
      <w:r>
        <w:rPr>
          <w:rFonts w:ascii="??_GB2312" w:hAnsi="仿宋" w:eastAsia="Times New Roman" w:cs="楷体_GB2312"/>
          <w:b/>
          <w:bCs/>
          <w:sz w:val="32"/>
          <w:szCs w:val="32"/>
        </w:rPr>
        <w:t>（</w:t>
      </w:r>
      <w:r>
        <w:rPr>
          <w:rFonts w:hint="eastAsia" w:ascii="楷体_GB2312" w:hAnsi="仿宋" w:eastAsia="楷体_GB2312" w:cs="楷体_GB2312"/>
          <w:b/>
          <w:bCs/>
          <w:sz w:val="32"/>
          <w:szCs w:val="32"/>
        </w:rPr>
        <w:t>三）部门开展绩效评价结果</w:t>
      </w:r>
      <w:r>
        <w:rPr>
          <w:rFonts w:ascii="??_GB2312" w:hAnsi="仿宋" w:eastAsia="Times New Roman" w:cs="楷体_GB2312"/>
          <w:b/>
          <w:bCs/>
          <w:sz w:val="32"/>
          <w:szCs w:val="32"/>
        </w:rPr>
        <w:t>。</w:t>
      </w:r>
    </w:p>
    <w:p>
      <w:p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本部门按要求对2018年部门整体支出绩效评价情况开展自评，《2018年部门整体支出绩效评价报告》（见附件）。</w:t>
      </w:r>
    </w:p>
    <w:p>
      <w:pPr>
        <w:spacing w:line="600" w:lineRule="exact"/>
        <w:ind w:firstLine="643" w:firstLineChars="200"/>
        <w:outlineLvl w:val="1"/>
        <w:rPr>
          <w:rStyle w:val="23"/>
          <w:rFonts w:hint="eastAsia" w:asciiTheme="majorEastAsia" w:hAnsiTheme="majorEastAsia" w:eastAsiaTheme="majorEastAsia" w:cstheme="majorEastAsia"/>
          <w:b/>
          <w:bCs w:val="0"/>
        </w:rPr>
      </w:pPr>
      <w:bookmarkStart w:id="48" w:name="_Toc15377221"/>
      <w:bookmarkStart w:id="49" w:name="_Toc15396612"/>
      <w:r>
        <w:rPr>
          <w:rFonts w:hint="eastAsia" w:asciiTheme="majorEastAsia" w:hAnsiTheme="majorEastAsia" w:eastAsiaTheme="majorEastAsia" w:cstheme="majorEastAsia"/>
          <w:b/>
          <w:bCs w:val="0"/>
          <w:color w:val="000000"/>
          <w:sz w:val="32"/>
          <w:szCs w:val="32"/>
        </w:rPr>
        <w:t>十</w:t>
      </w:r>
      <w:r>
        <w:rPr>
          <w:rStyle w:val="23"/>
          <w:rFonts w:hint="eastAsia" w:asciiTheme="majorEastAsia" w:hAnsiTheme="majorEastAsia" w:eastAsiaTheme="majorEastAsia" w:cstheme="majorEastAsia"/>
          <w:b/>
          <w:bCs w:val="0"/>
        </w:rPr>
        <w:t>一、其他重要事项的情况说明</w:t>
      </w:r>
      <w:bookmarkEnd w:id="48"/>
      <w:bookmarkEnd w:id="49"/>
    </w:p>
    <w:p>
      <w:pPr>
        <w:spacing w:line="600" w:lineRule="exact"/>
        <w:ind w:firstLine="643" w:firstLineChars="200"/>
        <w:outlineLvl w:val="2"/>
        <w:rPr>
          <w:rFonts w:hint="eastAsia" w:ascii="楷体" w:hAnsi="楷体" w:eastAsia="楷体" w:cs="楷体"/>
          <w:color w:val="000000"/>
          <w:sz w:val="32"/>
          <w:szCs w:val="32"/>
        </w:rPr>
      </w:pPr>
      <w:bookmarkStart w:id="50" w:name="_Toc15377222"/>
      <w:r>
        <w:rPr>
          <w:rFonts w:hint="eastAsia" w:ascii="楷体" w:hAnsi="楷体" w:eastAsia="楷体" w:cs="楷体"/>
          <w:b/>
          <w:color w:val="000000"/>
          <w:sz w:val="32"/>
          <w:szCs w:val="32"/>
        </w:rPr>
        <w:t>（一）机关运行经费支出情况</w:t>
      </w:r>
      <w:bookmarkEnd w:id="50"/>
    </w:p>
    <w:p>
      <w:pPr>
        <w:spacing w:line="600" w:lineRule="exact"/>
        <w:ind w:firstLine="640" w:firstLineChars="200"/>
        <w:rPr>
          <w:rFonts w:hint="eastAsia" w:ascii="仿宋" w:hAnsi="仿宋" w:eastAsia="仿宋" w:cs="仿宋"/>
          <w:b/>
          <w:color w:val="000000"/>
          <w:sz w:val="32"/>
          <w:szCs w:val="32"/>
        </w:rPr>
      </w:pPr>
      <w:r>
        <w:rPr>
          <w:rFonts w:hint="eastAsia" w:ascii="仿宋" w:hAnsi="仿宋" w:eastAsia="仿宋" w:cs="仿宋"/>
          <w:color w:val="000000"/>
          <w:sz w:val="32"/>
          <w:szCs w:val="32"/>
        </w:rPr>
        <w:t>2018年，广元市工商行政管理局机关运行经费支出555.04万元，比2017年增加242.62万元，增长43.71%。</w:t>
      </w:r>
    </w:p>
    <w:p>
      <w:pPr>
        <w:autoSpaceDE w:val="0"/>
        <w:autoSpaceDN w:val="0"/>
        <w:adjustRightInd w:val="0"/>
        <w:spacing w:line="600" w:lineRule="exact"/>
        <w:ind w:firstLine="643" w:firstLineChars="200"/>
        <w:jc w:val="left"/>
        <w:outlineLvl w:val="2"/>
        <w:rPr>
          <w:rFonts w:hint="eastAsia" w:ascii="楷体" w:hAnsi="楷体" w:eastAsia="楷体" w:cs="楷体"/>
          <w:b/>
          <w:color w:val="000000"/>
          <w:sz w:val="32"/>
          <w:szCs w:val="32"/>
        </w:rPr>
      </w:pPr>
      <w:bookmarkStart w:id="51" w:name="_Toc15377223"/>
      <w:r>
        <w:rPr>
          <w:rFonts w:hint="eastAsia" w:ascii="楷体" w:hAnsi="楷体" w:eastAsia="楷体" w:cs="楷体"/>
          <w:b/>
          <w:color w:val="000000"/>
          <w:sz w:val="32"/>
          <w:szCs w:val="32"/>
        </w:rPr>
        <w:t>（二）政府采购支出情况</w:t>
      </w:r>
      <w:bookmarkEnd w:id="51"/>
    </w:p>
    <w:p>
      <w:pPr>
        <w:spacing w:line="600" w:lineRule="exact"/>
        <w:ind w:firstLine="640" w:firstLineChars="200"/>
        <w:rPr>
          <w:rFonts w:hint="eastAsia" w:ascii="仿宋" w:hAnsi="仿宋" w:eastAsia="仿宋" w:cs="仿宋"/>
          <w:b/>
          <w:color w:val="000000"/>
          <w:sz w:val="32"/>
          <w:szCs w:val="32"/>
        </w:rPr>
      </w:pPr>
      <w:r>
        <w:rPr>
          <w:rFonts w:hint="eastAsia" w:ascii="仿宋" w:hAnsi="仿宋" w:eastAsia="仿宋" w:cs="仿宋"/>
          <w:color w:val="000000"/>
          <w:sz w:val="32"/>
          <w:szCs w:val="32"/>
        </w:rPr>
        <w:t>2018年度，广元市工商行政管理局政府采购支出总额46.91万元，其中：政府采购货物支出46.91万元、政府采购工程支出0万元、政府采购服务支出0万元。授予中小企业合同金额0万元，占政府采购支出总额的0%，其中：授予小微企业合同金额0万元，占政府采购支出总额的0%。</w:t>
      </w:r>
    </w:p>
    <w:p>
      <w:pPr>
        <w:autoSpaceDE w:val="0"/>
        <w:autoSpaceDN w:val="0"/>
        <w:adjustRightInd w:val="0"/>
        <w:spacing w:line="600" w:lineRule="exact"/>
        <w:ind w:firstLine="643" w:firstLineChars="200"/>
        <w:jc w:val="left"/>
        <w:outlineLvl w:val="2"/>
        <w:rPr>
          <w:rFonts w:hint="eastAsia" w:ascii="楷体" w:hAnsi="楷体" w:eastAsia="楷体" w:cs="楷体"/>
          <w:b/>
          <w:color w:val="000000"/>
          <w:sz w:val="32"/>
          <w:szCs w:val="32"/>
        </w:rPr>
      </w:pPr>
      <w:bookmarkStart w:id="52" w:name="_Toc15377224"/>
      <w:r>
        <w:rPr>
          <w:rFonts w:hint="eastAsia" w:ascii="楷体" w:hAnsi="楷体" w:eastAsia="楷体" w:cs="楷体"/>
          <w:b/>
          <w:color w:val="000000"/>
          <w:sz w:val="32"/>
          <w:szCs w:val="32"/>
        </w:rPr>
        <w:t>（三）国有资产占有使用情况</w:t>
      </w:r>
      <w:bookmarkEnd w:id="52"/>
    </w:p>
    <w:p>
      <w:pPr>
        <w:autoSpaceDE w:val="0"/>
        <w:autoSpaceDN w:val="0"/>
        <w:adjustRightInd w:val="0"/>
        <w:spacing w:line="600" w:lineRule="exact"/>
        <w:ind w:firstLine="640" w:firstLineChars="200"/>
        <w:jc w:val="left"/>
        <w:rPr>
          <w:rFonts w:hint="eastAsia" w:ascii="仿宋" w:hAnsi="仿宋" w:eastAsia="仿宋" w:cs="仿宋"/>
          <w:b/>
          <w:color w:val="000000"/>
          <w:sz w:val="32"/>
          <w:szCs w:val="32"/>
        </w:rPr>
      </w:pPr>
      <w:r>
        <w:rPr>
          <w:rFonts w:hint="eastAsia" w:ascii="仿宋" w:hAnsi="仿宋" w:eastAsia="仿宋" w:cs="仿宋"/>
          <w:color w:val="000000"/>
          <w:sz w:val="32"/>
          <w:szCs w:val="32"/>
        </w:rPr>
        <w:t>截至2018年12月31日，广元市工商行政管理局共有车辆20辆，其中：部级领导干部用车0辆、应急保障用车1辆、一般执法执勤用车19辆、特种专业技术用车0辆、其他用车0辆；单价50万元以上通用设备0台（套），单价100万元以上专用设备0台（套）。</w:t>
      </w:r>
    </w:p>
    <w:p>
      <w:pPr>
        <w:spacing w:line="600" w:lineRule="exact"/>
        <w:jc w:val="center"/>
        <w:outlineLvl w:val="0"/>
        <w:rPr>
          <w:rFonts w:ascii="??_GB2312" w:hAnsi="黑体" w:eastAsia="Times New Roman"/>
          <w:bCs/>
          <w:color w:val="000000"/>
          <w:sz w:val="32"/>
          <w:szCs w:val="32"/>
        </w:rPr>
      </w:pPr>
      <w:bookmarkStart w:id="53" w:name="_Toc15377225"/>
      <w:bookmarkStart w:id="54" w:name="_Toc15396613"/>
    </w:p>
    <w:p>
      <w:pPr>
        <w:spacing w:line="600" w:lineRule="exact"/>
        <w:jc w:val="center"/>
        <w:outlineLvl w:val="0"/>
        <w:rPr>
          <w:rStyle w:val="22"/>
          <w:rFonts w:ascii="黑体" w:hAnsi="黑体" w:eastAsia="黑体"/>
          <w:b w:val="0"/>
          <w:sz w:val="32"/>
          <w:szCs w:val="32"/>
        </w:rPr>
      </w:pPr>
      <w:r>
        <w:rPr>
          <w:rFonts w:hint="eastAsia" w:ascii="黑体" w:hAnsi="黑体" w:eastAsia="黑体"/>
          <w:bCs/>
          <w:color w:val="000000"/>
          <w:sz w:val="32"/>
          <w:szCs w:val="32"/>
        </w:rPr>
        <w:t>第三部分</w:t>
      </w:r>
      <w:r>
        <w:rPr>
          <w:rFonts w:ascii="黑体" w:hAnsi="黑体" w:eastAsia="黑体"/>
          <w:bCs/>
          <w:color w:val="000000"/>
          <w:sz w:val="32"/>
          <w:szCs w:val="32"/>
        </w:rPr>
        <w:t xml:space="preserve"> </w:t>
      </w:r>
      <w:r>
        <w:rPr>
          <w:rFonts w:hint="eastAsia" w:ascii="黑体" w:hAnsi="黑体" w:eastAsia="黑体"/>
          <w:bCs/>
          <w:color w:val="000000"/>
          <w:sz w:val="32"/>
          <w:szCs w:val="32"/>
        </w:rPr>
        <w:t>名</w:t>
      </w:r>
      <w:r>
        <w:rPr>
          <w:rStyle w:val="22"/>
          <w:rFonts w:hint="eastAsia" w:ascii="黑体" w:hAnsi="黑体" w:eastAsia="黑体"/>
          <w:b w:val="0"/>
          <w:sz w:val="32"/>
          <w:szCs w:val="32"/>
        </w:rPr>
        <w:t>词解释</w:t>
      </w:r>
      <w:bookmarkEnd w:id="53"/>
      <w:bookmarkEnd w:id="54"/>
    </w:p>
    <w:p>
      <w:pPr>
        <w:spacing w:line="600" w:lineRule="exact"/>
        <w:jc w:val="left"/>
        <w:rPr>
          <w:rFonts w:ascii="??_GB2312" w:eastAsia="Times New Roman"/>
          <w:b/>
          <w:color w:val="000000"/>
          <w:sz w:val="32"/>
          <w:szCs w:val="32"/>
        </w:rPr>
      </w:pPr>
    </w:p>
    <w:p>
      <w:pPr>
        <w:pStyle w:val="12"/>
        <w:widowControl/>
        <w:spacing w:beforeAutospacing="0" w:afterAutospacing="0" w:line="345" w:lineRule="atLeast"/>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1、财政拨款收入：指市级财政当年拨付的资金。 </w:t>
      </w:r>
    </w:p>
    <w:p>
      <w:pPr>
        <w:pStyle w:val="12"/>
        <w:widowControl/>
        <w:spacing w:beforeAutospacing="0" w:afterAutospacing="0" w:line="345" w:lineRule="atLeast"/>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2、其他收入：指除“财政拨款收入”、“事业收入”、“经营收入”等以外的收入。主要是上级主管部门专项拨款、银行利息等。 </w:t>
      </w:r>
    </w:p>
    <w:p>
      <w:pPr>
        <w:pStyle w:val="12"/>
        <w:widowControl/>
        <w:spacing w:beforeAutospacing="0" w:afterAutospacing="0" w:line="345" w:lineRule="atLeast"/>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rPr>
        <w:t>3、年初结转和结余：指以前年度尚未完成、结转到本年按有关规定继续使用的资金。</w:t>
      </w:r>
    </w:p>
    <w:p>
      <w:pPr>
        <w:pStyle w:val="12"/>
        <w:widowControl/>
        <w:spacing w:beforeAutospacing="0" w:afterAutospacing="0" w:line="345" w:lineRule="atLeast"/>
        <w:ind w:firstLine="640"/>
        <w:jc w:val="both"/>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4、</w:t>
      </w:r>
      <w:r>
        <w:rPr>
          <w:rFonts w:hint="eastAsia" w:ascii="仿宋" w:hAnsi="仿宋" w:eastAsia="仿宋" w:cs="仿宋"/>
          <w:color w:val="000000"/>
          <w:kern w:val="0"/>
          <w:sz w:val="32"/>
          <w:szCs w:val="32"/>
        </w:rPr>
        <w:t>年末结转和结余：指本年度或以前年度预算安排、因客观条件发生变化无法按原计划实施，需延迟到以后年度按有关规定继续使用的资金。</w:t>
      </w:r>
    </w:p>
    <w:p>
      <w:pPr>
        <w:widowControl/>
        <w:spacing w:line="345" w:lineRule="atLeast"/>
        <w:ind w:firstLine="640"/>
        <w:jc w:val="left"/>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lang w:val="en-US" w:eastAsia="zh-CN"/>
        </w:rPr>
        <w:t>5</w:t>
      </w:r>
      <w:r>
        <w:rPr>
          <w:rFonts w:hint="eastAsia" w:ascii="仿宋" w:hAnsi="仿宋" w:eastAsia="仿宋" w:cs="仿宋"/>
          <w:color w:val="000000"/>
          <w:kern w:val="0"/>
          <w:sz w:val="32"/>
          <w:szCs w:val="32"/>
        </w:rPr>
        <w:t>、一般公共服务</w:t>
      </w:r>
      <w:r>
        <w:rPr>
          <w:rFonts w:hint="eastAsia" w:ascii="仿宋" w:hAnsi="仿宋" w:eastAsia="仿宋" w:cs="仿宋"/>
          <w:color w:val="000000"/>
          <w:kern w:val="0"/>
          <w:sz w:val="32"/>
          <w:szCs w:val="32"/>
          <w:lang w:eastAsia="zh-CN"/>
        </w:rPr>
        <w:t>支出</w:t>
      </w:r>
      <w:r>
        <w:rPr>
          <w:rFonts w:hint="eastAsia" w:ascii="仿宋" w:hAnsi="仿宋" w:eastAsia="仿宋" w:cs="仿宋"/>
          <w:b/>
          <w:bCs/>
          <w:color w:val="000000"/>
          <w:kern w:val="0"/>
          <w:sz w:val="32"/>
          <w:szCs w:val="32"/>
          <w:lang w:eastAsia="zh-CN"/>
        </w:rPr>
        <w:t>（类）</w:t>
      </w:r>
      <w:r>
        <w:rPr>
          <w:rFonts w:hint="eastAsia" w:ascii="仿宋" w:hAnsi="仿宋" w:eastAsia="仿宋" w:cs="仿宋"/>
          <w:color w:val="000000"/>
          <w:kern w:val="0"/>
          <w:sz w:val="32"/>
          <w:szCs w:val="32"/>
        </w:rPr>
        <w:t>工商行政管理事务</w:t>
      </w:r>
      <w:r>
        <w:rPr>
          <w:rFonts w:hint="eastAsia" w:ascii="仿宋" w:hAnsi="仿宋" w:eastAsia="仿宋" w:cs="仿宋"/>
          <w:b/>
          <w:bCs/>
          <w:color w:val="000000"/>
          <w:kern w:val="0"/>
          <w:sz w:val="32"/>
          <w:szCs w:val="32"/>
          <w:lang w:eastAsia="zh-CN"/>
        </w:rPr>
        <w:t>（款）</w:t>
      </w:r>
      <w:r>
        <w:rPr>
          <w:rFonts w:hint="eastAsia" w:ascii="仿宋" w:hAnsi="仿宋" w:eastAsia="仿宋" w:cs="仿宋"/>
          <w:color w:val="000000"/>
          <w:kern w:val="0"/>
          <w:sz w:val="32"/>
          <w:szCs w:val="32"/>
        </w:rPr>
        <w:t xml:space="preserve"> </w:t>
      </w:r>
    </w:p>
    <w:p>
      <w:pPr>
        <w:widowControl/>
        <w:spacing w:line="345" w:lineRule="atLeast"/>
        <w:ind w:firstLine="640"/>
        <w:jc w:val="left"/>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行政运行</w:t>
      </w:r>
      <w:r>
        <w:rPr>
          <w:rFonts w:hint="eastAsia" w:ascii="仿宋" w:hAnsi="仿宋" w:eastAsia="仿宋" w:cs="仿宋"/>
          <w:b/>
          <w:bCs/>
          <w:color w:val="000000"/>
          <w:kern w:val="0"/>
          <w:sz w:val="32"/>
          <w:szCs w:val="32"/>
          <w:lang w:eastAsia="zh-CN"/>
        </w:rPr>
        <w:t>（项）</w:t>
      </w:r>
      <w:r>
        <w:rPr>
          <w:rFonts w:hint="eastAsia" w:ascii="仿宋" w:hAnsi="仿宋" w:eastAsia="仿宋" w:cs="仿宋"/>
          <w:color w:val="000000"/>
          <w:kern w:val="0"/>
          <w:sz w:val="32"/>
          <w:szCs w:val="32"/>
        </w:rPr>
        <w:t xml:space="preserve">反映行政单位（包括实行公务员管理的事业单位）的基本支出。 </w:t>
      </w:r>
    </w:p>
    <w:p>
      <w:pPr>
        <w:widowControl/>
        <w:spacing w:line="345" w:lineRule="atLeast"/>
        <w:ind w:firstLine="640"/>
        <w:jc w:val="left"/>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一般行政管理事务</w:t>
      </w:r>
      <w:r>
        <w:rPr>
          <w:rFonts w:hint="eastAsia" w:ascii="仿宋" w:hAnsi="仿宋" w:eastAsia="仿宋" w:cs="仿宋"/>
          <w:b/>
          <w:bCs/>
          <w:color w:val="000000"/>
          <w:kern w:val="0"/>
          <w:sz w:val="32"/>
          <w:szCs w:val="32"/>
          <w:lang w:eastAsia="zh-CN"/>
        </w:rPr>
        <w:t>（项）</w:t>
      </w:r>
      <w:r>
        <w:rPr>
          <w:rFonts w:hint="eastAsia" w:ascii="仿宋" w:hAnsi="仿宋" w:eastAsia="仿宋" w:cs="仿宋"/>
          <w:color w:val="000000"/>
          <w:kern w:val="0"/>
          <w:sz w:val="32"/>
          <w:szCs w:val="32"/>
        </w:rPr>
        <w:t xml:space="preserve">反映行政单位（包括实行公务员管理的事业单位）未单独设置项级科目的其他项目支出。 </w:t>
      </w:r>
    </w:p>
    <w:p>
      <w:pPr>
        <w:widowControl/>
        <w:spacing w:line="345" w:lineRule="atLeast"/>
        <w:ind w:firstLine="640"/>
        <w:jc w:val="left"/>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工商行政管理专项</w:t>
      </w:r>
      <w:r>
        <w:rPr>
          <w:rFonts w:hint="eastAsia" w:ascii="仿宋" w:hAnsi="仿宋" w:eastAsia="仿宋" w:cs="仿宋"/>
          <w:b/>
          <w:bCs/>
          <w:color w:val="000000"/>
          <w:kern w:val="0"/>
          <w:sz w:val="32"/>
          <w:szCs w:val="32"/>
          <w:lang w:eastAsia="zh-CN"/>
        </w:rPr>
        <w:t>（项）</w:t>
      </w:r>
      <w:r>
        <w:rPr>
          <w:rFonts w:hint="eastAsia" w:ascii="仿宋" w:hAnsi="仿宋" w:eastAsia="仿宋" w:cs="仿宋"/>
          <w:color w:val="000000"/>
          <w:kern w:val="0"/>
          <w:sz w:val="32"/>
          <w:szCs w:val="32"/>
        </w:rPr>
        <w:t xml:space="preserve">反映工商行政部门从事业务方面的支出。包括各类企业注册登记和年检，商标注册和评审，各类公告、广告监督管理，市场规范管理，流通领域商品质量抽查等业务工作支出及相关证、照、表格的印刷等支出。 </w:t>
      </w:r>
    </w:p>
    <w:p>
      <w:pPr>
        <w:widowControl/>
        <w:spacing w:line="345" w:lineRule="atLeast"/>
        <w:ind w:firstLine="640"/>
        <w:jc w:val="left"/>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执法办案专项</w:t>
      </w:r>
      <w:r>
        <w:rPr>
          <w:rFonts w:hint="eastAsia" w:ascii="仿宋" w:hAnsi="仿宋" w:eastAsia="仿宋" w:cs="仿宋"/>
          <w:b/>
          <w:bCs/>
          <w:color w:val="000000"/>
          <w:kern w:val="0"/>
          <w:sz w:val="32"/>
          <w:szCs w:val="32"/>
          <w:lang w:eastAsia="zh-CN"/>
        </w:rPr>
        <w:t>（项）</w:t>
      </w:r>
      <w:r>
        <w:rPr>
          <w:rFonts w:hint="eastAsia" w:ascii="仿宋" w:hAnsi="仿宋" w:eastAsia="仿宋" w:cs="仿宋"/>
          <w:color w:val="000000"/>
          <w:kern w:val="0"/>
          <w:sz w:val="32"/>
          <w:szCs w:val="32"/>
        </w:rPr>
        <w:t xml:space="preserve">反映工商行政部门依照法律、法规查处各类经济违法案件，打击走私贩私、打击假冒伪劣商品、打击传销和变相传销、直销管理、反对垄断、反不正当竞争和合同欺诈等专项工作支出。 </w:t>
      </w:r>
    </w:p>
    <w:p>
      <w:pPr>
        <w:widowControl/>
        <w:spacing w:line="345" w:lineRule="atLeast"/>
        <w:ind w:firstLine="640"/>
        <w:jc w:val="left"/>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消费者权益保护</w:t>
      </w:r>
      <w:r>
        <w:rPr>
          <w:rFonts w:hint="eastAsia" w:ascii="仿宋" w:hAnsi="仿宋" w:eastAsia="仿宋" w:cs="仿宋"/>
          <w:b/>
          <w:bCs/>
          <w:color w:val="000000"/>
          <w:kern w:val="0"/>
          <w:sz w:val="32"/>
          <w:szCs w:val="32"/>
          <w:lang w:eastAsia="zh-CN"/>
        </w:rPr>
        <w:t>（项）</w:t>
      </w:r>
      <w:r>
        <w:rPr>
          <w:rFonts w:hint="eastAsia" w:ascii="仿宋" w:hAnsi="仿宋" w:eastAsia="仿宋" w:cs="仿宋"/>
          <w:color w:val="000000"/>
          <w:kern w:val="0"/>
          <w:sz w:val="32"/>
          <w:szCs w:val="32"/>
        </w:rPr>
        <w:t xml:space="preserve">反映工商行政部门依据《消费者权益保护法》受理“12315”案件，打击侵害消费者权益行为，建立“12315”投诉中心，举办“12315”宣传教育活动等专项支出。 </w:t>
      </w:r>
    </w:p>
    <w:p>
      <w:pPr>
        <w:widowControl/>
        <w:spacing w:line="345" w:lineRule="atLeast"/>
        <w:ind w:firstLine="640"/>
        <w:jc w:val="left"/>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lang w:val="en-US" w:eastAsia="zh-CN"/>
        </w:rPr>
        <w:t>6</w:t>
      </w:r>
      <w:r>
        <w:rPr>
          <w:rFonts w:hint="eastAsia" w:ascii="仿宋" w:hAnsi="仿宋" w:eastAsia="仿宋" w:cs="仿宋"/>
          <w:color w:val="000000"/>
          <w:kern w:val="0"/>
          <w:sz w:val="32"/>
          <w:szCs w:val="32"/>
        </w:rPr>
        <w:t xml:space="preserve">、基本支出：指为保障机构正常运转、完成日常工作任务而发生的人员支出和公用支出。 </w:t>
      </w:r>
    </w:p>
    <w:p>
      <w:pPr>
        <w:widowControl/>
        <w:numPr>
          <w:ilvl w:val="0"/>
          <w:numId w:val="0"/>
        </w:numPr>
        <w:spacing w:line="345" w:lineRule="atLeast"/>
        <w:ind w:leftChars="0" w:firstLine="640" w:firstLineChars="200"/>
        <w:jc w:val="left"/>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lang w:val="en-US" w:eastAsia="zh-CN"/>
        </w:rPr>
        <w:t>7、</w:t>
      </w:r>
      <w:r>
        <w:rPr>
          <w:rFonts w:hint="eastAsia" w:ascii="仿宋" w:hAnsi="仿宋" w:eastAsia="仿宋" w:cs="仿宋"/>
          <w:color w:val="000000"/>
          <w:kern w:val="0"/>
          <w:sz w:val="32"/>
          <w:szCs w:val="32"/>
        </w:rPr>
        <w:t>项目支出：指在基本支出之外为完成特定行政任务和事业发展目标所发生的支出。</w:t>
      </w:r>
    </w:p>
    <w:p>
      <w:pPr>
        <w:widowControl/>
        <w:numPr>
          <w:ilvl w:val="0"/>
          <w:numId w:val="0"/>
        </w:numPr>
        <w:spacing w:line="345" w:lineRule="atLeast"/>
        <w:ind w:leftChars="0" w:firstLine="640" w:firstLineChars="200"/>
        <w:jc w:val="left"/>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lang w:val="en-US" w:eastAsia="zh-CN"/>
        </w:rPr>
        <w:t>8</w:t>
      </w:r>
      <w:r>
        <w:rPr>
          <w:rFonts w:hint="eastAsia" w:ascii="仿宋" w:hAnsi="仿宋" w:eastAsia="仿宋" w:cs="仿宋"/>
          <w:color w:val="000000"/>
          <w:kern w:val="0"/>
          <w:sz w:val="32"/>
          <w:szCs w:val="32"/>
        </w:rPr>
        <w:t>、</w:t>
      </w:r>
      <w:r>
        <w:rPr>
          <w:rFonts w:hint="eastAsia" w:ascii="仿宋" w:hAnsi="仿宋" w:eastAsia="仿宋" w:cs="仿宋"/>
          <w:color w:val="000000"/>
          <w:sz w:val="32"/>
          <w:szCs w:val="32"/>
        </w:rPr>
        <w:t>“三公”经费：纳入市级财政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支出。</w:t>
      </w:r>
      <w:r>
        <w:rPr>
          <w:rFonts w:hint="eastAsia" w:ascii="仿宋" w:hAnsi="仿宋" w:eastAsia="仿宋" w:cs="仿宋"/>
          <w:color w:val="000000"/>
          <w:kern w:val="0"/>
          <w:sz w:val="32"/>
          <w:szCs w:val="32"/>
        </w:rPr>
        <w:t xml:space="preserve"> </w:t>
      </w:r>
    </w:p>
    <w:p>
      <w:pPr>
        <w:pStyle w:val="12"/>
        <w:widowControl/>
        <w:spacing w:beforeAutospacing="0" w:afterAutospacing="0" w:line="345" w:lineRule="atLeast"/>
        <w:ind w:firstLine="640"/>
        <w:jc w:val="both"/>
        <w:rPr>
          <w:rFonts w:hint="eastAsia" w:ascii="仿宋" w:hAnsi="仿宋" w:eastAsia="仿宋" w:cs="仿宋"/>
          <w:color w:val="000000"/>
          <w:kern w:val="0"/>
          <w:sz w:val="32"/>
          <w:szCs w:val="32"/>
        </w:rPr>
      </w:pPr>
      <w:r>
        <w:rPr>
          <w:rFonts w:hint="eastAsia" w:ascii="仿宋" w:hAnsi="仿宋" w:eastAsia="仿宋" w:cs="仿宋"/>
          <w:color w:val="000000"/>
          <w:sz w:val="32"/>
          <w:szCs w:val="32"/>
          <w:lang w:val="en-US" w:eastAsia="zh-CN"/>
        </w:rPr>
        <w:t>9</w:t>
      </w:r>
      <w:r>
        <w:rPr>
          <w:rFonts w:hint="eastAsia" w:ascii="仿宋" w:hAnsi="仿宋" w:eastAsia="仿宋" w:cs="仿宋"/>
          <w:color w:val="000000"/>
          <w:sz w:val="32"/>
          <w:szCs w:val="32"/>
        </w:rPr>
        <w:t>、</w:t>
      </w:r>
      <w:r>
        <w:rPr>
          <w:rFonts w:hint="eastAsia" w:ascii="仿宋" w:hAnsi="仿宋" w:eastAsia="仿宋" w:cs="仿宋"/>
          <w:color w:val="000000"/>
          <w:kern w:val="0"/>
          <w:sz w:val="32"/>
          <w:szCs w:val="32"/>
        </w:rPr>
        <w:t xml:space="preserve">机关运行经费：为保障行政单位（含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 </w:t>
      </w:r>
    </w:p>
    <w:p>
      <w:pPr>
        <w:spacing w:line="580" w:lineRule="exact"/>
        <w:ind w:firstLine="640" w:firstLineChars="200"/>
        <w:rPr>
          <w:rFonts w:hint="eastAsia" w:ascii="仿宋" w:hAnsi="仿宋" w:eastAsia="仿宋" w:cs="仿宋"/>
          <w:b/>
          <w:bCs/>
          <w:i w:val="0"/>
          <w:iCs w:val="0"/>
          <w:color w:val="000000"/>
          <w:kern w:val="0"/>
          <w:sz w:val="32"/>
          <w:szCs w:val="32"/>
          <w:lang w:eastAsia="zh-CN"/>
        </w:rPr>
      </w:pPr>
      <w:r>
        <w:rPr>
          <w:rFonts w:hint="eastAsia" w:ascii="仿宋" w:hAnsi="仿宋" w:eastAsia="仿宋" w:cs="仿宋"/>
          <w:color w:val="000000"/>
          <w:kern w:val="0"/>
          <w:sz w:val="32"/>
          <w:szCs w:val="32"/>
        </w:rPr>
        <w:t>10、社会保障和就业支出</w:t>
      </w:r>
      <w:r>
        <w:rPr>
          <w:rFonts w:hint="eastAsia" w:ascii="仿宋" w:hAnsi="仿宋" w:eastAsia="仿宋" w:cs="仿宋"/>
          <w:b/>
          <w:bCs/>
          <w:color w:val="000000"/>
          <w:kern w:val="0"/>
          <w:sz w:val="32"/>
          <w:szCs w:val="32"/>
          <w:lang w:eastAsia="zh-CN"/>
        </w:rPr>
        <w:t>（类）</w:t>
      </w:r>
      <w:r>
        <w:rPr>
          <w:rFonts w:hint="eastAsia" w:ascii="仿宋" w:hAnsi="仿宋" w:eastAsia="仿宋" w:cs="仿宋"/>
          <w:color w:val="000000"/>
          <w:kern w:val="0"/>
          <w:sz w:val="32"/>
          <w:szCs w:val="32"/>
          <w:lang w:eastAsia="zh-CN"/>
        </w:rPr>
        <w:t>行政事业单位离退休支出</w:t>
      </w:r>
      <w:r>
        <w:rPr>
          <w:rFonts w:hint="eastAsia" w:ascii="仿宋" w:hAnsi="仿宋" w:eastAsia="仿宋" w:cs="仿宋"/>
          <w:b/>
          <w:bCs/>
          <w:i w:val="0"/>
          <w:iCs w:val="0"/>
          <w:color w:val="000000"/>
          <w:kern w:val="0"/>
          <w:sz w:val="32"/>
          <w:szCs w:val="32"/>
          <w:lang w:eastAsia="zh-CN"/>
        </w:rPr>
        <w:t>（款）</w:t>
      </w:r>
    </w:p>
    <w:p>
      <w:pPr>
        <w:spacing w:line="580" w:lineRule="exact"/>
        <w:ind w:firstLine="640" w:firstLineChars="200"/>
        <w:rPr>
          <w:rFonts w:hint="eastAsia" w:ascii="仿宋" w:hAnsi="仿宋" w:eastAsia="仿宋" w:cs="仿宋"/>
          <w:color w:val="000000"/>
          <w:kern w:val="0"/>
          <w:sz w:val="32"/>
          <w:szCs w:val="32"/>
          <w:lang w:eastAsia="zh-CN"/>
        </w:rPr>
      </w:pPr>
      <w:r>
        <w:rPr>
          <w:rFonts w:hint="eastAsia" w:ascii="仿宋" w:hAnsi="仿宋" w:eastAsia="仿宋" w:cs="仿宋"/>
          <w:color w:val="000000"/>
          <w:kern w:val="0"/>
          <w:sz w:val="32"/>
          <w:szCs w:val="32"/>
        </w:rPr>
        <w:t>机关事业单位养老保险</w:t>
      </w:r>
      <w:r>
        <w:rPr>
          <w:rFonts w:hint="eastAsia" w:ascii="仿宋" w:hAnsi="仿宋" w:eastAsia="仿宋" w:cs="仿宋"/>
          <w:color w:val="000000"/>
          <w:kern w:val="0"/>
          <w:sz w:val="32"/>
          <w:szCs w:val="32"/>
          <w:lang w:eastAsia="zh-CN"/>
        </w:rPr>
        <w:t>支出</w:t>
      </w:r>
      <w:r>
        <w:rPr>
          <w:rFonts w:hint="eastAsia" w:ascii="仿宋" w:hAnsi="仿宋" w:eastAsia="仿宋" w:cs="仿宋"/>
          <w:b/>
          <w:bCs/>
          <w:color w:val="000000"/>
          <w:kern w:val="0"/>
          <w:sz w:val="32"/>
          <w:szCs w:val="32"/>
          <w:lang w:eastAsia="zh-CN"/>
        </w:rPr>
        <w:t>（项）</w:t>
      </w:r>
      <w:r>
        <w:rPr>
          <w:rFonts w:hint="eastAsia" w:ascii="仿宋_GB2312" w:hAnsi="Calibri" w:eastAsia="仿宋_GB2312" w:cs="仿宋"/>
          <w:color w:val="000000"/>
          <w:kern w:val="0"/>
          <w:sz w:val="32"/>
          <w:szCs w:val="32"/>
          <w:lang w:val="en-US" w:eastAsia="zh-CN" w:bidi="ar-SA"/>
        </w:rPr>
        <w:t>指在职职工养老保险。</w:t>
      </w:r>
    </w:p>
    <w:p>
      <w:pPr>
        <w:spacing w:line="580" w:lineRule="exact"/>
        <w:ind w:firstLine="640" w:firstLineChars="20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机关事业单位</w:t>
      </w:r>
      <w:r>
        <w:rPr>
          <w:rFonts w:hint="eastAsia" w:ascii="仿宋" w:hAnsi="仿宋" w:eastAsia="仿宋" w:cs="仿宋"/>
          <w:color w:val="000000"/>
          <w:kern w:val="0"/>
          <w:sz w:val="32"/>
          <w:szCs w:val="32"/>
          <w:lang w:eastAsia="zh-CN"/>
        </w:rPr>
        <w:t>职业年金支出</w:t>
      </w:r>
      <w:r>
        <w:rPr>
          <w:rFonts w:hint="eastAsia" w:ascii="仿宋" w:hAnsi="仿宋" w:eastAsia="仿宋" w:cs="仿宋"/>
          <w:b/>
          <w:bCs/>
          <w:color w:val="000000"/>
          <w:kern w:val="0"/>
          <w:sz w:val="32"/>
          <w:szCs w:val="32"/>
          <w:lang w:eastAsia="zh-CN"/>
        </w:rPr>
        <w:t>（项）</w:t>
      </w:r>
      <w:r>
        <w:rPr>
          <w:rFonts w:hint="eastAsia" w:ascii="仿宋" w:hAnsi="仿宋" w:eastAsia="仿宋" w:cs="仿宋"/>
          <w:color w:val="000000"/>
          <w:kern w:val="0"/>
          <w:sz w:val="32"/>
          <w:szCs w:val="32"/>
        </w:rPr>
        <w:t>指在职职工职业年金。</w:t>
      </w:r>
    </w:p>
    <w:p>
      <w:pPr>
        <w:numPr>
          <w:ilvl w:val="0"/>
          <w:numId w:val="10"/>
        </w:numPr>
        <w:spacing w:line="580" w:lineRule="exact"/>
        <w:ind w:firstLine="640" w:firstLineChars="200"/>
        <w:rPr>
          <w:rFonts w:hint="eastAsia" w:ascii="仿宋" w:hAnsi="仿宋" w:eastAsia="仿宋" w:cs="仿宋"/>
          <w:b/>
          <w:bCs/>
          <w:i w:val="0"/>
          <w:iCs w:val="0"/>
          <w:color w:val="000000"/>
          <w:kern w:val="0"/>
          <w:sz w:val="32"/>
          <w:szCs w:val="32"/>
          <w:lang w:eastAsia="zh-CN"/>
        </w:rPr>
      </w:pPr>
      <w:r>
        <w:rPr>
          <w:rFonts w:hint="eastAsia" w:ascii="仿宋" w:hAnsi="仿宋" w:eastAsia="仿宋" w:cs="仿宋"/>
          <w:color w:val="000000"/>
          <w:kern w:val="0"/>
          <w:sz w:val="32"/>
          <w:szCs w:val="32"/>
        </w:rPr>
        <w:t>医疗卫生与计划生育支出</w:t>
      </w:r>
      <w:r>
        <w:rPr>
          <w:rFonts w:hint="eastAsia" w:ascii="仿宋" w:hAnsi="仿宋" w:eastAsia="仿宋" w:cs="仿宋"/>
          <w:b/>
          <w:bCs/>
          <w:color w:val="000000"/>
          <w:kern w:val="0"/>
          <w:sz w:val="32"/>
          <w:szCs w:val="32"/>
          <w:lang w:eastAsia="zh-CN"/>
        </w:rPr>
        <w:t>（类）</w:t>
      </w:r>
      <w:r>
        <w:rPr>
          <w:rFonts w:hint="eastAsia" w:ascii="仿宋" w:hAnsi="仿宋" w:eastAsia="仿宋" w:cs="仿宋"/>
          <w:color w:val="000000"/>
          <w:kern w:val="0"/>
          <w:sz w:val="32"/>
          <w:szCs w:val="32"/>
        </w:rPr>
        <w:t>行政单位医疗</w:t>
      </w:r>
      <w:r>
        <w:rPr>
          <w:rFonts w:hint="eastAsia" w:ascii="仿宋" w:hAnsi="仿宋" w:eastAsia="仿宋" w:cs="仿宋"/>
          <w:b/>
          <w:bCs/>
          <w:i w:val="0"/>
          <w:iCs w:val="0"/>
          <w:color w:val="000000"/>
          <w:kern w:val="0"/>
          <w:sz w:val="32"/>
          <w:szCs w:val="32"/>
          <w:lang w:eastAsia="zh-CN"/>
        </w:rPr>
        <w:t>（款）</w:t>
      </w:r>
    </w:p>
    <w:p>
      <w:pPr>
        <w:numPr>
          <w:ilvl w:val="0"/>
          <w:numId w:val="0"/>
        </w:numPr>
        <w:spacing w:line="580" w:lineRule="exact"/>
        <w:ind w:firstLine="640" w:firstLineChars="20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行政单位医疗</w:t>
      </w:r>
      <w:r>
        <w:rPr>
          <w:rFonts w:hint="eastAsia" w:ascii="仿宋" w:hAnsi="仿宋" w:eastAsia="仿宋" w:cs="仿宋"/>
          <w:b/>
          <w:bCs/>
          <w:color w:val="000000"/>
          <w:kern w:val="0"/>
          <w:sz w:val="32"/>
          <w:szCs w:val="32"/>
          <w:lang w:eastAsia="zh-CN"/>
        </w:rPr>
        <w:t>（项）</w:t>
      </w:r>
      <w:r>
        <w:rPr>
          <w:rFonts w:hint="eastAsia" w:ascii="仿宋" w:hAnsi="仿宋" w:eastAsia="仿宋" w:cs="仿宋"/>
          <w:color w:val="000000"/>
          <w:kern w:val="0"/>
          <w:sz w:val="32"/>
          <w:szCs w:val="32"/>
        </w:rPr>
        <w:t>指行政单位基本医疗保险缴费，事业医疗指事业单位基本医疗保险缴费。</w:t>
      </w:r>
    </w:p>
    <w:p>
      <w:pPr>
        <w:numPr>
          <w:ilvl w:val="0"/>
          <w:numId w:val="10"/>
        </w:numPr>
        <w:spacing w:line="580" w:lineRule="exact"/>
        <w:ind w:left="0" w:leftChars="0" w:firstLine="640" w:firstLineChars="200"/>
        <w:rPr>
          <w:rFonts w:hint="eastAsia" w:ascii="仿宋" w:hAnsi="仿宋" w:eastAsia="仿宋" w:cs="仿宋"/>
          <w:b/>
          <w:bCs/>
          <w:color w:val="000000"/>
          <w:kern w:val="0"/>
          <w:sz w:val="32"/>
          <w:szCs w:val="32"/>
          <w:lang w:eastAsia="zh-CN"/>
        </w:rPr>
      </w:pPr>
      <w:r>
        <w:rPr>
          <w:rFonts w:hint="eastAsia" w:ascii="仿宋" w:hAnsi="仿宋" w:eastAsia="仿宋" w:cs="仿宋"/>
          <w:color w:val="000000"/>
          <w:kern w:val="0"/>
          <w:sz w:val="32"/>
          <w:szCs w:val="32"/>
        </w:rPr>
        <w:t>住房保障支出</w:t>
      </w:r>
      <w:r>
        <w:rPr>
          <w:rFonts w:hint="eastAsia" w:ascii="仿宋" w:hAnsi="仿宋" w:eastAsia="仿宋" w:cs="仿宋"/>
          <w:b/>
          <w:bCs/>
          <w:color w:val="000000"/>
          <w:kern w:val="0"/>
          <w:sz w:val="32"/>
          <w:szCs w:val="32"/>
          <w:lang w:eastAsia="zh-CN"/>
        </w:rPr>
        <w:t>（类）</w:t>
      </w:r>
      <w:r>
        <w:rPr>
          <w:rFonts w:hint="eastAsia" w:ascii="仿宋" w:hAnsi="仿宋" w:eastAsia="仿宋" w:cs="仿宋"/>
          <w:color w:val="000000"/>
          <w:kern w:val="0"/>
          <w:sz w:val="32"/>
          <w:szCs w:val="32"/>
          <w:lang w:eastAsia="zh-CN"/>
        </w:rPr>
        <w:t>住房改革支出</w:t>
      </w:r>
      <w:r>
        <w:rPr>
          <w:rFonts w:hint="eastAsia" w:ascii="仿宋" w:hAnsi="仿宋" w:eastAsia="仿宋" w:cs="仿宋"/>
          <w:b/>
          <w:bCs/>
          <w:i w:val="0"/>
          <w:iCs w:val="0"/>
          <w:color w:val="000000"/>
          <w:kern w:val="0"/>
          <w:sz w:val="32"/>
          <w:szCs w:val="32"/>
          <w:lang w:eastAsia="zh-CN"/>
        </w:rPr>
        <w:t>（款）</w:t>
      </w:r>
    </w:p>
    <w:p>
      <w:pPr>
        <w:numPr>
          <w:ilvl w:val="0"/>
          <w:numId w:val="0"/>
        </w:numPr>
        <w:spacing w:line="580" w:lineRule="exact"/>
        <w:ind w:firstLine="640" w:firstLineChars="20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住房公积金</w:t>
      </w:r>
      <w:r>
        <w:rPr>
          <w:rFonts w:hint="eastAsia" w:ascii="仿宋" w:hAnsi="仿宋" w:eastAsia="仿宋" w:cs="仿宋"/>
          <w:b/>
          <w:bCs/>
          <w:color w:val="000000"/>
          <w:kern w:val="0"/>
          <w:sz w:val="32"/>
          <w:szCs w:val="32"/>
          <w:lang w:eastAsia="zh-CN"/>
        </w:rPr>
        <w:t>（项）</w:t>
      </w:r>
      <w:r>
        <w:rPr>
          <w:rFonts w:hint="eastAsia" w:ascii="仿宋" w:hAnsi="仿宋" w:eastAsia="仿宋" w:cs="仿宋"/>
          <w:color w:val="000000"/>
          <w:kern w:val="0"/>
          <w:sz w:val="32"/>
          <w:szCs w:val="32"/>
        </w:rPr>
        <w:t>指人力资源部和财政部规定的基本工资和津贴补贴以及规定比例为职工缴纳的住房公积金。</w:t>
      </w:r>
    </w:p>
    <w:p>
      <w:pPr>
        <w:spacing w:line="580" w:lineRule="exact"/>
        <w:ind w:firstLine="640" w:firstLineChars="200"/>
        <w:rPr>
          <w:rFonts w:hint="eastAsia" w:ascii="仿宋" w:hAnsi="仿宋" w:eastAsia="仿宋" w:cs="仿宋"/>
          <w:color w:val="000000"/>
          <w:kern w:val="0"/>
          <w:sz w:val="32"/>
          <w:szCs w:val="32"/>
        </w:rPr>
      </w:pPr>
    </w:p>
    <w:p>
      <w:pPr>
        <w:jc w:val="center"/>
        <w:rPr>
          <w:rStyle w:val="22"/>
          <w:rFonts w:hint="eastAsia" w:ascii="黑体" w:hAnsi="黑体" w:eastAsia="黑体"/>
          <w:b w:val="0"/>
          <w:sz w:val="32"/>
          <w:szCs w:val="32"/>
        </w:rPr>
      </w:pPr>
      <w:bookmarkStart w:id="55" w:name="_Toc15396614"/>
      <w:bookmarkStart w:id="56" w:name="_Toc15377226"/>
    </w:p>
    <w:p>
      <w:pPr>
        <w:jc w:val="center"/>
        <w:rPr>
          <w:rStyle w:val="22"/>
          <w:rFonts w:hint="eastAsia" w:ascii="黑体" w:hAnsi="黑体" w:eastAsia="黑体"/>
          <w:b w:val="0"/>
          <w:sz w:val="32"/>
          <w:szCs w:val="32"/>
        </w:rPr>
      </w:pPr>
    </w:p>
    <w:p>
      <w:pPr>
        <w:jc w:val="center"/>
        <w:rPr>
          <w:rStyle w:val="22"/>
          <w:rFonts w:hint="eastAsia" w:ascii="黑体" w:hAnsi="黑体" w:eastAsia="黑体"/>
          <w:b w:val="0"/>
          <w:sz w:val="32"/>
          <w:szCs w:val="32"/>
        </w:rPr>
      </w:pPr>
    </w:p>
    <w:p>
      <w:pPr>
        <w:jc w:val="center"/>
        <w:rPr>
          <w:rStyle w:val="22"/>
          <w:rFonts w:hint="eastAsia" w:ascii="黑体" w:hAnsi="黑体" w:eastAsia="黑体"/>
          <w:b w:val="0"/>
          <w:sz w:val="32"/>
          <w:szCs w:val="32"/>
        </w:rPr>
      </w:pPr>
    </w:p>
    <w:p>
      <w:pPr>
        <w:jc w:val="center"/>
        <w:rPr>
          <w:rStyle w:val="22"/>
          <w:rFonts w:hint="eastAsia" w:ascii="黑体" w:hAnsi="黑体" w:eastAsia="黑体"/>
          <w:b w:val="0"/>
          <w:sz w:val="32"/>
          <w:szCs w:val="32"/>
        </w:rPr>
      </w:pPr>
    </w:p>
    <w:p>
      <w:pPr>
        <w:jc w:val="center"/>
        <w:rPr>
          <w:rStyle w:val="22"/>
          <w:rFonts w:hint="eastAsia" w:ascii="黑体" w:hAnsi="黑体" w:eastAsia="黑体"/>
          <w:b w:val="0"/>
          <w:sz w:val="32"/>
          <w:szCs w:val="32"/>
        </w:rPr>
      </w:pPr>
    </w:p>
    <w:p>
      <w:pPr>
        <w:jc w:val="center"/>
        <w:rPr>
          <w:rStyle w:val="22"/>
          <w:rFonts w:ascii="黑体" w:hAnsi="仿宋" w:eastAsia="黑体"/>
          <w:b w:val="0"/>
          <w:bCs w:val="0"/>
          <w:sz w:val="32"/>
          <w:szCs w:val="32"/>
        </w:rPr>
      </w:pPr>
      <w:r>
        <w:rPr>
          <w:rStyle w:val="22"/>
          <w:rFonts w:hint="eastAsia" w:ascii="黑体" w:hAnsi="黑体" w:eastAsia="黑体"/>
          <w:b w:val="0"/>
          <w:sz w:val="32"/>
          <w:szCs w:val="32"/>
        </w:rPr>
        <w:t>第四部分</w:t>
      </w:r>
      <w:r>
        <w:rPr>
          <w:rStyle w:val="22"/>
          <w:rFonts w:ascii="黑体" w:hAnsi="黑体" w:eastAsia="黑体"/>
          <w:b w:val="0"/>
          <w:sz w:val="32"/>
          <w:szCs w:val="32"/>
        </w:rPr>
        <w:t xml:space="preserve"> </w:t>
      </w:r>
      <w:r>
        <w:rPr>
          <w:rStyle w:val="22"/>
          <w:rFonts w:hint="eastAsia" w:ascii="黑体" w:hAnsi="黑体" w:eastAsia="黑体"/>
          <w:b w:val="0"/>
          <w:sz w:val="32"/>
          <w:szCs w:val="32"/>
        </w:rPr>
        <w:t>附</w:t>
      </w:r>
      <w:r>
        <w:rPr>
          <w:rStyle w:val="22"/>
          <w:rFonts w:ascii="黑体" w:hAnsi="黑体" w:eastAsia="黑体"/>
          <w:b w:val="0"/>
          <w:sz w:val="32"/>
          <w:szCs w:val="32"/>
        </w:rPr>
        <w:t xml:space="preserve"> </w:t>
      </w:r>
      <w:r>
        <w:rPr>
          <w:rStyle w:val="22"/>
          <w:rFonts w:hint="eastAsia" w:ascii="黑体" w:hAnsi="黑体" w:eastAsia="黑体"/>
          <w:b w:val="0"/>
          <w:sz w:val="32"/>
          <w:szCs w:val="32"/>
        </w:rPr>
        <w:t>件</w:t>
      </w:r>
      <w:bookmarkEnd w:id="55"/>
    </w:p>
    <w:p>
      <w:pPr>
        <w:spacing w:line="600" w:lineRule="exact"/>
        <w:jc w:val="center"/>
        <w:outlineLvl w:val="0"/>
        <w:rPr>
          <w:rFonts w:ascii="??_GB2312" w:hAnsi="黑体" w:eastAsia="Times New Roman" w:cs="方正小标宋简体"/>
          <w:sz w:val="32"/>
          <w:szCs w:val="32"/>
        </w:rPr>
      </w:pPr>
      <w:bookmarkStart w:id="57" w:name="_Toc15396616"/>
    </w:p>
    <w:p>
      <w:pPr>
        <w:spacing w:line="600" w:lineRule="exact"/>
        <w:jc w:val="center"/>
        <w:outlineLvl w:val="0"/>
        <w:rPr>
          <w:rFonts w:ascii="??_GB2312" w:hAnsi="黑体" w:eastAsia="Times New Roman" w:cs="方正小标宋简体"/>
          <w:b/>
          <w:sz w:val="32"/>
          <w:szCs w:val="32"/>
        </w:rPr>
      </w:pPr>
      <w:r>
        <w:rPr>
          <w:rFonts w:ascii="??_GB2312" w:hAnsi="黑体" w:eastAsia="Times New Roman" w:cs="方正小标宋简体"/>
          <w:b/>
          <w:sz w:val="32"/>
          <w:szCs w:val="32"/>
        </w:rPr>
        <w:t>广元市工商行政管理局</w:t>
      </w:r>
    </w:p>
    <w:p>
      <w:pPr>
        <w:spacing w:line="600" w:lineRule="exact"/>
        <w:jc w:val="center"/>
        <w:outlineLvl w:val="0"/>
        <w:rPr>
          <w:rFonts w:ascii="??_GB2312" w:hAnsi="黑体" w:eastAsia="Times New Roman" w:cs="方正小标宋简体"/>
          <w:b/>
          <w:sz w:val="32"/>
          <w:szCs w:val="32"/>
        </w:rPr>
      </w:pPr>
      <w:r>
        <w:rPr>
          <w:rFonts w:ascii="??_GB2312" w:hAnsi="黑体" w:eastAsia="Times New Roman" w:cs="方正小标宋简体"/>
          <w:b/>
          <w:sz w:val="32"/>
          <w:szCs w:val="32"/>
        </w:rPr>
        <w:t>2018年部门整体支出绩效评价报告</w:t>
      </w:r>
      <w:bookmarkEnd w:id="57"/>
    </w:p>
    <w:p>
      <w:pPr>
        <w:spacing w:line="580" w:lineRule="exact"/>
        <w:ind w:firstLine="640" w:firstLineChars="200"/>
        <w:rPr>
          <w:rFonts w:ascii="??_GB2312" w:hAnsi="黑体" w:eastAsia="Times New Roman" w:cs="黑体"/>
          <w:sz w:val="32"/>
          <w:szCs w:val="32"/>
        </w:rPr>
      </w:pPr>
    </w:p>
    <w:p>
      <w:pPr>
        <w:spacing w:line="580" w:lineRule="exact"/>
        <w:ind w:firstLine="643" w:firstLineChars="200"/>
        <w:rPr>
          <w:rFonts w:ascii="宋体" w:cs="黑体"/>
          <w:b/>
          <w:sz w:val="32"/>
          <w:szCs w:val="32"/>
        </w:rPr>
      </w:pPr>
      <w:r>
        <w:rPr>
          <w:rFonts w:hint="eastAsia" w:ascii="宋体" w:hAnsi="宋体" w:cs="黑体"/>
          <w:b/>
          <w:sz w:val="32"/>
          <w:szCs w:val="32"/>
        </w:rPr>
        <w:t>一、部门（单位）概况</w:t>
      </w:r>
    </w:p>
    <w:p>
      <w:pPr>
        <w:spacing w:line="560" w:lineRule="exact"/>
        <w:ind w:firstLine="640" w:firstLineChars="200"/>
        <w:rPr>
          <w:rFonts w:hint="eastAsia" w:ascii="仿宋" w:hAnsi="仿宋" w:eastAsia="仿宋" w:cs="仿宋"/>
          <w:sz w:val="32"/>
          <w:szCs w:val="32"/>
        </w:rPr>
      </w:pPr>
      <w:r>
        <w:rPr>
          <w:rFonts w:ascii="??_GB2312" w:hAnsi="仿宋" w:eastAsia="Times New Roman" w:cs="??_GB2312"/>
          <w:b/>
          <w:bCs/>
          <w:sz w:val="32"/>
          <w:szCs w:val="32"/>
        </w:rPr>
        <w:t>（一）机构组成</w:t>
      </w:r>
      <w:r>
        <w:rPr>
          <w:rFonts w:ascii="??_GB2312" w:hAnsi="仿宋" w:eastAsia="Times New Roman" w:cs="??_GB2312"/>
          <w:sz w:val="32"/>
          <w:szCs w:val="32"/>
        </w:rPr>
        <w:t>：</w:t>
      </w:r>
      <w:r>
        <w:rPr>
          <w:rFonts w:hint="eastAsia" w:ascii="仿宋" w:hAnsi="仿宋" w:eastAsia="仿宋" w:cs="仿宋"/>
          <w:sz w:val="32"/>
          <w:szCs w:val="32"/>
        </w:rPr>
        <w:t>广元市工商行政管理局内设办公室、政策法规科、商标监督管理科、广告监督管理科、市场规范管理科、合同监督管理科、企业个体监督管理科（外资企业监督管理科）、反垄断与反不正当竞争执法科、网络商品交易监督管理科、消费者权益保护科（12315水费者投诉举报指挥中心）、信用信息管理科、财务科、人事科、非公有抽经济组织党那建科、机关学委办公室15个科室，广元市工商行政管理局经济检查支队、广元市工商行政管理局市场主体监督分局、广元市工商行政管理局经济技术开发区3个直属行政单位，市消费者权益服务中心、市个体私营经济服务中心2个直属事业单位。</w:t>
      </w:r>
    </w:p>
    <w:p>
      <w:pPr>
        <w:spacing w:line="580" w:lineRule="exact"/>
        <w:ind w:firstLine="640" w:firstLineChars="200"/>
        <w:rPr>
          <w:rFonts w:hint="eastAsia" w:ascii="仿宋" w:hAnsi="仿宋" w:eastAsia="仿宋" w:cs="仿宋"/>
          <w:sz w:val="32"/>
          <w:szCs w:val="32"/>
        </w:rPr>
      </w:pPr>
      <w:r>
        <w:rPr>
          <w:rFonts w:ascii="??_GB2312" w:hAnsi="仿宋" w:eastAsia="Times New Roman" w:cs="??_GB2312"/>
          <w:b/>
          <w:bCs/>
          <w:sz w:val="32"/>
          <w:szCs w:val="32"/>
        </w:rPr>
        <w:t>（二）机构职能</w:t>
      </w:r>
      <w:r>
        <w:rPr>
          <w:rFonts w:ascii="??_GB2312" w:hAnsi="仿宋" w:eastAsia="Times New Roman" w:cs="??_GB2312"/>
          <w:sz w:val="32"/>
          <w:szCs w:val="32"/>
        </w:rPr>
        <w:t>：</w:t>
      </w:r>
      <w:r>
        <w:rPr>
          <w:rFonts w:hint="eastAsia" w:ascii="仿宋" w:hAnsi="仿宋" w:eastAsia="仿宋" w:cs="仿宋"/>
          <w:sz w:val="32"/>
          <w:szCs w:val="32"/>
        </w:rPr>
        <w:t>广元市工商行政管理局依法确认各类经营者的主体资格，监督管理或参与监督管理各类市场，依法规范市场交易行为保护公平竞争，查处经济违法行为，取缔非法经营，保护正常的市场经济秩序</w:t>
      </w:r>
    </w:p>
    <w:p>
      <w:pPr>
        <w:spacing w:line="560" w:lineRule="exact"/>
        <w:ind w:firstLine="640" w:firstLineChars="200"/>
        <w:rPr>
          <w:rFonts w:hint="eastAsia" w:ascii="仿宋" w:hAnsi="仿宋" w:eastAsia="仿宋" w:cs="仿宋"/>
          <w:sz w:val="32"/>
          <w:szCs w:val="32"/>
        </w:rPr>
      </w:pPr>
      <w:r>
        <w:rPr>
          <w:rFonts w:ascii="??_GB2312" w:hAnsi="仿宋" w:eastAsia="Times New Roman" w:cs="??_GB2312"/>
          <w:b/>
          <w:bCs/>
          <w:sz w:val="32"/>
          <w:szCs w:val="32"/>
        </w:rPr>
        <w:t>（三）人员概况：</w:t>
      </w:r>
      <w:r>
        <w:rPr>
          <w:rFonts w:hint="eastAsia" w:ascii="仿宋" w:hAnsi="仿宋" w:eastAsia="仿宋" w:cs="仿宋"/>
          <w:sz w:val="32"/>
          <w:szCs w:val="32"/>
        </w:rPr>
        <w:t>广元市工商行政管理局下属二级预算单位1个，其中行政单位3个，其他事业单位2个，总编制127人，行政编制105人，事业编制22人，在职行政人员139人，在职事业人员15人。</w:t>
      </w:r>
    </w:p>
    <w:p>
      <w:pPr>
        <w:spacing w:line="580" w:lineRule="exact"/>
        <w:ind w:firstLine="643" w:firstLineChars="200"/>
        <w:rPr>
          <w:rFonts w:ascii="宋体" w:cs="黑体"/>
          <w:b/>
          <w:sz w:val="32"/>
          <w:szCs w:val="32"/>
        </w:rPr>
      </w:pPr>
      <w:r>
        <w:rPr>
          <w:rFonts w:hint="eastAsia" w:ascii="宋体" w:hAnsi="宋体" w:cs="黑体"/>
          <w:b/>
          <w:sz w:val="32"/>
          <w:szCs w:val="32"/>
        </w:rPr>
        <w:t>二、部门财政资金收支情况</w:t>
      </w:r>
    </w:p>
    <w:p>
      <w:pPr>
        <w:spacing w:line="580" w:lineRule="exact"/>
        <w:ind w:firstLine="640" w:firstLineChars="200"/>
        <w:rPr>
          <w:rFonts w:ascii="??_GB2312" w:hAnsi="仿宋" w:eastAsia="Times New Roman" w:cs="??_GB2312"/>
          <w:b/>
          <w:sz w:val="32"/>
          <w:szCs w:val="32"/>
        </w:rPr>
      </w:pPr>
      <w:r>
        <w:rPr>
          <w:rFonts w:ascii="??_GB2312" w:hAnsi="仿宋" w:eastAsia="Times New Roman" w:cs="??_GB2312"/>
          <w:b/>
          <w:sz w:val="32"/>
          <w:szCs w:val="32"/>
        </w:rPr>
        <w:t>（一）部门财政资金收入情况</w:t>
      </w:r>
    </w:p>
    <w:p>
      <w:pPr>
        <w:spacing w:line="600" w:lineRule="exact"/>
        <w:ind w:firstLine="640" w:firstLineChars="200"/>
        <w:outlineLvl w:val="1"/>
        <w:rPr>
          <w:rFonts w:hint="eastAsia" w:ascii="仿宋" w:hAnsi="仿宋" w:eastAsia="仿宋" w:cs="仿宋"/>
          <w:sz w:val="32"/>
          <w:szCs w:val="32"/>
        </w:rPr>
      </w:pPr>
      <w:r>
        <w:rPr>
          <w:rFonts w:hint="eastAsia" w:ascii="仿宋" w:hAnsi="仿宋" w:eastAsia="仿宋" w:cs="仿宋"/>
          <w:color w:val="000000"/>
          <w:sz w:val="32"/>
          <w:szCs w:val="32"/>
        </w:rPr>
        <w:t>2018年本年收入合计3959.92万元，其中：一般公共预算财政拨款收入3450.44万元，占87.13%；其他收入86.96万元，占2.2%，年初结转和结余422.52万元，占10.67%</w:t>
      </w:r>
    </w:p>
    <w:p>
      <w:pPr>
        <w:numPr>
          <w:ilvl w:val="0"/>
          <w:numId w:val="0"/>
        </w:numPr>
        <w:spacing w:line="580" w:lineRule="exact"/>
        <w:ind w:firstLine="643" w:firstLineChars="200"/>
        <w:rPr>
          <w:rFonts w:ascii="??_GB2312" w:hAnsi="仿宋" w:eastAsia="Times New Roman" w:cs="??_GB2312"/>
          <w:b/>
          <w:sz w:val="32"/>
          <w:szCs w:val="32"/>
        </w:rPr>
      </w:pPr>
      <w:r>
        <w:rPr>
          <w:rFonts w:hint="eastAsia" w:ascii="??_GB2312" w:hAnsi="仿宋"/>
          <w:b/>
          <w:sz w:val="32"/>
          <w:szCs w:val="32"/>
          <w:lang w:eastAsia="zh-CN"/>
        </w:rPr>
        <w:t>（二）</w:t>
      </w:r>
      <w:r>
        <w:rPr>
          <w:rFonts w:ascii="??_GB2312" w:hAnsi="仿宋" w:eastAsia="Times New Roman"/>
          <w:b/>
          <w:sz w:val="32"/>
          <w:szCs w:val="32"/>
        </w:rPr>
        <w:t>部门财政资金支出情况</w:t>
      </w:r>
    </w:p>
    <w:p>
      <w:pPr>
        <w:spacing w:line="600" w:lineRule="exact"/>
        <w:ind w:firstLine="640"/>
        <w:rPr>
          <w:rFonts w:hint="eastAsia" w:ascii="仿宋" w:hAnsi="仿宋" w:eastAsia="仿宋" w:cs="仿宋"/>
          <w:sz w:val="32"/>
          <w:szCs w:val="32"/>
        </w:rPr>
      </w:pPr>
      <w:r>
        <w:rPr>
          <w:rFonts w:hint="eastAsia" w:ascii="仿宋" w:hAnsi="仿宋" w:eastAsia="仿宋" w:cs="仿宋"/>
          <w:color w:val="000000"/>
          <w:sz w:val="32"/>
          <w:szCs w:val="32"/>
        </w:rPr>
        <w:t>2018年本年支出合计3565.17万元，其中：基本支出2989.91万元，占83.86%；项目支出575.26万元，占16.14%。</w:t>
      </w:r>
    </w:p>
    <w:p>
      <w:pPr>
        <w:spacing w:line="580" w:lineRule="exact"/>
        <w:ind w:firstLine="643" w:firstLineChars="200"/>
        <w:rPr>
          <w:rFonts w:ascii="宋体" w:cs="黑体"/>
          <w:b/>
          <w:sz w:val="32"/>
          <w:szCs w:val="32"/>
        </w:rPr>
      </w:pPr>
      <w:r>
        <w:rPr>
          <w:rFonts w:hint="eastAsia" w:ascii="宋体" w:hAnsi="宋体" w:cs="黑体"/>
          <w:b/>
          <w:sz w:val="32"/>
          <w:szCs w:val="32"/>
        </w:rPr>
        <w:t>三、部门整体预算绩效管理情况（根据适用指标体系进行调整）</w:t>
      </w:r>
    </w:p>
    <w:p>
      <w:pPr>
        <w:spacing w:line="580" w:lineRule="exact"/>
        <w:ind w:firstLine="640" w:firstLineChars="200"/>
        <w:rPr>
          <w:rFonts w:ascii="??_GB2312" w:hAnsi="仿宋" w:eastAsia="Times New Roman" w:cs="??_GB2312"/>
          <w:b/>
          <w:sz w:val="32"/>
          <w:szCs w:val="32"/>
        </w:rPr>
      </w:pPr>
      <w:r>
        <w:rPr>
          <w:rFonts w:ascii="??_GB2312" w:hAnsi="仿宋" w:eastAsia="Times New Roman" w:cs="??_GB2312"/>
          <w:b/>
          <w:sz w:val="32"/>
          <w:szCs w:val="32"/>
        </w:rPr>
        <w:t>（一）部门预算管理。</w:t>
      </w:r>
    </w:p>
    <w:p>
      <w:p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2018年广元市工商行政管理局全面贯彻落实党中央、省委、市委会议精神，深入学习贯彻习近平总书记系列重要讲话精神，按照中央、省、市经济工作城市工作会议和全国、全省工商行政管理工作会议部署、紧紧围绕“四川个全面”战略布局，保持和专注发展定力，紧紧围绕“服务、监管、维权、执法”职能，充分发挥市场监管主力军作用。</w:t>
      </w:r>
    </w:p>
    <w:p>
      <w:p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一是部门预算编制完整、无漏项、基础信息和科目使用准确，单位编制、人员情况与供养系统一致，预算编制规范，项目名称、绩效指标、项目内容说明等符合规范。</w:t>
      </w:r>
    </w:p>
    <w:p>
      <w:p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二是严格按照预算执行、无擅自调整预算项目。</w:t>
      </w:r>
    </w:p>
    <w:p>
      <w:p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三是年底按照财政要求及时上报编报部门财务决算，并经市财政局审核批复。</w:t>
      </w:r>
    </w:p>
    <w:p>
      <w:p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四是根据市财政局国库动态监控预警无违规支付行为。</w:t>
      </w:r>
    </w:p>
    <w:p>
      <w:pPr>
        <w:spacing w:line="580" w:lineRule="exact"/>
        <w:ind w:firstLine="640" w:firstLineChars="200"/>
        <w:rPr>
          <w:rFonts w:ascii="??_GB2312" w:hAnsi="仿宋" w:eastAsia="Times New Roman" w:cs="??_GB2312"/>
          <w:b/>
          <w:sz w:val="32"/>
          <w:szCs w:val="32"/>
        </w:rPr>
      </w:pPr>
      <w:r>
        <w:rPr>
          <w:rFonts w:ascii="??_GB2312" w:hAnsi="仿宋" w:eastAsia="Times New Roman" w:cs="??_GB2312"/>
          <w:b/>
          <w:sz w:val="32"/>
          <w:szCs w:val="32"/>
        </w:rPr>
        <w:t>（二）专项预算管理。</w:t>
      </w:r>
    </w:p>
    <w:p>
      <w:p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编制了2018年项目绩效目标，专项预算项目程序严密、规划合理、结果符合、分配科学、分配及时、全面完成专项预算绩效目标，无违规情况。</w:t>
      </w:r>
    </w:p>
    <w:p>
      <w:pPr>
        <w:spacing w:line="580" w:lineRule="exact"/>
        <w:ind w:firstLine="640" w:firstLineChars="200"/>
        <w:rPr>
          <w:rFonts w:ascii="??_GB2312" w:hAnsi="仿宋" w:eastAsia="Times New Roman" w:cs="??_GB2312"/>
          <w:b/>
          <w:sz w:val="32"/>
          <w:szCs w:val="32"/>
        </w:rPr>
      </w:pPr>
      <w:r>
        <w:rPr>
          <w:rFonts w:ascii="??_GB2312" w:hAnsi="仿宋" w:eastAsia="Times New Roman" w:cs="??_GB2312"/>
          <w:b/>
          <w:sz w:val="32"/>
          <w:szCs w:val="32"/>
        </w:rPr>
        <w:t>（三）结果应用情况。</w:t>
      </w:r>
    </w:p>
    <w:p>
      <w:p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绩效评价工作由市局财务科牵头、局办公室、机关党委参与部门整体绩效考评，自评结果为优秀，对绩效考评中存在的问题也及时反馈给相关科室进行整改。</w:t>
      </w:r>
    </w:p>
    <w:p>
      <w:pPr>
        <w:numPr>
          <w:ilvl w:val="0"/>
          <w:numId w:val="11"/>
        </w:numPr>
        <w:spacing w:line="580" w:lineRule="exact"/>
        <w:rPr>
          <w:rFonts w:ascii="宋体" w:cs="黑体"/>
          <w:b/>
          <w:sz w:val="32"/>
          <w:szCs w:val="32"/>
        </w:rPr>
      </w:pPr>
      <w:r>
        <w:rPr>
          <w:rFonts w:hint="eastAsia" w:ascii="宋体" w:hAnsi="宋体" w:cs="黑体"/>
          <w:b/>
          <w:sz w:val="32"/>
          <w:szCs w:val="32"/>
        </w:rPr>
        <w:t>评价结论及建议</w:t>
      </w:r>
    </w:p>
    <w:p>
      <w:pPr>
        <w:spacing w:line="580" w:lineRule="exact"/>
        <w:ind w:firstLine="640" w:firstLineChars="200"/>
        <w:rPr>
          <w:rFonts w:ascii="??_GB2312" w:hAnsi="仿宋" w:eastAsia="Times New Roman" w:cs="??_GB2312"/>
          <w:sz w:val="32"/>
          <w:szCs w:val="32"/>
        </w:rPr>
      </w:pPr>
      <w:r>
        <w:rPr>
          <w:rFonts w:ascii="??_GB2312" w:hAnsi="仿宋" w:eastAsia="Times New Roman" w:cs="??_GB2312"/>
          <w:b/>
          <w:sz w:val="32"/>
          <w:szCs w:val="32"/>
        </w:rPr>
        <w:t>（一）评价结论</w:t>
      </w:r>
      <w:r>
        <w:rPr>
          <w:rFonts w:ascii="??_GB2312" w:hAnsi="仿宋" w:eastAsia="Times New Roman" w:cs="??_GB2312"/>
          <w:sz w:val="32"/>
          <w:szCs w:val="32"/>
        </w:rPr>
        <w:t>。</w:t>
      </w:r>
    </w:p>
    <w:p>
      <w:p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2018年，我局按时按质编报部门预算，年度预算执行基本收支平衡，财务管理规范，制度健全，严格执行国家集中支付，公务卡强制结算目录、政府非税收入征收管理以及厉行节约等财政政策，主动接受审计 、财政等部门的监督检查，无规违纪现象，按规定科目对项目进行核算。通过各项经费的使用，保障了干部职工的基本利益，保障了部门各项业务工作进行，为单位的良好运转起到了积极作用，实现年初制定的目标，达到了预期的效果。根据《部门整体支出绩效评价指标》评分绩效评价等级为优。</w:t>
      </w:r>
    </w:p>
    <w:p>
      <w:pPr>
        <w:numPr>
          <w:ilvl w:val="0"/>
          <w:numId w:val="12"/>
        </w:numPr>
        <w:spacing w:line="580" w:lineRule="exact"/>
        <w:ind w:firstLine="640" w:firstLineChars="200"/>
        <w:rPr>
          <w:rFonts w:ascii="??_GB2312" w:hAnsi="仿宋" w:eastAsia="Times New Roman" w:cs="??_GB2312"/>
          <w:b/>
          <w:sz w:val="32"/>
          <w:szCs w:val="32"/>
        </w:rPr>
      </w:pPr>
      <w:r>
        <w:rPr>
          <w:rFonts w:ascii="??_GB2312" w:hAnsi="仿宋" w:eastAsia="Times New Roman"/>
          <w:b/>
          <w:sz w:val="32"/>
          <w:szCs w:val="32"/>
        </w:rPr>
        <w:t>存在问题。</w:t>
      </w:r>
    </w:p>
    <w:p>
      <w:pPr>
        <w:numPr>
          <w:ilvl w:val="0"/>
          <w:numId w:val="13"/>
        </w:num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基本支出保障水平较低，综合近几年的预算批复，工会经费、福利费都未按照标准进行预算，扶贫经费和职工体检费均未列入部门预算。</w:t>
      </w:r>
    </w:p>
    <w:p>
      <w:pPr>
        <w:numPr>
          <w:ilvl w:val="0"/>
          <w:numId w:val="13"/>
        </w:num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二是执行预算不够严格。</w:t>
      </w:r>
    </w:p>
    <w:p>
      <w:pPr>
        <w:spacing w:line="580" w:lineRule="exact"/>
        <w:ind w:firstLine="640" w:firstLineChars="200"/>
        <w:rPr>
          <w:rFonts w:ascii="??_GB2312" w:hAnsi="仿宋" w:eastAsia="Times New Roman" w:cs="??_GB2312"/>
          <w:sz w:val="32"/>
          <w:szCs w:val="32"/>
        </w:rPr>
      </w:pPr>
      <w:r>
        <w:rPr>
          <w:rFonts w:hint="eastAsia" w:ascii="仿宋" w:hAnsi="仿宋" w:eastAsia="仿宋" w:cs="仿宋"/>
          <w:sz w:val="32"/>
          <w:szCs w:val="32"/>
        </w:rPr>
        <w:t>3、资金安排还有待增加。特别是技术机构建设方面有待进一步加强，如人才培养引进，设备更新及基础设施建设等。</w:t>
      </w:r>
    </w:p>
    <w:p>
      <w:pPr>
        <w:numPr>
          <w:ilvl w:val="0"/>
          <w:numId w:val="12"/>
        </w:numPr>
        <w:spacing w:line="580" w:lineRule="exact"/>
        <w:ind w:firstLine="640" w:firstLineChars="200"/>
        <w:rPr>
          <w:rFonts w:ascii="??_GB2312" w:hAnsi="仿宋" w:eastAsia="Times New Roman" w:cs="??_GB2312"/>
          <w:b/>
          <w:sz w:val="32"/>
          <w:szCs w:val="32"/>
        </w:rPr>
      </w:pPr>
      <w:r>
        <w:rPr>
          <w:rFonts w:ascii="??_GB2312" w:hAnsi="仿宋" w:eastAsia="Times New Roman"/>
          <w:b/>
          <w:sz w:val="32"/>
          <w:szCs w:val="32"/>
        </w:rPr>
        <w:t>改进建议。</w:t>
      </w:r>
    </w:p>
    <w:p>
      <w:pPr>
        <w:numPr>
          <w:ilvl w:val="0"/>
          <w:numId w:val="14"/>
        </w:num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建议增加基本支出保障水平，工会经费、福利经费按规定标准进行预算，扶贫经费也应考虑列入预算；</w:t>
      </w:r>
    </w:p>
    <w:p>
      <w:pPr>
        <w:numPr>
          <w:ilvl w:val="0"/>
          <w:numId w:val="14"/>
        </w:num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加强预算编制的前瞻性，按照新《预算法》的相关规定，按政策规定及本部门的发展规划，结合上一年度预算执行情况和本年度预算收支变化因素，科学、合理地编制本年预算草案，避免项目支出与基本支出划分不准或预算支出与实际执行出现较大偏差的情况，执行中确需调剂预算的，按规定程序报经批准。</w:t>
      </w:r>
    </w:p>
    <w:p>
      <w:pPr>
        <w:numPr>
          <w:ilvl w:val="0"/>
          <w:numId w:val="14"/>
        </w:numPr>
        <w:spacing w:line="580" w:lineRule="exact"/>
        <w:ind w:left="640"/>
        <w:rPr>
          <w:rFonts w:hint="eastAsia" w:ascii="仿宋" w:hAnsi="仿宋" w:eastAsia="仿宋" w:cs="仿宋"/>
          <w:sz w:val="32"/>
          <w:szCs w:val="32"/>
        </w:rPr>
      </w:pPr>
      <w:r>
        <w:rPr>
          <w:rFonts w:hint="eastAsia" w:ascii="仿宋" w:hAnsi="仿宋" w:eastAsia="仿宋" w:cs="仿宋"/>
          <w:sz w:val="32"/>
          <w:szCs w:val="32"/>
        </w:rPr>
        <w:t>分解、落实工作职责。切实加强履职履责，让职责不留</w:t>
      </w:r>
    </w:p>
    <w:p>
      <w:pPr>
        <w:spacing w:line="580" w:lineRule="exact"/>
        <w:rPr>
          <w:rFonts w:hint="eastAsia" w:ascii="仿宋" w:hAnsi="仿宋" w:eastAsia="仿宋" w:cs="仿宋"/>
          <w:sz w:val="32"/>
          <w:szCs w:val="32"/>
        </w:rPr>
      </w:pPr>
      <w:r>
        <w:rPr>
          <w:rFonts w:hint="eastAsia" w:ascii="仿宋" w:hAnsi="仿宋" w:eastAsia="仿宋" w:cs="仿宋"/>
          <w:sz w:val="32"/>
          <w:szCs w:val="32"/>
        </w:rPr>
        <w:t>空缺，使工作经费合理、有效使用。</w:t>
      </w:r>
    </w:p>
    <w:p>
      <w:pPr>
        <w:widowControl/>
        <w:jc w:val="left"/>
        <w:rPr>
          <w:rStyle w:val="22"/>
          <w:rFonts w:ascii="??_GB2312" w:hAnsi="仿宋" w:eastAsia="Times New Roman"/>
          <w:sz w:val="32"/>
          <w:szCs w:val="32"/>
        </w:rPr>
      </w:pPr>
      <w:bookmarkStart w:id="58" w:name="_Toc15396617"/>
    </w:p>
    <w:bookmarkEnd w:id="58"/>
    <w:p>
      <w:pPr>
        <w:spacing w:line="600" w:lineRule="exact"/>
        <w:jc w:val="center"/>
        <w:outlineLvl w:val="0"/>
        <w:rPr>
          <w:rFonts w:ascii="??_GB2312" w:hAnsi="黑体" w:eastAsia="Times New Roman"/>
          <w:color w:val="000000"/>
          <w:sz w:val="32"/>
          <w:szCs w:val="32"/>
        </w:rPr>
      </w:pPr>
      <w:bookmarkStart w:id="59" w:name="_Toc15396618"/>
    </w:p>
    <w:p>
      <w:pPr>
        <w:spacing w:line="600" w:lineRule="exact"/>
        <w:outlineLvl w:val="0"/>
        <w:rPr>
          <w:rFonts w:ascii="??_GB2312" w:hAnsi="黑体" w:eastAsia="Times New Roman"/>
          <w:color w:val="000000"/>
          <w:sz w:val="32"/>
          <w:szCs w:val="32"/>
        </w:rPr>
      </w:pPr>
    </w:p>
    <w:p>
      <w:pPr>
        <w:spacing w:line="600" w:lineRule="exact"/>
        <w:jc w:val="center"/>
        <w:outlineLvl w:val="0"/>
        <w:rPr>
          <w:rFonts w:hint="eastAsia" w:ascii="黑体" w:hAnsi="黑体" w:eastAsia="黑体"/>
          <w:b/>
          <w:color w:val="000000"/>
          <w:sz w:val="32"/>
          <w:szCs w:val="32"/>
        </w:rPr>
      </w:pPr>
    </w:p>
    <w:p>
      <w:pPr>
        <w:spacing w:line="600" w:lineRule="exact"/>
        <w:jc w:val="center"/>
        <w:outlineLvl w:val="0"/>
        <w:rPr>
          <w:rFonts w:hint="eastAsia" w:ascii="黑体" w:hAnsi="黑体" w:eastAsia="黑体"/>
          <w:b/>
          <w:color w:val="000000"/>
          <w:sz w:val="32"/>
          <w:szCs w:val="32"/>
        </w:rPr>
      </w:pPr>
    </w:p>
    <w:p>
      <w:pPr>
        <w:spacing w:line="600" w:lineRule="exact"/>
        <w:jc w:val="center"/>
        <w:outlineLvl w:val="0"/>
        <w:rPr>
          <w:rFonts w:hint="eastAsia" w:ascii="黑体" w:hAnsi="黑体" w:eastAsia="黑体"/>
          <w:b/>
          <w:color w:val="000000"/>
          <w:sz w:val="32"/>
          <w:szCs w:val="32"/>
        </w:rPr>
      </w:pPr>
    </w:p>
    <w:p>
      <w:pPr>
        <w:spacing w:line="600" w:lineRule="exact"/>
        <w:jc w:val="center"/>
        <w:outlineLvl w:val="0"/>
        <w:rPr>
          <w:rFonts w:hint="eastAsia" w:ascii="黑体" w:hAnsi="黑体" w:eastAsia="黑体"/>
          <w:b/>
          <w:color w:val="000000"/>
          <w:sz w:val="32"/>
          <w:szCs w:val="32"/>
        </w:rPr>
      </w:pPr>
    </w:p>
    <w:p>
      <w:pPr>
        <w:spacing w:line="600" w:lineRule="exact"/>
        <w:jc w:val="center"/>
        <w:outlineLvl w:val="0"/>
        <w:rPr>
          <w:rFonts w:hint="eastAsia" w:ascii="黑体" w:hAnsi="黑体" w:eastAsia="黑体"/>
          <w:b/>
          <w:color w:val="000000"/>
          <w:sz w:val="32"/>
          <w:szCs w:val="32"/>
        </w:rPr>
      </w:pPr>
    </w:p>
    <w:p>
      <w:pPr>
        <w:spacing w:line="600" w:lineRule="exact"/>
        <w:jc w:val="center"/>
        <w:outlineLvl w:val="0"/>
        <w:rPr>
          <w:rFonts w:hint="eastAsia" w:ascii="黑体" w:hAnsi="黑体" w:eastAsia="黑体"/>
          <w:b/>
          <w:color w:val="000000"/>
          <w:sz w:val="32"/>
          <w:szCs w:val="32"/>
        </w:rPr>
      </w:pPr>
    </w:p>
    <w:p>
      <w:pPr>
        <w:spacing w:line="600" w:lineRule="exact"/>
        <w:jc w:val="center"/>
        <w:outlineLvl w:val="0"/>
        <w:rPr>
          <w:rFonts w:hint="eastAsia" w:ascii="黑体" w:hAnsi="黑体" w:eastAsia="黑体"/>
          <w:b/>
          <w:color w:val="000000"/>
          <w:sz w:val="32"/>
          <w:szCs w:val="32"/>
        </w:rPr>
      </w:pPr>
    </w:p>
    <w:p>
      <w:pPr>
        <w:spacing w:line="600" w:lineRule="exact"/>
        <w:jc w:val="center"/>
        <w:outlineLvl w:val="0"/>
        <w:rPr>
          <w:rStyle w:val="22"/>
          <w:rFonts w:ascii="黑体" w:hAnsi="黑体" w:eastAsia="黑体"/>
          <w:b w:val="0"/>
          <w:sz w:val="32"/>
          <w:szCs w:val="32"/>
        </w:rPr>
      </w:pPr>
      <w:r>
        <w:rPr>
          <w:rFonts w:hint="eastAsia" w:ascii="黑体" w:hAnsi="黑体" w:eastAsia="黑体"/>
          <w:b/>
          <w:color w:val="000000"/>
          <w:sz w:val="32"/>
          <w:szCs w:val="32"/>
        </w:rPr>
        <w:t>第</w:t>
      </w:r>
      <w:r>
        <w:rPr>
          <w:rStyle w:val="22"/>
          <w:rFonts w:hint="eastAsia" w:ascii="黑体" w:hAnsi="黑体" w:eastAsia="黑体"/>
          <w:sz w:val="32"/>
          <w:szCs w:val="32"/>
        </w:rPr>
        <w:t>五部分</w:t>
      </w:r>
      <w:r>
        <w:rPr>
          <w:rStyle w:val="22"/>
          <w:rFonts w:ascii="黑体" w:hAnsi="黑体" w:eastAsia="黑体"/>
          <w:sz w:val="32"/>
          <w:szCs w:val="32"/>
        </w:rPr>
        <w:t xml:space="preserve"> </w:t>
      </w:r>
      <w:r>
        <w:rPr>
          <w:rStyle w:val="22"/>
          <w:rFonts w:hint="eastAsia" w:ascii="黑体" w:hAnsi="黑体" w:eastAsia="黑体"/>
          <w:sz w:val="32"/>
          <w:szCs w:val="32"/>
        </w:rPr>
        <w:t>附</w:t>
      </w:r>
      <w:r>
        <w:rPr>
          <w:rStyle w:val="22"/>
          <w:rFonts w:ascii="黑体" w:hAnsi="黑体" w:eastAsia="黑体"/>
          <w:sz w:val="32"/>
          <w:szCs w:val="32"/>
        </w:rPr>
        <w:t xml:space="preserve"> </w:t>
      </w:r>
      <w:r>
        <w:rPr>
          <w:rStyle w:val="22"/>
          <w:rFonts w:hint="eastAsia" w:ascii="黑体" w:hAnsi="黑体" w:eastAsia="黑体"/>
          <w:sz w:val="32"/>
          <w:szCs w:val="32"/>
        </w:rPr>
        <w:t>表</w:t>
      </w:r>
      <w:bookmarkEnd w:id="56"/>
      <w:bookmarkEnd w:id="59"/>
    </w:p>
    <w:p>
      <w:pPr>
        <w:spacing w:line="600" w:lineRule="exact"/>
        <w:jc w:val="center"/>
        <w:outlineLvl w:val="0"/>
        <w:rPr>
          <w:rStyle w:val="22"/>
          <w:rFonts w:ascii="??_GB2312" w:hAnsi="黑体" w:eastAsia="Times New Roman"/>
          <w:b w:val="0"/>
          <w:sz w:val="32"/>
          <w:szCs w:val="32"/>
        </w:rPr>
      </w:pPr>
    </w:p>
    <w:p>
      <w:pPr>
        <w:pStyle w:val="3"/>
        <w:ind w:firstLine="643" w:firstLineChars="200"/>
        <w:rPr>
          <w:rFonts w:hint="eastAsia" w:ascii="仿宋" w:hAnsi="仿宋" w:eastAsia="仿宋" w:cs="仿宋"/>
          <w:b/>
          <w:bCs w:val="0"/>
          <w:color w:val="000000"/>
        </w:rPr>
      </w:pPr>
      <w:bookmarkStart w:id="60" w:name="_Toc15396619"/>
      <w:r>
        <w:rPr>
          <w:rFonts w:hint="eastAsia" w:ascii="仿宋" w:hAnsi="仿宋" w:eastAsia="仿宋" w:cs="仿宋"/>
          <w:b/>
          <w:bCs w:val="0"/>
          <w:color w:val="000000"/>
        </w:rPr>
        <w:t>一、收</w:t>
      </w:r>
      <w:r>
        <w:rPr>
          <w:rStyle w:val="23"/>
          <w:rFonts w:hint="eastAsia" w:ascii="仿宋" w:hAnsi="仿宋" w:eastAsia="仿宋" w:cs="仿宋"/>
          <w:b/>
          <w:bCs w:val="0"/>
        </w:rPr>
        <w:t>入支出决算总表</w:t>
      </w:r>
      <w:bookmarkEnd w:id="60"/>
    </w:p>
    <w:p>
      <w:pPr>
        <w:pStyle w:val="3"/>
        <w:ind w:firstLine="643" w:firstLineChars="200"/>
        <w:rPr>
          <w:rFonts w:hint="eastAsia" w:ascii="仿宋" w:hAnsi="仿宋" w:eastAsia="仿宋" w:cs="仿宋"/>
          <w:b/>
          <w:bCs w:val="0"/>
          <w:color w:val="000000"/>
        </w:rPr>
      </w:pPr>
      <w:bookmarkStart w:id="61" w:name="_Toc15396620"/>
      <w:r>
        <w:rPr>
          <w:rFonts w:hint="eastAsia" w:ascii="仿宋" w:hAnsi="仿宋" w:eastAsia="仿宋" w:cs="仿宋"/>
          <w:b/>
          <w:bCs w:val="0"/>
          <w:color w:val="000000"/>
        </w:rPr>
        <w:t>二、收</w:t>
      </w:r>
      <w:r>
        <w:rPr>
          <w:rStyle w:val="23"/>
          <w:rFonts w:hint="eastAsia" w:ascii="仿宋" w:hAnsi="仿宋" w:eastAsia="仿宋" w:cs="仿宋"/>
          <w:b/>
          <w:bCs w:val="0"/>
        </w:rPr>
        <w:t>入总表</w:t>
      </w:r>
      <w:bookmarkEnd w:id="61"/>
    </w:p>
    <w:p>
      <w:pPr>
        <w:pStyle w:val="3"/>
        <w:ind w:firstLine="643" w:firstLineChars="200"/>
        <w:rPr>
          <w:rFonts w:hint="eastAsia" w:ascii="仿宋" w:hAnsi="仿宋" w:eastAsia="仿宋" w:cs="仿宋"/>
          <w:b/>
          <w:bCs w:val="0"/>
          <w:color w:val="000000"/>
        </w:rPr>
      </w:pPr>
      <w:bookmarkStart w:id="62" w:name="_Toc15396621"/>
      <w:r>
        <w:rPr>
          <w:rStyle w:val="23"/>
          <w:rFonts w:hint="eastAsia" w:ascii="仿宋" w:hAnsi="仿宋" w:eastAsia="仿宋" w:cs="仿宋"/>
          <w:b/>
          <w:bCs w:val="0"/>
        </w:rPr>
        <w:t>三、</w:t>
      </w:r>
      <w:r>
        <w:rPr>
          <w:rFonts w:hint="eastAsia" w:ascii="仿宋" w:hAnsi="仿宋" w:eastAsia="仿宋" w:cs="仿宋"/>
          <w:b/>
          <w:bCs w:val="0"/>
          <w:color w:val="000000"/>
        </w:rPr>
        <w:t>支</w:t>
      </w:r>
      <w:r>
        <w:rPr>
          <w:rStyle w:val="23"/>
          <w:rFonts w:hint="eastAsia" w:ascii="仿宋" w:hAnsi="仿宋" w:eastAsia="仿宋" w:cs="仿宋"/>
          <w:b/>
          <w:bCs w:val="0"/>
        </w:rPr>
        <w:t>出总表</w:t>
      </w:r>
      <w:bookmarkEnd w:id="62"/>
    </w:p>
    <w:p>
      <w:pPr>
        <w:pStyle w:val="3"/>
        <w:ind w:firstLine="643" w:firstLineChars="200"/>
        <w:rPr>
          <w:rFonts w:hint="eastAsia" w:ascii="仿宋" w:hAnsi="仿宋" w:eastAsia="仿宋" w:cs="仿宋"/>
          <w:b/>
          <w:bCs w:val="0"/>
          <w:color w:val="000000"/>
        </w:rPr>
      </w:pPr>
      <w:bookmarkStart w:id="63" w:name="_Toc15396622"/>
      <w:r>
        <w:rPr>
          <w:rStyle w:val="23"/>
          <w:rFonts w:hint="eastAsia" w:ascii="仿宋" w:hAnsi="仿宋" w:eastAsia="仿宋" w:cs="仿宋"/>
          <w:b/>
          <w:bCs w:val="0"/>
        </w:rPr>
        <w:t>四、</w:t>
      </w:r>
      <w:r>
        <w:rPr>
          <w:rFonts w:hint="eastAsia" w:ascii="仿宋" w:hAnsi="仿宋" w:eastAsia="仿宋" w:cs="仿宋"/>
          <w:b/>
          <w:bCs w:val="0"/>
          <w:color w:val="000000"/>
        </w:rPr>
        <w:t>财</w:t>
      </w:r>
      <w:r>
        <w:rPr>
          <w:rStyle w:val="23"/>
          <w:rFonts w:hint="eastAsia" w:ascii="仿宋" w:hAnsi="仿宋" w:eastAsia="仿宋" w:cs="仿宋"/>
          <w:b/>
          <w:bCs w:val="0"/>
        </w:rPr>
        <w:t>政拨款收入支出决算总表</w:t>
      </w:r>
      <w:bookmarkEnd w:id="63"/>
    </w:p>
    <w:p>
      <w:pPr>
        <w:pStyle w:val="3"/>
        <w:ind w:firstLine="643" w:firstLineChars="200"/>
        <w:rPr>
          <w:rFonts w:hint="eastAsia" w:ascii="仿宋" w:hAnsi="仿宋" w:eastAsia="仿宋" w:cs="仿宋"/>
          <w:b/>
          <w:bCs w:val="0"/>
          <w:color w:val="000000"/>
        </w:rPr>
      </w:pPr>
      <w:bookmarkStart w:id="64" w:name="_Toc15396623"/>
      <w:r>
        <w:rPr>
          <w:rStyle w:val="23"/>
          <w:rFonts w:hint="eastAsia" w:ascii="仿宋" w:hAnsi="仿宋" w:eastAsia="仿宋" w:cs="仿宋"/>
          <w:b/>
          <w:bCs w:val="0"/>
        </w:rPr>
        <w:t>五、</w:t>
      </w:r>
      <w:r>
        <w:rPr>
          <w:rFonts w:hint="eastAsia" w:ascii="仿宋" w:hAnsi="仿宋" w:eastAsia="仿宋" w:cs="仿宋"/>
          <w:b/>
          <w:bCs w:val="0"/>
          <w:color w:val="000000"/>
        </w:rPr>
        <w:t>财</w:t>
      </w:r>
      <w:r>
        <w:rPr>
          <w:rStyle w:val="23"/>
          <w:rFonts w:hint="eastAsia" w:ascii="仿宋" w:hAnsi="仿宋" w:eastAsia="仿宋" w:cs="仿宋"/>
          <w:b/>
          <w:bCs w:val="0"/>
        </w:rPr>
        <w:t>政拨款支出决算明细表（政府经济分类科目）</w:t>
      </w:r>
      <w:bookmarkEnd w:id="64"/>
    </w:p>
    <w:p>
      <w:pPr>
        <w:pStyle w:val="3"/>
        <w:ind w:firstLine="643" w:firstLineChars="200"/>
        <w:rPr>
          <w:rFonts w:hint="eastAsia" w:ascii="仿宋" w:hAnsi="仿宋" w:eastAsia="仿宋" w:cs="仿宋"/>
          <w:b/>
          <w:bCs w:val="0"/>
          <w:color w:val="000000"/>
        </w:rPr>
      </w:pPr>
      <w:bookmarkStart w:id="65" w:name="_Toc15396624"/>
      <w:r>
        <w:rPr>
          <w:rStyle w:val="23"/>
          <w:rFonts w:hint="eastAsia" w:ascii="仿宋" w:hAnsi="仿宋" w:eastAsia="仿宋" w:cs="仿宋"/>
          <w:b/>
          <w:bCs w:val="0"/>
        </w:rPr>
        <w:t>六、</w:t>
      </w:r>
      <w:r>
        <w:rPr>
          <w:rFonts w:hint="eastAsia" w:ascii="仿宋" w:hAnsi="仿宋" w:eastAsia="仿宋" w:cs="仿宋"/>
          <w:b/>
          <w:bCs w:val="0"/>
          <w:color w:val="000000"/>
        </w:rPr>
        <w:t>一</w:t>
      </w:r>
      <w:r>
        <w:rPr>
          <w:rStyle w:val="23"/>
          <w:rFonts w:hint="eastAsia" w:ascii="仿宋" w:hAnsi="仿宋" w:eastAsia="仿宋" w:cs="仿宋"/>
          <w:b/>
          <w:bCs w:val="0"/>
        </w:rPr>
        <w:t>般公共预算财政拨款支出决算表</w:t>
      </w:r>
      <w:bookmarkEnd w:id="65"/>
    </w:p>
    <w:p>
      <w:pPr>
        <w:pStyle w:val="3"/>
        <w:ind w:firstLine="643" w:firstLineChars="200"/>
        <w:rPr>
          <w:rFonts w:hint="eastAsia" w:ascii="仿宋" w:hAnsi="仿宋" w:eastAsia="仿宋" w:cs="仿宋"/>
          <w:b/>
          <w:bCs w:val="0"/>
          <w:color w:val="000000"/>
        </w:rPr>
      </w:pPr>
      <w:bookmarkStart w:id="66" w:name="_Toc15396625"/>
      <w:r>
        <w:rPr>
          <w:rStyle w:val="23"/>
          <w:rFonts w:hint="eastAsia" w:ascii="仿宋" w:hAnsi="仿宋" w:eastAsia="仿宋" w:cs="仿宋"/>
          <w:b/>
          <w:bCs w:val="0"/>
        </w:rPr>
        <w:t>七、</w:t>
      </w:r>
      <w:r>
        <w:rPr>
          <w:rFonts w:hint="eastAsia" w:ascii="仿宋" w:hAnsi="仿宋" w:eastAsia="仿宋" w:cs="仿宋"/>
          <w:b/>
          <w:bCs w:val="0"/>
          <w:color w:val="000000"/>
        </w:rPr>
        <w:t>一</w:t>
      </w:r>
      <w:r>
        <w:rPr>
          <w:rStyle w:val="23"/>
          <w:rFonts w:hint="eastAsia" w:ascii="仿宋" w:hAnsi="仿宋" w:eastAsia="仿宋" w:cs="仿宋"/>
          <w:b/>
          <w:bCs w:val="0"/>
        </w:rPr>
        <w:t>般公共预算财政拨款支出决算明细表</w:t>
      </w:r>
      <w:bookmarkEnd w:id="66"/>
    </w:p>
    <w:p>
      <w:pPr>
        <w:pStyle w:val="3"/>
        <w:ind w:firstLine="643" w:firstLineChars="200"/>
        <w:rPr>
          <w:rFonts w:hint="eastAsia" w:ascii="仿宋" w:hAnsi="仿宋" w:eastAsia="仿宋" w:cs="仿宋"/>
          <w:b/>
          <w:bCs w:val="0"/>
          <w:color w:val="000000"/>
        </w:rPr>
      </w:pPr>
      <w:bookmarkStart w:id="67" w:name="_Toc15396626"/>
      <w:r>
        <w:rPr>
          <w:rStyle w:val="23"/>
          <w:rFonts w:hint="eastAsia" w:ascii="仿宋" w:hAnsi="仿宋" w:eastAsia="仿宋" w:cs="仿宋"/>
          <w:b/>
          <w:bCs w:val="0"/>
        </w:rPr>
        <w:t>八、</w:t>
      </w:r>
      <w:r>
        <w:rPr>
          <w:rFonts w:hint="eastAsia" w:ascii="仿宋" w:hAnsi="仿宋" w:eastAsia="仿宋" w:cs="仿宋"/>
          <w:b/>
          <w:bCs w:val="0"/>
          <w:color w:val="000000"/>
        </w:rPr>
        <w:t>一</w:t>
      </w:r>
      <w:r>
        <w:rPr>
          <w:rStyle w:val="23"/>
          <w:rFonts w:hint="eastAsia" w:ascii="仿宋" w:hAnsi="仿宋" w:eastAsia="仿宋" w:cs="仿宋"/>
          <w:b/>
          <w:bCs w:val="0"/>
        </w:rPr>
        <w:t>般公共预算财政拨款基本支出决算表</w:t>
      </w:r>
      <w:bookmarkEnd w:id="67"/>
    </w:p>
    <w:p>
      <w:pPr>
        <w:pStyle w:val="3"/>
        <w:ind w:firstLine="643" w:firstLineChars="200"/>
        <w:rPr>
          <w:rFonts w:hint="eastAsia" w:ascii="仿宋" w:hAnsi="仿宋" w:eastAsia="仿宋" w:cs="仿宋"/>
          <w:b/>
          <w:bCs w:val="0"/>
          <w:color w:val="000000"/>
        </w:rPr>
      </w:pPr>
      <w:bookmarkStart w:id="68" w:name="_Toc15396627"/>
      <w:r>
        <w:rPr>
          <w:rStyle w:val="23"/>
          <w:rFonts w:hint="eastAsia" w:ascii="仿宋" w:hAnsi="仿宋" w:eastAsia="仿宋" w:cs="仿宋"/>
          <w:b/>
          <w:bCs w:val="0"/>
        </w:rPr>
        <w:t>九、</w:t>
      </w:r>
      <w:r>
        <w:rPr>
          <w:rFonts w:hint="eastAsia" w:ascii="仿宋" w:hAnsi="仿宋" w:eastAsia="仿宋" w:cs="仿宋"/>
          <w:b/>
          <w:bCs w:val="0"/>
          <w:color w:val="000000"/>
        </w:rPr>
        <w:t>一</w:t>
      </w:r>
      <w:r>
        <w:rPr>
          <w:rStyle w:val="23"/>
          <w:rFonts w:hint="eastAsia" w:ascii="仿宋" w:hAnsi="仿宋" w:eastAsia="仿宋" w:cs="仿宋"/>
          <w:b/>
          <w:bCs w:val="0"/>
        </w:rPr>
        <w:t>般公共预算财政拨款项目支出决算表</w:t>
      </w:r>
      <w:bookmarkEnd w:id="68"/>
    </w:p>
    <w:p>
      <w:pPr>
        <w:pStyle w:val="3"/>
        <w:ind w:firstLine="643" w:firstLineChars="200"/>
        <w:rPr>
          <w:rFonts w:hint="eastAsia" w:ascii="仿宋" w:hAnsi="仿宋" w:eastAsia="仿宋" w:cs="仿宋"/>
          <w:b/>
          <w:bCs w:val="0"/>
          <w:color w:val="000000"/>
        </w:rPr>
      </w:pPr>
      <w:bookmarkStart w:id="69" w:name="_Toc15396628"/>
      <w:r>
        <w:rPr>
          <w:rStyle w:val="23"/>
          <w:rFonts w:hint="eastAsia" w:ascii="仿宋" w:hAnsi="仿宋" w:eastAsia="仿宋" w:cs="仿宋"/>
          <w:b/>
          <w:bCs w:val="0"/>
        </w:rPr>
        <w:t>十、</w:t>
      </w:r>
      <w:r>
        <w:rPr>
          <w:rFonts w:hint="eastAsia" w:ascii="仿宋" w:hAnsi="仿宋" w:eastAsia="仿宋" w:cs="仿宋"/>
          <w:b/>
          <w:bCs w:val="0"/>
          <w:color w:val="000000"/>
        </w:rPr>
        <w:t>一</w:t>
      </w:r>
      <w:r>
        <w:rPr>
          <w:rStyle w:val="23"/>
          <w:rFonts w:hint="eastAsia" w:ascii="仿宋" w:hAnsi="仿宋" w:eastAsia="仿宋" w:cs="仿宋"/>
          <w:b/>
          <w:bCs w:val="0"/>
        </w:rPr>
        <w:t>般公共预算财政拨款“三公”经费支出决算表</w:t>
      </w:r>
      <w:bookmarkEnd w:id="69"/>
    </w:p>
    <w:p>
      <w:pPr>
        <w:pStyle w:val="3"/>
        <w:ind w:firstLine="643" w:firstLineChars="200"/>
        <w:rPr>
          <w:rFonts w:hint="eastAsia" w:ascii="仿宋" w:hAnsi="仿宋" w:eastAsia="仿宋" w:cs="仿宋"/>
          <w:b/>
          <w:bCs w:val="0"/>
          <w:color w:val="000000"/>
        </w:rPr>
      </w:pPr>
      <w:bookmarkStart w:id="70" w:name="_Toc15396629"/>
      <w:r>
        <w:rPr>
          <w:rStyle w:val="23"/>
          <w:rFonts w:hint="eastAsia" w:ascii="仿宋" w:hAnsi="仿宋" w:eastAsia="仿宋" w:cs="仿宋"/>
          <w:b/>
          <w:bCs w:val="0"/>
        </w:rPr>
        <w:t>十一、</w:t>
      </w:r>
      <w:r>
        <w:rPr>
          <w:rFonts w:hint="eastAsia" w:ascii="仿宋" w:hAnsi="仿宋" w:eastAsia="仿宋" w:cs="仿宋"/>
          <w:b/>
          <w:bCs w:val="0"/>
          <w:color w:val="000000"/>
        </w:rPr>
        <w:t>政</w:t>
      </w:r>
      <w:r>
        <w:rPr>
          <w:rStyle w:val="23"/>
          <w:rFonts w:hint="eastAsia" w:ascii="仿宋" w:hAnsi="仿宋" w:eastAsia="仿宋" w:cs="仿宋"/>
          <w:b/>
          <w:bCs w:val="0"/>
        </w:rPr>
        <w:t>府性基金预算财政拨款收入支出决算表</w:t>
      </w:r>
      <w:bookmarkEnd w:id="70"/>
    </w:p>
    <w:p>
      <w:pPr>
        <w:pStyle w:val="3"/>
        <w:ind w:firstLine="643" w:firstLineChars="200"/>
        <w:rPr>
          <w:rFonts w:hint="eastAsia" w:ascii="仿宋" w:hAnsi="仿宋" w:eastAsia="仿宋" w:cs="仿宋"/>
          <w:b/>
          <w:bCs w:val="0"/>
          <w:color w:val="000000"/>
        </w:rPr>
      </w:pPr>
      <w:bookmarkStart w:id="71" w:name="_Toc15396630"/>
      <w:r>
        <w:rPr>
          <w:rStyle w:val="23"/>
          <w:rFonts w:hint="eastAsia" w:ascii="仿宋" w:hAnsi="仿宋" w:eastAsia="仿宋" w:cs="仿宋"/>
          <w:b/>
          <w:bCs w:val="0"/>
        </w:rPr>
        <w:t>十二、</w:t>
      </w:r>
      <w:r>
        <w:rPr>
          <w:rFonts w:hint="eastAsia" w:ascii="仿宋" w:hAnsi="仿宋" w:eastAsia="仿宋" w:cs="仿宋"/>
          <w:b/>
          <w:bCs w:val="0"/>
          <w:color w:val="000000"/>
        </w:rPr>
        <w:t>政</w:t>
      </w:r>
      <w:r>
        <w:rPr>
          <w:rStyle w:val="23"/>
          <w:rFonts w:hint="eastAsia" w:ascii="仿宋" w:hAnsi="仿宋" w:eastAsia="仿宋" w:cs="仿宋"/>
          <w:b/>
          <w:bCs w:val="0"/>
        </w:rPr>
        <w:t>府性基金预算财政拨款“三公”经费支出决算表</w:t>
      </w:r>
      <w:bookmarkEnd w:id="71"/>
    </w:p>
    <w:p>
      <w:pPr>
        <w:pStyle w:val="3"/>
        <w:ind w:firstLine="643" w:firstLineChars="200"/>
        <w:rPr>
          <w:rFonts w:hint="eastAsia" w:ascii="仿宋" w:hAnsi="仿宋" w:eastAsia="仿宋" w:cs="仿宋"/>
          <w:b/>
          <w:bCs w:val="0"/>
          <w:color w:val="000000"/>
        </w:rPr>
      </w:pPr>
      <w:bookmarkStart w:id="72" w:name="_Toc15396631"/>
      <w:r>
        <w:rPr>
          <w:rStyle w:val="23"/>
          <w:rFonts w:hint="eastAsia" w:ascii="仿宋" w:hAnsi="仿宋" w:eastAsia="仿宋" w:cs="仿宋"/>
          <w:b/>
          <w:bCs w:val="0"/>
        </w:rPr>
        <w:t>十三、</w:t>
      </w:r>
      <w:r>
        <w:rPr>
          <w:rFonts w:hint="eastAsia" w:ascii="仿宋" w:hAnsi="仿宋" w:eastAsia="仿宋" w:cs="仿宋"/>
          <w:b/>
          <w:bCs w:val="0"/>
          <w:color w:val="000000"/>
        </w:rPr>
        <w:t>国</w:t>
      </w:r>
      <w:r>
        <w:rPr>
          <w:rStyle w:val="23"/>
          <w:rFonts w:hint="eastAsia" w:ascii="仿宋" w:hAnsi="仿宋" w:eastAsia="仿宋" w:cs="仿宋"/>
          <w:b/>
          <w:bCs w:val="0"/>
        </w:rPr>
        <w:t>有资本经营预算支出决算表</w:t>
      </w:r>
      <w:bookmarkEnd w:id="72"/>
    </w:p>
    <w:sectPr>
      <w:footerReference r:id="rId6" w:type="first"/>
      <w:headerReference r:id="rId3" w:type="default"/>
      <w:footerReference r:id="rId4" w:type="default"/>
      <w:footerReference r:id="rId5" w:type="even"/>
      <w:pgSz w:w="11906" w:h="16838"/>
      <w:pgMar w:top="1440" w:right="1587" w:bottom="1440" w:left="1587" w:header="851" w:footer="992" w:gutter="0"/>
      <w:pgNumType w:start="1"/>
      <w:cols w:space="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_GB2312">
    <w:altName w:val="Times New Roman"/>
    <w:panose1 w:val="00000000000000000000"/>
    <w:charset w:val="00"/>
    <w:family w:val="auto"/>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0000000000000000000"/>
    <w:charset w:val="86"/>
    <w:family w:val="auto"/>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jc w:val="center"/>
    </w:pPr>
    <w:r>
      <w:rPr>
        <w:sz w:val="18"/>
      </w:rPr>
      <w:pict>
        <v:shape id="_x0000_s4098" o:spid="_x0000_s4098" o:spt="202" type="#_x0000_t202" style="position:absolute;left:0pt;margin-top:0pt;height:144pt;width:144pt;mso-position-horizontal:outside;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8"/>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right" w:y="1"/>
      <w:rPr>
        <w:rStyle w:val="15"/>
      </w:rPr>
    </w:pPr>
    <w:r>
      <w:rPr>
        <w:rStyle w:val="15"/>
      </w:rPr>
      <w:fldChar w:fldCharType="begin"/>
    </w:r>
    <w:r>
      <w:rPr>
        <w:rStyle w:val="15"/>
      </w:rPr>
      <w:instrText xml:space="preserve">PAGE  </w:instrText>
    </w:r>
    <w:r>
      <w:rPr>
        <w:rStyle w:val="15"/>
      </w:rPr>
      <w:fldChar w:fldCharType="end"/>
    </w:r>
  </w:p>
  <w:p>
    <w:pPr>
      <w:pStyle w:val="8"/>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w:pict>
        <v:shape id="_x0000_s4097" o:spid="_x0000_s4097"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8"/>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7631918"/>
    <w:multiLevelType w:val="singleLevel"/>
    <w:tmpl w:val="87631918"/>
    <w:lvl w:ilvl="0" w:tentative="0">
      <w:start w:val="2"/>
      <w:numFmt w:val="chineseCounting"/>
      <w:suff w:val="nothing"/>
      <w:lvlText w:val="（%1）"/>
      <w:lvlJc w:val="left"/>
      <w:rPr>
        <w:rFonts w:hint="eastAsia" w:cs="Times New Roman"/>
      </w:rPr>
    </w:lvl>
  </w:abstractNum>
  <w:abstractNum w:abstractNumId="1">
    <w:nsid w:val="9D764E1E"/>
    <w:multiLevelType w:val="singleLevel"/>
    <w:tmpl w:val="9D764E1E"/>
    <w:lvl w:ilvl="0" w:tentative="0">
      <w:start w:val="1"/>
      <w:numFmt w:val="decimal"/>
      <w:lvlText w:val="%1."/>
      <w:lvlJc w:val="left"/>
      <w:pPr>
        <w:tabs>
          <w:tab w:val="left" w:pos="312"/>
        </w:tabs>
      </w:pPr>
    </w:lvl>
  </w:abstractNum>
  <w:abstractNum w:abstractNumId="2">
    <w:nsid w:val="C2DDA8FD"/>
    <w:multiLevelType w:val="singleLevel"/>
    <w:tmpl w:val="C2DDA8FD"/>
    <w:lvl w:ilvl="0" w:tentative="0">
      <w:start w:val="1"/>
      <w:numFmt w:val="decimal"/>
      <w:suff w:val="nothing"/>
      <w:lvlText w:val="（%1）"/>
      <w:lvlJc w:val="left"/>
    </w:lvl>
  </w:abstractNum>
  <w:abstractNum w:abstractNumId="3">
    <w:nsid w:val="C49D9607"/>
    <w:multiLevelType w:val="singleLevel"/>
    <w:tmpl w:val="C49D9607"/>
    <w:lvl w:ilvl="0" w:tentative="0">
      <w:start w:val="1"/>
      <w:numFmt w:val="decimal"/>
      <w:suff w:val="nothing"/>
      <w:lvlText w:val="%1、"/>
      <w:lvlJc w:val="left"/>
      <w:rPr>
        <w:rFonts w:cs="Times New Roman"/>
      </w:rPr>
    </w:lvl>
  </w:abstractNum>
  <w:abstractNum w:abstractNumId="4">
    <w:nsid w:val="EC0BEF30"/>
    <w:multiLevelType w:val="singleLevel"/>
    <w:tmpl w:val="EC0BEF30"/>
    <w:lvl w:ilvl="0" w:tentative="0">
      <w:start w:val="1"/>
      <w:numFmt w:val="chineseCounting"/>
      <w:suff w:val="nothing"/>
      <w:lvlText w:val="（%1）"/>
      <w:lvlJc w:val="left"/>
      <w:rPr>
        <w:rFonts w:hint="eastAsia" w:ascii="楷体_GB2312" w:hAnsi="楷体_GB2312" w:eastAsia="楷体_GB2312" w:cs="楷体_GB2312"/>
        <w:b/>
        <w:bCs/>
        <w:sz w:val="32"/>
        <w:szCs w:val="32"/>
      </w:rPr>
    </w:lvl>
  </w:abstractNum>
  <w:abstractNum w:abstractNumId="5">
    <w:nsid w:val="091C3A7A"/>
    <w:multiLevelType w:val="multilevel"/>
    <w:tmpl w:val="091C3A7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0973C875"/>
    <w:multiLevelType w:val="singleLevel"/>
    <w:tmpl w:val="0973C875"/>
    <w:lvl w:ilvl="0" w:tentative="0">
      <w:start w:val="1"/>
      <w:numFmt w:val="chineseCounting"/>
      <w:suff w:val="space"/>
      <w:lvlText w:val="第%1部分"/>
      <w:lvlJc w:val="left"/>
      <w:rPr>
        <w:rFonts w:hint="eastAsia" w:cs="Times New Roman"/>
      </w:rPr>
    </w:lvl>
  </w:abstractNum>
  <w:abstractNum w:abstractNumId="7">
    <w:nsid w:val="110092EC"/>
    <w:multiLevelType w:val="singleLevel"/>
    <w:tmpl w:val="110092EC"/>
    <w:lvl w:ilvl="0" w:tentative="0">
      <w:start w:val="11"/>
      <w:numFmt w:val="decimal"/>
      <w:suff w:val="nothing"/>
      <w:lvlText w:val="%1、"/>
      <w:lvlJc w:val="left"/>
    </w:lvl>
  </w:abstractNum>
  <w:abstractNum w:abstractNumId="8">
    <w:nsid w:val="1272550B"/>
    <w:multiLevelType w:val="multilevel"/>
    <w:tmpl w:val="1272550B"/>
    <w:lvl w:ilvl="0" w:tentative="0">
      <w:start w:val="1"/>
      <w:numFmt w:val="japaneseCounting"/>
      <w:lvlText w:val="%1、"/>
      <w:lvlJc w:val="left"/>
      <w:pPr>
        <w:ind w:left="1360" w:hanging="720"/>
      </w:pPr>
      <w:rPr>
        <w:rFonts w:hint="default" w:cs="Times New Roman"/>
        <w:b w:val="0"/>
      </w:rPr>
    </w:lvl>
    <w:lvl w:ilvl="1" w:tentative="0">
      <w:start w:val="1"/>
      <w:numFmt w:val="lowerLetter"/>
      <w:lvlText w:val="%2)"/>
      <w:lvlJc w:val="left"/>
      <w:pPr>
        <w:ind w:left="1480" w:hanging="420"/>
      </w:pPr>
      <w:rPr>
        <w:rFonts w:cs="Times New Roman"/>
      </w:rPr>
    </w:lvl>
    <w:lvl w:ilvl="2" w:tentative="0">
      <w:start w:val="1"/>
      <w:numFmt w:val="lowerRoman"/>
      <w:lvlText w:val="%3."/>
      <w:lvlJc w:val="right"/>
      <w:pPr>
        <w:ind w:left="1900" w:hanging="420"/>
      </w:pPr>
      <w:rPr>
        <w:rFonts w:cs="Times New Roman"/>
      </w:rPr>
    </w:lvl>
    <w:lvl w:ilvl="3" w:tentative="0">
      <w:start w:val="1"/>
      <w:numFmt w:val="decimal"/>
      <w:lvlText w:val="%4."/>
      <w:lvlJc w:val="left"/>
      <w:pPr>
        <w:ind w:left="2320" w:hanging="420"/>
      </w:pPr>
      <w:rPr>
        <w:rFonts w:cs="Times New Roman"/>
      </w:rPr>
    </w:lvl>
    <w:lvl w:ilvl="4" w:tentative="0">
      <w:start w:val="1"/>
      <w:numFmt w:val="lowerLetter"/>
      <w:lvlText w:val="%5)"/>
      <w:lvlJc w:val="left"/>
      <w:pPr>
        <w:ind w:left="2740" w:hanging="420"/>
      </w:pPr>
      <w:rPr>
        <w:rFonts w:cs="Times New Roman"/>
      </w:rPr>
    </w:lvl>
    <w:lvl w:ilvl="5" w:tentative="0">
      <w:start w:val="1"/>
      <w:numFmt w:val="lowerRoman"/>
      <w:lvlText w:val="%6."/>
      <w:lvlJc w:val="right"/>
      <w:pPr>
        <w:ind w:left="3160" w:hanging="420"/>
      </w:pPr>
      <w:rPr>
        <w:rFonts w:cs="Times New Roman"/>
      </w:rPr>
    </w:lvl>
    <w:lvl w:ilvl="6" w:tentative="0">
      <w:start w:val="1"/>
      <w:numFmt w:val="decimal"/>
      <w:lvlText w:val="%7."/>
      <w:lvlJc w:val="left"/>
      <w:pPr>
        <w:ind w:left="3580" w:hanging="420"/>
      </w:pPr>
      <w:rPr>
        <w:rFonts w:cs="Times New Roman"/>
      </w:rPr>
    </w:lvl>
    <w:lvl w:ilvl="7" w:tentative="0">
      <w:start w:val="1"/>
      <w:numFmt w:val="lowerLetter"/>
      <w:lvlText w:val="%8)"/>
      <w:lvlJc w:val="left"/>
      <w:pPr>
        <w:ind w:left="4000" w:hanging="420"/>
      </w:pPr>
      <w:rPr>
        <w:rFonts w:cs="Times New Roman"/>
      </w:rPr>
    </w:lvl>
    <w:lvl w:ilvl="8" w:tentative="0">
      <w:start w:val="1"/>
      <w:numFmt w:val="lowerRoman"/>
      <w:lvlText w:val="%9."/>
      <w:lvlJc w:val="right"/>
      <w:pPr>
        <w:ind w:left="4420" w:hanging="420"/>
      </w:pPr>
      <w:rPr>
        <w:rFonts w:cs="Times New Roman"/>
      </w:rPr>
    </w:lvl>
  </w:abstractNum>
  <w:abstractNum w:abstractNumId="9">
    <w:nsid w:val="17F426B7"/>
    <w:multiLevelType w:val="multilevel"/>
    <w:tmpl w:val="17F426B7"/>
    <w:lvl w:ilvl="0" w:tentative="0">
      <w:start w:val="10"/>
      <w:numFmt w:val="japaneseCounting"/>
      <w:lvlText w:val="%1、"/>
      <w:lvlJc w:val="left"/>
      <w:pPr>
        <w:ind w:left="1429" w:hanging="720"/>
      </w:pPr>
      <w:rPr>
        <w:rFonts w:hint="default" w:cs="Times New Roman"/>
      </w:rPr>
    </w:lvl>
    <w:lvl w:ilvl="1" w:tentative="0">
      <w:start w:val="1"/>
      <w:numFmt w:val="lowerLetter"/>
      <w:lvlText w:val="%2)"/>
      <w:lvlJc w:val="left"/>
      <w:pPr>
        <w:ind w:left="1549" w:hanging="420"/>
      </w:pPr>
      <w:rPr>
        <w:rFonts w:cs="Times New Roman"/>
      </w:rPr>
    </w:lvl>
    <w:lvl w:ilvl="2" w:tentative="0">
      <w:start w:val="1"/>
      <w:numFmt w:val="lowerRoman"/>
      <w:lvlText w:val="%3."/>
      <w:lvlJc w:val="right"/>
      <w:pPr>
        <w:ind w:left="1969" w:hanging="420"/>
      </w:pPr>
      <w:rPr>
        <w:rFonts w:cs="Times New Roman"/>
      </w:rPr>
    </w:lvl>
    <w:lvl w:ilvl="3" w:tentative="0">
      <w:start w:val="1"/>
      <w:numFmt w:val="decimal"/>
      <w:lvlText w:val="%4."/>
      <w:lvlJc w:val="left"/>
      <w:pPr>
        <w:ind w:left="2389" w:hanging="420"/>
      </w:pPr>
      <w:rPr>
        <w:rFonts w:cs="Times New Roman"/>
      </w:rPr>
    </w:lvl>
    <w:lvl w:ilvl="4" w:tentative="0">
      <w:start w:val="1"/>
      <w:numFmt w:val="lowerLetter"/>
      <w:lvlText w:val="%5)"/>
      <w:lvlJc w:val="left"/>
      <w:pPr>
        <w:ind w:left="2809" w:hanging="420"/>
      </w:pPr>
      <w:rPr>
        <w:rFonts w:cs="Times New Roman"/>
      </w:rPr>
    </w:lvl>
    <w:lvl w:ilvl="5" w:tentative="0">
      <w:start w:val="1"/>
      <w:numFmt w:val="lowerRoman"/>
      <w:lvlText w:val="%6."/>
      <w:lvlJc w:val="right"/>
      <w:pPr>
        <w:ind w:left="3229" w:hanging="420"/>
      </w:pPr>
      <w:rPr>
        <w:rFonts w:cs="Times New Roman"/>
      </w:rPr>
    </w:lvl>
    <w:lvl w:ilvl="6" w:tentative="0">
      <w:start w:val="1"/>
      <w:numFmt w:val="decimal"/>
      <w:lvlText w:val="%7."/>
      <w:lvlJc w:val="left"/>
      <w:pPr>
        <w:ind w:left="3649" w:hanging="420"/>
      </w:pPr>
      <w:rPr>
        <w:rFonts w:cs="Times New Roman"/>
      </w:rPr>
    </w:lvl>
    <w:lvl w:ilvl="7" w:tentative="0">
      <w:start w:val="1"/>
      <w:numFmt w:val="lowerLetter"/>
      <w:lvlText w:val="%8)"/>
      <w:lvlJc w:val="left"/>
      <w:pPr>
        <w:ind w:left="4069" w:hanging="420"/>
      </w:pPr>
      <w:rPr>
        <w:rFonts w:cs="Times New Roman"/>
      </w:rPr>
    </w:lvl>
    <w:lvl w:ilvl="8" w:tentative="0">
      <w:start w:val="1"/>
      <w:numFmt w:val="lowerRoman"/>
      <w:lvlText w:val="%9."/>
      <w:lvlJc w:val="right"/>
      <w:pPr>
        <w:ind w:left="4489" w:hanging="420"/>
      </w:pPr>
      <w:rPr>
        <w:rFonts w:cs="Times New Roman"/>
      </w:rPr>
    </w:lvl>
  </w:abstractNum>
  <w:abstractNum w:abstractNumId="10">
    <w:nsid w:val="2865F29B"/>
    <w:multiLevelType w:val="singleLevel"/>
    <w:tmpl w:val="2865F29B"/>
    <w:lvl w:ilvl="0" w:tentative="0">
      <w:start w:val="1"/>
      <w:numFmt w:val="decimal"/>
      <w:suff w:val="nothing"/>
      <w:lvlText w:val="%1、"/>
      <w:lvlJc w:val="left"/>
      <w:rPr>
        <w:rFonts w:cs="Times New Roman"/>
      </w:rPr>
    </w:lvl>
  </w:abstractNum>
  <w:abstractNum w:abstractNumId="11">
    <w:nsid w:val="5AA904B4"/>
    <w:multiLevelType w:val="singleLevel"/>
    <w:tmpl w:val="5AA904B4"/>
    <w:lvl w:ilvl="0" w:tentative="0">
      <w:start w:val="1"/>
      <w:numFmt w:val="decimal"/>
      <w:lvlText w:val="%1."/>
      <w:lvlJc w:val="left"/>
      <w:pPr>
        <w:tabs>
          <w:tab w:val="left" w:pos="312"/>
        </w:tabs>
      </w:pPr>
    </w:lvl>
  </w:abstractNum>
  <w:abstractNum w:abstractNumId="12">
    <w:nsid w:val="75867142"/>
    <w:multiLevelType w:val="multilevel"/>
    <w:tmpl w:val="75867142"/>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7ED094B8"/>
    <w:multiLevelType w:val="singleLevel"/>
    <w:tmpl w:val="7ED094B8"/>
    <w:lvl w:ilvl="0" w:tentative="0">
      <w:start w:val="1"/>
      <w:numFmt w:val="decimal"/>
      <w:lvlText w:val="%1."/>
      <w:lvlJc w:val="left"/>
      <w:pPr>
        <w:tabs>
          <w:tab w:val="left" w:pos="312"/>
        </w:tabs>
      </w:pPr>
    </w:lvl>
  </w:abstractNum>
  <w:num w:numId="1">
    <w:abstractNumId w:val="6"/>
  </w:num>
  <w:num w:numId="2">
    <w:abstractNumId w:val="13"/>
  </w:num>
  <w:num w:numId="3">
    <w:abstractNumId w:val="2"/>
  </w:num>
  <w:num w:numId="4">
    <w:abstractNumId w:val="9"/>
  </w:num>
  <w:num w:numId="5">
    <w:abstractNumId w:val="4"/>
  </w:num>
  <w:num w:numId="6">
    <w:abstractNumId w:val="12"/>
  </w:num>
  <w:num w:numId="7">
    <w:abstractNumId w:val="5"/>
  </w:num>
  <w:num w:numId="8">
    <w:abstractNumId w:val="1"/>
  </w:num>
  <w:num w:numId="9">
    <w:abstractNumId w:val="11"/>
  </w:num>
  <w:num w:numId="10">
    <w:abstractNumId w:val="7"/>
  </w:num>
  <w:num w:numId="11">
    <w:abstractNumId w:val="8"/>
  </w:num>
  <w:num w:numId="12">
    <w:abstractNumId w:val="0"/>
  </w:num>
  <w:num w:numId="13">
    <w:abstractNumId w:val="10"/>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1361C"/>
    <w:rsid w:val="00007B8D"/>
    <w:rsid w:val="000222C6"/>
    <w:rsid w:val="0002549F"/>
    <w:rsid w:val="0006487A"/>
    <w:rsid w:val="00065F8F"/>
    <w:rsid w:val="000768F2"/>
    <w:rsid w:val="0009184B"/>
    <w:rsid w:val="0009593C"/>
    <w:rsid w:val="000A35D8"/>
    <w:rsid w:val="000A534E"/>
    <w:rsid w:val="000B047F"/>
    <w:rsid w:val="000B5923"/>
    <w:rsid w:val="000B5A48"/>
    <w:rsid w:val="000B6FF3"/>
    <w:rsid w:val="000C08BA"/>
    <w:rsid w:val="000C1E24"/>
    <w:rsid w:val="000C3467"/>
    <w:rsid w:val="000C3CA6"/>
    <w:rsid w:val="000D1267"/>
    <w:rsid w:val="000D1D50"/>
    <w:rsid w:val="000D5782"/>
    <w:rsid w:val="000E6613"/>
    <w:rsid w:val="000E7119"/>
    <w:rsid w:val="00114E9B"/>
    <w:rsid w:val="0014729F"/>
    <w:rsid w:val="00157BAB"/>
    <w:rsid w:val="001654D1"/>
    <w:rsid w:val="0018106D"/>
    <w:rsid w:val="001877A7"/>
    <w:rsid w:val="00191536"/>
    <w:rsid w:val="00196687"/>
    <w:rsid w:val="001C0962"/>
    <w:rsid w:val="001D7531"/>
    <w:rsid w:val="001E737D"/>
    <w:rsid w:val="001F0592"/>
    <w:rsid w:val="001F7506"/>
    <w:rsid w:val="002006CD"/>
    <w:rsid w:val="00202B36"/>
    <w:rsid w:val="00204B7A"/>
    <w:rsid w:val="0021101A"/>
    <w:rsid w:val="00220536"/>
    <w:rsid w:val="00235629"/>
    <w:rsid w:val="00260C38"/>
    <w:rsid w:val="002616C0"/>
    <w:rsid w:val="002662AA"/>
    <w:rsid w:val="00280496"/>
    <w:rsid w:val="00295495"/>
    <w:rsid w:val="002B2613"/>
    <w:rsid w:val="002D48AF"/>
    <w:rsid w:val="002F1818"/>
    <w:rsid w:val="002F567B"/>
    <w:rsid w:val="003216A9"/>
    <w:rsid w:val="00351C25"/>
    <w:rsid w:val="0037013F"/>
    <w:rsid w:val="00380C92"/>
    <w:rsid w:val="003A484F"/>
    <w:rsid w:val="003B0BE0"/>
    <w:rsid w:val="003B0C1B"/>
    <w:rsid w:val="003B688C"/>
    <w:rsid w:val="003C0291"/>
    <w:rsid w:val="003C39AE"/>
    <w:rsid w:val="003C7B60"/>
    <w:rsid w:val="003D1FB2"/>
    <w:rsid w:val="003D27A0"/>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C21C9"/>
    <w:rsid w:val="004C4D0B"/>
    <w:rsid w:val="004E0A2D"/>
    <w:rsid w:val="004E206B"/>
    <w:rsid w:val="004E6DF7"/>
    <w:rsid w:val="004F0FBD"/>
    <w:rsid w:val="00505A47"/>
    <w:rsid w:val="00512FDA"/>
    <w:rsid w:val="00520DA0"/>
    <w:rsid w:val="00522329"/>
    <w:rsid w:val="005664BB"/>
    <w:rsid w:val="00571208"/>
    <w:rsid w:val="0057481D"/>
    <w:rsid w:val="0058486E"/>
    <w:rsid w:val="005D1C8B"/>
    <w:rsid w:val="005D5CED"/>
    <w:rsid w:val="005F1A4C"/>
    <w:rsid w:val="00605688"/>
    <w:rsid w:val="006070AF"/>
    <w:rsid w:val="00607E6C"/>
    <w:rsid w:val="006101B1"/>
    <w:rsid w:val="00614E44"/>
    <w:rsid w:val="00622830"/>
    <w:rsid w:val="00630AEF"/>
    <w:rsid w:val="006325F8"/>
    <w:rsid w:val="00634C9A"/>
    <w:rsid w:val="00634E14"/>
    <w:rsid w:val="006440E4"/>
    <w:rsid w:val="0066343B"/>
    <w:rsid w:val="00664777"/>
    <w:rsid w:val="006748A4"/>
    <w:rsid w:val="00683E73"/>
    <w:rsid w:val="00687188"/>
    <w:rsid w:val="006A3141"/>
    <w:rsid w:val="006A5E34"/>
    <w:rsid w:val="006B2422"/>
    <w:rsid w:val="006B2B9A"/>
    <w:rsid w:val="006C1937"/>
    <w:rsid w:val="006E7E22"/>
    <w:rsid w:val="006F020C"/>
    <w:rsid w:val="006F22BA"/>
    <w:rsid w:val="00703EA7"/>
    <w:rsid w:val="007127B7"/>
    <w:rsid w:val="007416B6"/>
    <w:rsid w:val="00746F48"/>
    <w:rsid w:val="007472C4"/>
    <w:rsid w:val="0075404D"/>
    <w:rsid w:val="0076182A"/>
    <w:rsid w:val="00767B7E"/>
    <w:rsid w:val="0077505A"/>
    <w:rsid w:val="007770C3"/>
    <w:rsid w:val="00781938"/>
    <w:rsid w:val="00784D24"/>
    <w:rsid w:val="00785FBA"/>
    <w:rsid w:val="00786E4A"/>
    <w:rsid w:val="007875EB"/>
    <w:rsid w:val="0079426B"/>
    <w:rsid w:val="007D312A"/>
    <w:rsid w:val="007D3ACA"/>
    <w:rsid w:val="007D3F19"/>
    <w:rsid w:val="007E23B0"/>
    <w:rsid w:val="007F1991"/>
    <w:rsid w:val="007F2C2F"/>
    <w:rsid w:val="007F3B10"/>
    <w:rsid w:val="007F55FC"/>
    <w:rsid w:val="007F5665"/>
    <w:rsid w:val="00800112"/>
    <w:rsid w:val="008253BB"/>
    <w:rsid w:val="0083706E"/>
    <w:rsid w:val="008423A5"/>
    <w:rsid w:val="0085046D"/>
    <w:rsid w:val="00850625"/>
    <w:rsid w:val="00853718"/>
    <w:rsid w:val="00855221"/>
    <w:rsid w:val="00860645"/>
    <w:rsid w:val="008701EC"/>
    <w:rsid w:val="00871F71"/>
    <w:rsid w:val="00885AF4"/>
    <w:rsid w:val="008939CD"/>
    <w:rsid w:val="008B768C"/>
    <w:rsid w:val="008C4DB1"/>
    <w:rsid w:val="008C4EAF"/>
    <w:rsid w:val="008C5176"/>
    <w:rsid w:val="008C7FD0"/>
    <w:rsid w:val="008D28CD"/>
    <w:rsid w:val="008E1DE7"/>
    <w:rsid w:val="008E64DE"/>
    <w:rsid w:val="008E707C"/>
    <w:rsid w:val="00900B08"/>
    <w:rsid w:val="00902155"/>
    <w:rsid w:val="00902FA3"/>
    <w:rsid w:val="009069B5"/>
    <w:rsid w:val="00923564"/>
    <w:rsid w:val="0092392E"/>
    <w:rsid w:val="009315F9"/>
    <w:rsid w:val="00946945"/>
    <w:rsid w:val="00951248"/>
    <w:rsid w:val="0095152F"/>
    <w:rsid w:val="00954C49"/>
    <w:rsid w:val="0097099F"/>
    <w:rsid w:val="00971997"/>
    <w:rsid w:val="00971FFC"/>
    <w:rsid w:val="009849B9"/>
    <w:rsid w:val="0098660A"/>
    <w:rsid w:val="009931C3"/>
    <w:rsid w:val="009B2C43"/>
    <w:rsid w:val="009B4EAE"/>
    <w:rsid w:val="009B7573"/>
    <w:rsid w:val="009C22F4"/>
    <w:rsid w:val="009C2E98"/>
    <w:rsid w:val="009C7C83"/>
    <w:rsid w:val="009D0E82"/>
    <w:rsid w:val="009D1413"/>
    <w:rsid w:val="009D3447"/>
    <w:rsid w:val="009D4711"/>
    <w:rsid w:val="009F1185"/>
    <w:rsid w:val="009F18CD"/>
    <w:rsid w:val="009F2A13"/>
    <w:rsid w:val="00A04EB0"/>
    <w:rsid w:val="00A13CC1"/>
    <w:rsid w:val="00A16847"/>
    <w:rsid w:val="00A237D8"/>
    <w:rsid w:val="00A268C4"/>
    <w:rsid w:val="00A307CD"/>
    <w:rsid w:val="00A35FE5"/>
    <w:rsid w:val="00A40A00"/>
    <w:rsid w:val="00A4142F"/>
    <w:rsid w:val="00A56DF2"/>
    <w:rsid w:val="00A67AB5"/>
    <w:rsid w:val="00A8032D"/>
    <w:rsid w:val="00A91760"/>
    <w:rsid w:val="00A93B00"/>
    <w:rsid w:val="00A93C21"/>
    <w:rsid w:val="00AC3C6A"/>
    <w:rsid w:val="00AC564A"/>
    <w:rsid w:val="00AD5620"/>
    <w:rsid w:val="00AD7C1B"/>
    <w:rsid w:val="00AE16BA"/>
    <w:rsid w:val="00AE1EBE"/>
    <w:rsid w:val="00B03C9D"/>
    <w:rsid w:val="00B060AE"/>
    <w:rsid w:val="00B10517"/>
    <w:rsid w:val="00B11880"/>
    <w:rsid w:val="00B14E76"/>
    <w:rsid w:val="00B161B8"/>
    <w:rsid w:val="00B174FE"/>
    <w:rsid w:val="00B2048C"/>
    <w:rsid w:val="00B310B9"/>
    <w:rsid w:val="00B35F3F"/>
    <w:rsid w:val="00B36CBB"/>
    <w:rsid w:val="00B425E0"/>
    <w:rsid w:val="00B440AA"/>
    <w:rsid w:val="00B44B70"/>
    <w:rsid w:val="00B52087"/>
    <w:rsid w:val="00B53C56"/>
    <w:rsid w:val="00B77EA6"/>
    <w:rsid w:val="00B81598"/>
    <w:rsid w:val="00B841F1"/>
    <w:rsid w:val="00B944D6"/>
    <w:rsid w:val="00B97B99"/>
    <w:rsid w:val="00BB4DF0"/>
    <w:rsid w:val="00BC289F"/>
    <w:rsid w:val="00BC5361"/>
    <w:rsid w:val="00BC5460"/>
    <w:rsid w:val="00BC6B50"/>
    <w:rsid w:val="00BD0E25"/>
    <w:rsid w:val="00BF5BD6"/>
    <w:rsid w:val="00BF68A4"/>
    <w:rsid w:val="00BF7B03"/>
    <w:rsid w:val="00C03E31"/>
    <w:rsid w:val="00C33E72"/>
    <w:rsid w:val="00C354B2"/>
    <w:rsid w:val="00C35554"/>
    <w:rsid w:val="00C42709"/>
    <w:rsid w:val="00C533CC"/>
    <w:rsid w:val="00C5751C"/>
    <w:rsid w:val="00C61BFC"/>
    <w:rsid w:val="00C62B85"/>
    <w:rsid w:val="00C65438"/>
    <w:rsid w:val="00C77C08"/>
    <w:rsid w:val="00C91CBB"/>
    <w:rsid w:val="00CA1218"/>
    <w:rsid w:val="00CB1A0F"/>
    <w:rsid w:val="00CC09B6"/>
    <w:rsid w:val="00CC666F"/>
    <w:rsid w:val="00CD1E3F"/>
    <w:rsid w:val="00CD604A"/>
    <w:rsid w:val="00CE44F6"/>
    <w:rsid w:val="00CE49DA"/>
    <w:rsid w:val="00CE7B61"/>
    <w:rsid w:val="00D00095"/>
    <w:rsid w:val="00D20620"/>
    <w:rsid w:val="00D26091"/>
    <w:rsid w:val="00D34E7C"/>
    <w:rsid w:val="00D35489"/>
    <w:rsid w:val="00D51276"/>
    <w:rsid w:val="00D53CF1"/>
    <w:rsid w:val="00D54DF5"/>
    <w:rsid w:val="00D7035F"/>
    <w:rsid w:val="00D84CF2"/>
    <w:rsid w:val="00DA65AC"/>
    <w:rsid w:val="00DB1913"/>
    <w:rsid w:val="00DC410D"/>
    <w:rsid w:val="00DC68CA"/>
    <w:rsid w:val="00DC7CBA"/>
    <w:rsid w:val="00DD73B7"/>
    <w:rsid w:val="00DF28BC"/>
    <w:rsid w:val="00DF34B9"/>
    <w:rsid w:val="00E01053"/>
    <w:rsid w:val="00E07ACF"/>
    <w:rsid w:val="00E1605A"/>
    <w:rsid w:val="00E331A1"/>
    <w:rsid w:val="00E33202"/>
    <w:rsid w:val="00E336A9"/>
    <w:rsid w:val="00E50624"/>
    <w:rsid w:val="00E568DF"/>
    <w:rsid w:val="00E64269"/>
    <w:rsid w:val="00E737DE"/>
    <w:rsid w:val="00E82267"/>
    <w:rsid w:val="00EA010F"/>
    <w:rsid w:val="00EA117C"/>
    <w:rsid w:val="00ED1B63"/>
    <w:rsid w:val="00ED3C1F"/>
    <w:rsid w:val="00ED4085"/>
    <w:rsid w:val="00ED420E"/>
    <w:rsid w:val="00EE2F57"/>
    <w:rsid w:val="00EE6EA7"/>
    <w:rsid w:val="00EF4C34"/>
    <w:rsid w:val="00EF77C6"/>
    <w:rsid w:val="00F05438"/>
    <w:rsid w:val="00F1361C"/>
    <w:rsid w:val="00F160C7"/>
    <w:rsid w:val="00F36D8F"/>
    <w:rsid w:val="00F417B1"/>
    <w:rsid w:val="00F602DF"/>
    <w:rsid w:val="00F60D36"/>
    <w:rsid w:val="00F81FD9"/>
    <w:rsid w:val="00F841AA"/>
    <w:rsid w:val="00FA23E8"/>
    <w:rsid w:val="00FC403D"/>
    <w:rsid w:val="00FD19A8"/>
    <w:rsid w:val="00FD3CC1"/>
    <w:rsid w:val="00FF1E02"/>
    <w:rsid w:val="00FF30B4"/>
    <w:rsid w:val="022E525F"/>
    <w:rsid w:val="023F525B"/>
    <w:rsid w:val="04A45CA8"/>
    <w:rsid w:val="065C491D"/>
    <w:rsid w:val="06755DAD"/>
    <w:rsid w:val="06CE20EB"/>
    <w:rsid w:val="06F64612"/>
    <w:rsid w:val="079451D2"/>
    <w:rsid w:val="08A762C1"/>
    <w:rsid w:val="095D07DF"/>
    <w:rsid w:val="0961562C"/>
    <w:rsid w:val="0A7C6702"/>
    <w:rsid w:val="0C440046"/>
    <w:rsid w:val="0D272042"/>
    <w:rsid w:val="0E0901CA"/>
    <w:rsid w:val="0F521D79"/>
    <w:rsid w:val="0F677DDE"/>
    <w:rsid w:val="0F743A25"/>
    <w:rsid w:val="1004044D"/>
    <w:rsid w:val="10A25DCD"/>
    <w:rsid w:val="10C055FF"/>
    <w:rsid w:val="128A2CDD"/>
    <w:rsid w:val="13914587"/>
    <w:rsid w:val="13A00205"/>
    <w:rsid w:val="13BE1799"/>
    <w:rsid w:val="14435273"/>
    <w:rsid w:val="1646477B"/>
    <w:rsid w:val="16BB723D"/>
    <w:rsid w:val="16E629EE"/>
    <w:rsid w:val="170E2DBE"/>
    <w:rsid w:val="17D33B7C"/>
    <w:rsid w:val="18292FE2"/>
    <w:rsid w:val="18920A94"/>
    <w:rsid w:val="1BED7E94"/>
    <w:rsid w:val="1D4A26EC"/>
    <w:rsid w:val="1E153340"/>
    <w:rsid w:val="1E960F01"/>
    <w:rsid w:val="1EC92221"/>
    <w:rsid w:val="20A63C00"/>
    <w:rsid w:val="21006F80"/>
    <w:rsid w:val="21A24CE1"/>
    <w:rsid w:val="226502A8"/>
    <w:rsid w:val="22C85D42"/>
    <w:rsid w:val="23993408"/>
    <w:rsid w:val="240371BF"/>
    <w:rsid w:val="25112A1F"/>
    <w:rsid w:val="264D4DDF"/>
    <w:rsid w:val="26A32A65"/>
    <w:rsid w:val="27E87CE3"/>
    <w:rsid w:val="28C97E9D"/>
    <w:rsid w:val="28F07434"/>
    <w:rsid w:val="29515957"/>
    <w:rsid w:val="295E6093"/>
    <w:rsid w:val="29E96252"/>
    <w:rsid w:val="29FD04D3"/>
    <w:rsid w:val="2AFD11A1"/>
    <w:rsid w:val="2B3772BC"/>
    <w:rsid w:val="2EF672FC"/>
    <w:rsid w:val="31132F8C"/>
    <w:rsid w:val="319F7F4E"/>
    <w:rsid w:val="31BC5286"/>
    <w:rsid w:val="326D6DBC"/>
    <w:rsid w:val="32A04217"/>
    <w:rsid w:val="32D63EE0"/>
    <w:rsid w:val="348C2D75"/>
    <w:rsid w:val="351C2F7F"/>
    <w:rsid w:val="358424F2"/>
    <w:rsid w:val="38A80495"/>
    <w:rsid w:val="39A009B8"/>
    <w:rsid w:val="3A44156A"/>
    <w:rsid w:val="3A466633"/>
    <w:rsid w:val="3AA744A0"/>
    <w:rsid w:val="3CA01EE6"/>
    <w:rsid w:val="3CAC1295"/>
    <w:rsid w:val="3D0714A2"/>
    <w:rsid w:val="3DE46A00"/>
    <w:rsid w:val="404A5DCA"/>
    <w:rsid w:val="40F03FAC"/>
    <w:rsid w:val="417607DF"/>
    <w:rsid w:val="422F7C25"/>
    <w:rsid w:val="43DF7B34"/>
    <w:rsid w:val="441E6720"/>
    <w:rsid w:val="451C796E"/>
    <w:rsid w:val="455660C7"/>
    <w:rsid w:val="4BD02268"/>
    <w:rsid w:val="4F366BB8"/>
    <w:rsid w:val="505A7669"/>
    <w:rsid w:val="546B1E35"/>
    <w:rsid w:val="55124BEA"/>
    <w:rsid w:val="56B3635C"/>
    <w:rsid w:val="56DF603C"/>
    <w:rsid w:val="57202DEC"/>
    <w:rsid w:val="58210B64"/>
    <w:rsid w:val="590B2789"/>
    <w:rsid w:val="59347BDF"/>
    <w:rsid w:val="5BD47382"/>
    <w:rsid w:val="5DBD3AF7"/>
    <w:rsid w:val="5E882C8E"/>
    <w:rsid w:val="5EA657E7"/>
    <w:rsid w:val="5EBE065C"/>
    <w:rsid w:val="5F074462"/>
    <w:rsid w:val="5F4D5FFE"/>
    <w:rsid w:val="61FF64B7"/>
    <w:rsid w:val="6356763F"/>
    <w:rsid w:val="640B5B3F"/>
    <w:rsid w:val="6465649E"/>
    <w:rsid w:val="65267ECC"/>
    <w:rsid w:val="6594534E"/>
    <w:rsid w:val="66E15804"/>
    <w:rsid w:val="66F9635C"/>
    <w:rsid w:val="68205934"/>
    <w:rsid w:val="68317166"/>
    <w:rsid w:val="691F2151"/>
    <w:rsid w:val="6A664A93"/>
    <w:rsid w:val="6B5B7956"/>
    <w:rsid w:val="6BCB2037"/>
    <w:rsid w:val="6C134A08"/>
    <w:rsid w:val="6D3A5F91"/>
    <w:rsid w:val="6D780CAF"/>
    <w:rsid w:val="6E5A6F68"/>
    <w:rsid w:val="6F072392"/>
    <w:rsid w:val="700434F7"/>
    <w:rsid w:val="704525D1"/>
    <w:rsid w:val="70734666"/>
    <w:rsid w:val="713B647E"/>
    <w:rsid w:val="71604F45"/>
    <w:rsid w:val="7195661D"/>
    <w:rsid w:val="71A32803"/>
    <w:rsid w:val="71EB4447"/>
    <w:rsid w:val="72247C5F"/>
    <w:rsid w:val="7342043E"/>
    <w:rsid w:val="735313F3"/>
    <w:rsid w:val="735641D6"/>
    <w:rsid w:val="76134491"/>
    <w:rsid w:val="76596BCA"/>
    <w:rsid w:val="76B554D0"/>
    <w:rsid w:val="76F24BB1"/>
    <w:rsid w:val="772A6950"/>
    <w:rsid w:val="773738D7"/>
    <w:rsid w:val="781127DF"/>
    <w:rsid w:val="795E17CF"/>
    <w:rsid w:val="79D63E84"/>
    <w:rsid w:val="7CAE68D0"/>
    <w:rsid w:val="7D390DA6"/>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semiHidden="0" w:name="toc 1"/>
    <w:lsdException w:qFormat="1" w:unhideWhenUsed="0" w:uiPriority="99" w:semiHidden="0" w:name="toc 2"/>
    <w:lsdException w:qFormat="1" w:unhideWhenUsed="0" w:uiPriority="99" w:semiHidden="0" w:name="toc 3"/>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nhideWhenUsed="0" w:uiPriority="99"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nhideWhenUsed="0" w:uiPriority="99" w:name="Default Paragraph Font"/>
    <w:lsdException w:qFormat="1" w:unhideWhenUsed="0" w:uiPriority="99" w:semiHidden="0" w:name="Body Text"/>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semiHidden="0" w:name="Hyperlink"/>
    <w:lsdException w:qFormat="1" w:unhideWhenUsed="0" w:uiPriority="99" w:name="FollowedHyperlink"/>
    <w:lsdException w:qFormat="1" w:unhideWhenUsed="0" w:uiPriority="99" w:semiHidden="0" w:name="Strong"/>
    <w:lsdException w:qFormat="1" w:unhideWhenUsed="0" w:uiPriority="99" w:semiHidden="0" w:name="Emphasis"/>
    <w:lsdException w:uiPriority="99" w:name="Document Map" w:locked="1"/>
    <w:lsdException w:uiPriority="99" w:name="Plain Text" w:locked="1"/>
    <w:lsdException w:uiPriority="99" w:name="E-mail Signature" w:locked="1"/>
    <w:lsdException w:qFormat="1" w:unhideWhenUsed="0" w:uiPriority="99" w:name="Normal (Web)"/>
    <w:lsdException w:uiPriority="99" w:name="HTML Acronym" w:locked="1"/>
    <w:lsdException w:uiPriority="99" w:name="HTML Address" w:locked="1"/>
    <w:lsdException w:uiPriority="99" w:name="HTML Cite" w:locked="1"/>
    <w:lsdException w:qFormat="1" w:unhideWhenUsed="0" w:uiPriority="99" w:name="HTML Code"/>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2"/>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23"/>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24"/>
    <w:qFormat/>
    <w:uiPriority w:val="99"/>
    <w:pPr>
      <w:keepNext/>
      <w:keepLines/>
      <w:spacing w:before="260" w:after="260" w:line="416" w:lineRule="auto"/>
      <w:outlineLvl w:val="2"/>
    </w:pPr>
    <w:rPr>
      <w:b/>
      <w:bCs/>
      <w:sz w:val="32"/>
      <w:szCs w:val="32"/>
    </w:rPr>
  </w:style>
  <w:style w:type="character" w:default="1" w:styleId="13">
    <w:name w:val="Default Paragraph Font"/>
    <w:semiHidden/>
    <w:qFormat/>
    <w:uiPriority w:val="99"/>
  </w:style>
  <w:style w:type="table" w:default="1" w:styleId="20">
    <w:name w:val="Normal Table"/>
    <w:semiHidden/>
    <w:unhideWhenUsed/>
    <w:qFormat/>
    <w:uiPriority w:val="99"/>
    <w:tblPr>
      <w:tblLayout w:type="fixed"/>
      <w:tblCellMar>
        <w:top w:w="0" w:type="dxa"/>
        <w:left w:w="108" w:type="dxa"/>
        <w:bottom w:w="0" w:type="dxa"/>
        <w:right w:w="108" w:type="dxa"/>
      </w:tblCellMar>
    </w:tblPr>
  </w:style>
  <w:style w:type="paragraph" w:styleId="5">
    <w:name w:val="Body Text"/>
    <w:basedOn w:val="1"/>
    <w:link w:val="31"/>
    <w:qFormat/>
    <w:uiPriority w:val="99"/>
    <w:pPr>
      <w:spacing w:beforeLines="30"/>
    </w:pPr>
    <w:rPr>
      <w:rFonts w:ascii="??_GB2312" w:eastAsia="Times New Roman"/>
      <w:kern w:val="0"/>
      <w:sz w:val="24"/>
      <w:szCs w:val="20"/>
    </w:rPr>
  </w:style>
  <w:style w:type="paragraph" w:styleId="6">
    <w:name w:val="toc 3"/>
    <w:basedOn w:val="1"/>
    <w:next w:val="1"/>
    <w:qFormat/>
    <w:uiPriority w:val="99"/>
    <w:pPr>
      <w:tabs>
        <w:tab w:val="right" w:leader="dot" w:pos="8296"/>
      </w:tabs>
      <w:ind w:left="840" w:leftChars="400"/>
    </w:pPr>
  </w:style>
  <w:style w:type="paragraph" w:styleId="7">
    <w:name w:val="Balloon Text"/>
    <w:basedOn w:val="1"/>
    <w:link w:val="26"/>
    <w:semiHidden/>
    <w:qFormat/>
    <w:uiPriority w:val="99"/>
    <w:rPr>
      <w:sz w:val="18"/>
      <w:szCs w:val="18"/>
    </w:rPr>
  </w:style>
  <w:style w:type="paragraph" w:styleId="8">
    <w:name w:val="footer"/>
    <w:basedOn w:val="1"/>
    <w:link w:val="30"/>
    <w:qFormat/>
    <w:uiPriority w:val="99"/>
    <w:pPr>
      <w:tabs>
        <w:tab w:val="center" w:pos="4153"/>
        <w:tab w:val="right" w:pos="8306"/>
      </w:tabs>
      <w:snapToGrid w:val="0"/>
      <w:jc w:val="left"/>
    </w:pPr>
    <w:rPr>
      <w:kern w:val="0"/>
      <w:sz w:val="18"/>
      <w:szCs w:val="20"/>
    </w:rPr>
  </w:style>
  <w:style w:type="paragraph" w:styleId="9">
    <w:name w:val="header"/>
    <w:basedOn w:val="1"/>
    <w:link w:val="29"/>
    <w:semiHidden/>
    <w:qFormat/>
    <w:uiPriority w:val="99"/>
    <w:pPr>
      <w:pBdr>
        <w:bottom w:val="single" w:color="auto" w:sz="6" w:space="1"/>
      </w:pBdr>
      <w:tabs>
        <w:tab w:val="center" w:pos="4153"/>
        <w:tab w:val="right" w:pos="8306"/>
      </w:tabs>
      <w:snapToGrid w:val="0"/>
      <w:jc w:val="center"/>
    </w:pPr>
    <w:rPr>
      <w:kern w:val="0"/>
      <w:sz w:val="18"/>
      <w:szCs w:val="20"/>
    </w:rPr>
  </w:style>
  <w:style w:type="paragraph" w:styleId="10">
    <w:name w:val="toc 1"/>
    <w:basedOn w:val="1"/>
    <w:next w:val="1"/>
    <w:qFormat/>
    <w:uiPriority w:val="99"/>
    <w:pPr>
      <w:tabs>
        <w:tab w:val="right" w:leader="dot" w:pos="8296"/>
      </w:tabs>
      <w:spacing w:before="93"/>
      <w:jc w:val="center"/>
    </w:pPr>
    <w:rPr>
      <w:rFonts w:ascii="仿宋" w:hAnsi="仿宋" w:eastAsia="仿宋"/>
      <w:sz w:val="28"/>
      <w:szCs w:val="28"/>
    </w:rPr>
  </w:style>
  <w:style w:type="paragraph" w:styleId="11">
    <w:name w:val="toc 2"/>
    <w:basedOn w:val="1"/>
    <w:next w:val="1"/>
    <w:qFormat/>
    <w:uiPriority w:val="99"/>
    <w:pPr>
      <w:tabs>
        <w:tab w:val="right" w:leader="dot" w:pos="8296"/>
      </w:tabs>
      <w:ind w:left="420" w:leftChars="200"/>
    </w:pPr>
  </w:style>
  <w:style w:type="paragraph" w:styleId="12">
    <w:name w:val="Normal (Web)"/>
    <w:basedOn w:val="1"/>
    <w:semiHidden/>
    <w:qFormat/>
    <w:uiPriority w:val="99"/>
    <w:pPr>
      <w:spacing w:beforeAutospacing="1" w:afterAutospacing="1"/>
      <w:jc w:val="left"/>
    </w:pPr>
    <w:rPr>
      <w:kern w:val="0"/>
      <w:sz w:val="24"/>
    </w:rPr>
  </w:style>
  <w:style w:type="character" w:styleId="14">
    <w:name w:val="Strong"/>
    <w:basedOn w:val="13"/>
    <w:qFormat/>
    <w:uiPriority w:val="99"/>
    <w:rPr>
      <w:rFonts w:cs="Times New Roman"/>
      <w:b/>
    </w:rPr>
  </w:style>
  <w:style w:type="character" w:styleId="15">
    <w:name w:val="page number"/>
    <w:basedOn w:val="13"/>
    <w:qFormat/>
    <w:locked/>
    <w:uiPriority w:val="99"/>
    <w:rPr>
      <w:rFonts w:cs="Times New Roman"/>
    </w:rPr>
  </w:style>
  <w:style w:type="character" w:styleId="16">
    <w:name w:val="FollowedHyperlink"/>
    <w:basedOn w:val="13"/>
    <w:semiHidden/>
    <w:qFormat/>
    <w:uiPriority w:val="99"/>
    <w:rPr>
      <w:rFonts w:cs="Times New Roman"/>
      <w:color w:val="800080"/>
      <w:u w:val="none"/>
    </w:rPr>
  </w:style>
  <w:style w:type="character" w:styleId="17">
    <w:name w:val="Emphasis"/>
    <w:basedOn w:val="13"/>
    <w:qFormat/>
    <w:uiPriority w:val="99"/>
    <w:rPr>
      <w:rFonts w:cs="Times New Roman"/>
    </w:rPr>
  </w:style>
  <w:style w:type="character" w:styleId="18">
    <w:name w:val="Hyperlink"/>
    <w:basedOn w:val="13"/>
    <w:qFormat/>
    <w:uiPriority w:val="99"/>
    <w:rPr>
      <w:rFonts w:cs="Times New Roman"/>
      <w:color w:val="0000FF"/>
      <w:u w:val="single"/>
    </w:rPr>
  </w:style>
  <w:style w:type="character" w:styleId="19">
    <w:name w:val="HTML Code"/>
    <w:basedOn w:val="13"/>
    <w:semiHidden/>
    <w:qFormat/>
    <w:uiPriority w:val="99"/>
    <w:rPr>
      <w:rFonts w:ascii="Courier New" w:hAnsi="Courier New" w:cs="Times New Roman"/>
      <w:sz w:val="20"/>
    </w:rPr>
  </w:style>
  <w:style w:type="table" w:styleId="21">
    <w:name w:val="Table Grid"/>
    <w:basedOn w:val="20"/>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22">
    <w:name w:val="Heading 1 Char"/>
    <w:basedOn w:val="13"/>
    <w:link w:val="2"/>
    <w:qFormat/>
    <w:locked/>
    <w:uiPriority w:val="99"/>
    <w:rPr>
      <w:rFonts w:ascii="Times New Roman" w:hAnsi="Times New Roman" w:cs="Times New Roman"/>
      <w:b/>
      <w:bCs/>
      <w:kern w:val="44"/>
      <w:sz w:val="44"/>
      <w:szCs w:val="44"/>
    </w:rPr>
  </w:style>
  <w:style w:type="character" w:customStyle="1" w:styleId="23">
    <w:name w:val="Heading 2 Char"/>
    <w:basedOn w:val="13"/>
    <w:link w:val="3"/>
    <w:qFormat/>
    <w:locked/>
    <w:uiPriority w:val="99"/>
    <w:rPr>
      <w:rFonts w:ascii="Cambria" w:hAnsi="Cambria" w:eastAsia="宋体" w:cs="Times New Roman"/>
      <w:b/>
      <w:bCs/>
      <w:kern w:val="2"/>
      <w:sz w:val="32"/>
      <w:szCs w:val="32"/>
    </w:rPr>
  </w:style>
  <w:style w:type="character" w:customStyle="1" w:styleId="24">
    <w:name w:val="Heading 3 Char"/>
    <w:basedOn w:val="13"/>
    <w:link w:val="4"/>
    <w:qFormat/>
    <w:locked/>
    <w:uiPriority w:val="99"/>
    <w:rPr>
      <w:rFonts w:ascii="Times New Roman" w:hAnsi="Times New Roman" w:cs="Times New Roman"/>
      <w:b/>
      <w:bCs/>
      <w:kern w:val="2"/>
      <w:sz w:val="32"/>
      <w:szCs w:val="32"/>
    </w:rPr>
  </w:style>
  <w:style w:type="character" w:customStyle="1" w:styleId="25">
    <w:name w:val="Body Text Char"/>
    <w:basedOn w:val="13"/>
    <w:link w:val="5"/>
    <w:semiHidden/>
    <w:qFormat/>
    <w:locked/>
    <w:uiPriority w:val="99"/>
    <w:rPr>
      <w:rFonts w:ascii="Times New Roman" w:hAnsi="Times New Roman" w:cs="Times New Roman"/>
      <w:sz w:val="24"/>
      <w:szCs w:val="24"/>
    </w:rPr>
  </w:style>
  <w:style w:type="character" w:customStyle="1" w:styleId="26">
    <w:name w:val="Balloon Text Char"/>
    <w:basedOn w:val="13"/>
    <w:link w:val="7"/>
    <w:semiHidden/>
    <w:qFormat/>
    <w:locked/>
    <w:uiPriority w:val="99"/>
    <w:rPr>
      <w:rFonts w:ascii="Times New Roman" w:hAnsi="Times New Roman" w:cs="Times New Roman"/>
      <w:kern w:val="2"/>
      <w:sz w:val="18"/>
      <w:szCs w:val="18"/>
    </w:rPr>
  </w:style>
  <w:style w:type="character" w:customStyle="1" w:styleId="27">
    <w:name w:val="Footer Char"/>
    <w:basedOn w:val="13"/>
    <w:link w:val="8"/>
    <w:semiHidden/>
    <w:qFormat/>
    <w:locked/>
    <w:uiPriority w:val="99"/>
    <w:rPr>
      <w:rFonts w:ascii="Times New Roman" w:hAnsi="Times New Roman" w:cs="Times New Roman"/>
      <w:sz w:val="18"/>
      <w:szCs w:val="18"/>
    </w:rPr>
  </w:style>
  <w:style w:type="character" w:customStyle="1" w:styleId="28">
    <w:name w:val="Header Char"/>
    <w:basedOn w:val="13"/>
    <w:link w:val="9"/>
    <w:semiHidden/>
    <w:qFormat/>
    <w:locked/>
    <w:uiPriority w:val="99"/>
    <w:rPr>
      <w:rFonts w:ascii="Times New Roman" w:hAnsi="Times New Roman" w:cs="Times New Roman"/>
      <w:sz w:val="18"/>
      <w:szCs w:val="18"/>
    </w:rPr>
  </w:style>
  <w:style w:type="character" w:customStyle="1" w:styleId="29">
    <w:name w:val="Header Char1"/>
    <w:link w:val="9"/>
    <w:semiHidden/>
    <w:qFormat/>
    <w:locked/>
    <w:uiPriority w:val="99"/>
    <w:rPr>
      <w:sz w:val="18"/>
    </w:rPr>
  </w:style>
  <w:style w:type="character" w:customStyle="1" w:styleId="30">
    <w:name w:val="Footer Char1"/>
    <w:link w:val="8"/>
    <w:qFormat/>
    <w:locked/>
    <w:uiPriority w:val="99"/>
    <w:rPr>
      <w:sz w:val="18"/>
    </w:rPr>
  </w:style>
  <w:style w:type="character" w:customStyle="1" w:styleId="31">
    <w:name w:val="Body Text Char1"/>
    <w:link w:val="5"/>
    <w:qFormat/>
    <w:locked/>
    <w:uiPriority w:val="99"/>
    <w:rPr>
      <w:rFonts w:ascii="??_GB2312" w:hAnsi="Times New Roman" w:eastAsia="Times New Roman"/>
      <w:sz w:val="24"/>
    </w:rPr>
  </w:style>
  <w:style w:type="paragraph" w:customStyle="1" w:styleId="32">
    <w:name w:val="Default"/>
    <w:qFormat/>
    <w:uiPriority w:val="99"/>
    <w:pPr>
      <w:widowControl w:val="0"/>
      <w:autoSpaceDE w:val="0"/>
      <w:autoSpaceDN w:val="0"/>
      <w:adjustRightInd w:val="0"/>
    </w:pPr>
    <w:rPr>
      <w:rFonts w:ascii="仿宋" w:hAnsi="Calibri" w:eastAsia="仿宋" w:cs="仿宋"/>
      <w:color w:val="000000"/>
      <w:kern w:val="0"/>
      <w:sz w:val="24"/>
      <w:szCs w:val="24"/>
      <w:lang w:val="en-US" w:eastAsia="zh-CN" w:bidi="ar-SA"/>
    </w:rPr>
  </w:style>
  <w:style w:type="paragraph" w:styleId="33">
    <w:name w:val="List Paragraph"/>
    <w:basedOn w:val="1"/>
    <w:qFormat/>
    <w:uiPriority w:val="99"/>
    <w:pPr>
      <w:ind w:firstLine="420" w:firstLineChars="200"/>
    </w:pPr>
  </w:style>
  <w:style w:type="paragraph" w:customStyle="1" w:styleId="34">
    <w:name w:val="TOC Heading1"/>
    <w:basedOn w:val="2"/>
    <w:next w:val="1"/>
    <w:qFormat/>
    <w:uiPriority w:val="99"/>
    <w:pPr>
      <w:widowControl/>
      <w:spacing w:before="480" w:after="0" w:line="276" w:lineRule="auto"/>
      <w:jc w:val="left"/>
      <w:outlineLvl w:val="9"/>
    </w:pPr>
    <w:rPr>
      <w:rFonts w:ascii="Cambria" w:hAnsi="Cambria"/>
      <w:color w:val="365F91"/>
      <w:kern w:val="0"/>
      <w:sz w:val="28"/>
      <w:szCs w:val="28"/>
    </w:rPr>
  </w:style>
  <w:style w:type="character" w:customStyle="1" w:styleId="35">
    <w:name w:val="time"/>
    <w:basedOn w:val="13"/>
    <w:qFormat/>
    <w:uiPriority w:val="99"/>
    <w:rPr>
      <w:rFonts w:ascii="Arial" w:hAnsi="Arial" w:cs="Arial"/>
      <w:color w:val="FFFFFF"/>
      <w:sz w:val="15"/>
      <w:szCs w:val="15"/>
    </w:rPr>
  </w:style>
  <w:style w:type="paragraph" w:customStyle="1" w:styleId="36">
    <w:name w:val="List Paragraph1"/>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8" textRotate="1"/>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四川省财政厅</Company>
  <Pages>22</Pages>
  <Words>1731</Words>
  <Characters>9867</Characters>
  <Lines>0</Lines>
  <Paragraphs>0</Paragraphs>
  <TotalTime>2</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2019-08-01T01:14:00Z</dcterms:created>
  <dc:creator>张彬茜</dc:creator>
  <cp:lastModifiedBy>财务科:徐泽涛</cp:lastModifiedBy>
  <cp:lastPrinted>2019-09-24T07:03:00Z</cp:lastPrinted>
  <dcterms:modified xsi:type="dcterms:W3CDTF">2019-09-27T02:39:00Z</dcterms:modified>
  <dc:title>四川省***</dc:title>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