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color w:val="000000"/>
          <w:sz w:val="32"/>
          <w:szCs w:val="32"/>
        </w:rPr>
      </w:pPr>
      <w:bookmarkStart w:id="0" w:name="_Toc15306267"/>
    </w:p>
    <w:p>
      <w:pPr>
        <w:spacing w:line="600" w:lineRule="exact"/>
        <w:outlineLvl w:val="0"/>
        <w:rPr>
          <w:rFonts w:ascii="方正小标宋简体" w:hAnsi="宋体" w:eastAsia="方正小标宋简体"/>
          <w:color w:val="000000"/>
          <w:sz w:val="32"/>
          <w:szCs w:val="32"/>
        </w:rPr>
      </w:pPr>
    </w:p>
    <w:p>
      <w:pPr>
        <w:spacing w:line="600" w:lineRule="exact"/>
        <w:outlineLvl w:val="0"/>
        <w:rPr>
          <w:rFonts w:ascii="方正小标宋简体" w:hAnsi="宋体" w:eastAsia="方正小标宋简体"/>
          <w:color w:val="000000"/>
          <w:sz w:val="32"/>
          <w:szCs w:val="32"/>
        </w:rPr>
      </w:pPr>
    </w:p>
    <w:p>
      <w:pPr>
        <w:adjustRightInd w:val="0"/>
        <w:snapToGrid w:val="0"/>
        <w:spacing w:line="360" w:lineRule="auto"/>
        <w:jc w:val="center"/>
        <w:outlineLvl w:val="0"/>
        <w:rPr>
          <w:rFonts w:ascii="黑体" w:hAnsi="宋体" w:eastAsia="黑体"/>
          <w:color w:val="000000"/>
          <w:sz w:val="72"/>
          <w:szCs w:val="72"/>
        </w:rPr>
      </w:pPr>
      <w:bookmarkStart w:id="1" w:name="_Toc15396597"/>
      <w:bookmarkStart w:id="2" w:name="_Toc15378441"/>
      <w:bookmarkStart w:id="3" w:name="_Toc15396475"/>
      <w:bookmarkStart w:id="4" w:name="_Toc15377425"/>
      <w:bookmarkStart w:id="5" w:name="_Toc15377193"/>
      <w:r>
        <w:rPr>
          <w:rFonts w:ascii="黑体" w:hAnsi="宋体" w:eastAsia="黑体"/>
          <w:color w:val="000000"/>
          <w:sz w:val="72"/>
          <w:szCs w:val="72"/>
        </w:rPr>
        <w:t>2018</w:t>
      </w:r>
      <w:r>
        <w:rPr>
          <w:rFonts w:hint="eastAsia" w:ascii="黑体" w:hAnsi="宋体" w:eastAsia="黑体"/>
          <w:color w:val="000000"/>
          <w:sz w:val="72"/>
          <w:szCs w:val="72"/>
        </w:rPr>
        <w:t>年度</w:t>
      </w:r>
      <w:bookmarkEnd w:id="1"/>
      <w:bookmarkEnd w:id="2"/>
      <w:bookmarkEnd w:id="3"/>
      <w:bookmarkEnd w:id="4"/>
      <w:bookmarkEnd w:id="5"/>
    </w:p>
    <w:p>
      <w:pPr>
        <w:adjustRightInd w:val="0"/>
        <w:snapToGrid w:val="0"/>
        <w:spacing w:line="360" w:lineRule="auto"/>
        <w:jc w:val="center"/>
        <w:outlineLvl w:val="0"/>
        <w:rPr>
          <w:rFonts w:ascii="黑体" w:hAnsi="宋体" w:eastAsia="黑体"/>
          <w:color w:val="000000"/>
          <w:sz w:val="52"/>
          <w:szCs w:val="52"/>
        </w:rPr>
      </w:pPr>
      <w:bookmarkStart w:id="6" w:name="_Toc15378442"/>
      <w:bookmarkStart w:id="7" w:name="_Toc15377426"/>
      <w:bookmarkStart w:id="8" w:name="_Toc15377194"/>
      <w:bookmarkStart w:id="9" w:name="_Toc15396476"/>
      <w:bookmarkStart w:id="10" w:name="_Toc15396598"/>
      <w:r>
        <w:rPr>
          <w:rFonts w:hint="eastAsia" w:ascii="黑体" w:hAnsi="宋体" w:eastAsia="黑体"/>
          <w:color w:val="000000"/>
          <w:sz w:val="52"/>
          <w:szCs w:val="52"/>
        </w:rPr>
        <w:t>四川省广元市</w:t>
      </w:r>
      <w:bookmarkEnd w:id="0"/>
      <w:bookmarkStart w:id="11" w:name="_Toc15306268"/>
      <w:r>
        <w:rPr>
          <w:rFonts w:hint="eastAsia" w:ascii="黑体" w:hAnsi="宋体" w:eastAsia="黑体"/>
          <w:color w:val="000000"/>
          <w:sz w:val="52"/>
          <w:szCs w:val="52"/>
          <w:lang w:eastAsia="zh-CN"/>
        </w:rPr>
        <w:t>质量</w:t>
      </w:r>
      <w:r>
        <w:rPr>
          <w:rFonts w:hint="eastAsia" w:ascii="黑体" w:hAnsi="宋体" w:eastAsia="黑体"/>
          <w:color w:val="000000"/>
          <w:sz w:val="52"/>
          <w:szCs w:val="52"/>
        </w:rPr>
        <w:t>技术监督局决算</w:t>
      </w:r>
      <w:bookmarkEnd w:id="6"/>
      <w:bookmarkEnd w:id="7"/>
      <w:bookmarkEnd w:id="8"/>
      <w:bookmarkEnd w:id="9"/>
      <w:bookmarkEnd w:id="10"/>
      <w:bookmarkEnd w:id="11"/>
    </w:p>
    <w:p>
      <w:pPr>
        <w:adjustRightInd w:val="0"/>
        <w:snapToGrid w:val="0"/>
        <w:spacing w:line="360" w:lineRule="auto"/>
        <w:jc w:val="center"/>
        <w:outlineLvl w:val="0"/>
        <w:rPr>
          <w:rFonts w:ascii="黑体" w:hAnsi="宋体" w:eastAsia="黑体"/>
          <w:color w:val="000000"/>
          <w:sz w:val="72"/>
          <w:szCs w:val="72"/>
        </w:rPr>
      </w:pPr>
    </w:p>
    <w:p>
      <w:pPr>
        <w:adjustRightInd w:val="0"/>
        <w:snapToGrid w:val="0"/>
        <w:jc w:val="center"/>
        <w:outlineLvl w:val="0"/>
        <w:rPr>
          <w:rFonts w:ascii="黑体" w:hAnsi="宋体" w:eastAsia="黑体"/>
          <w:color w:val="000000"/>
          <w:sz w:val="72"/>
          <w:szCs w:val="72"/>
        </w:rPr>
      </w:pPr>
      <w:r>
        <w:rPr>
          <w:rFonts w:hint="eastAsia" w:ascii="黑体" w:hAnsi="宋体" w:eastAsia="黑体"/>
          <w:color w:val="000000"/>
          <w:sz w:val="72"/>
          <w:szCs w:val="72"/>
        </w:rPr>
        <w:t>编</w:t>
      </w:r>
    </w:p>
    <w:p>
      <w:pPr>
        <w:adjustRightInd w:val="0"/>
        <w:snapToGrid w:val="0"/>
        <w:jc w:val="center"/>
        <w:outlineLvl w:val="0"/>
        <w:rPr>
          <w:rFonts w:ascii="黑体" w:hAnsi="宋体" w:eastAsia="黑体"/>
          <w:color w:val="000000"/>
          <w:sz w:val="72"/>
          <w:szCs w:val="72"/>
        </w:rPr>
      </w:pPr>
    </w:p>
    <w:p>
      <w:pPr>
        <w:adjustRightInd w:val="0"/>
        <w:snapToGrid w:val="0"/>
        <w:jc w:val="center"/>
        <w:outlineLvl w:val="0"/>
        <w:rPr>
          <w:rFonts w:ascii="黑体" w:hAnsi="宋体" w:eastAsia="黑体"/>
          <w:color w:val="000000"/>
          <w:sz w:val="72"/>
          <w:szCs w:val="72"/>
        </w:rPr>
      </w:pPr>
      <w:r>
        <w:rPr>
          <w:rFonts w:hint="eastAsia" w:ascii="黑体" w:hAnsi="宋体" w:eastAsia="黑体"/>
          <w:color w:val="000000"/>
          <w:sz w:val="72"/>
          <w:szCs w:val="72"/>
        </w:rPr>
        <w:t>制</w:t>
      </w:r>
    </w:p>
    <w:p>
      <w:pPr>
        <w:adjustRightInd w:val="0"/>
        <w:snapToGrid w:val="0"/>
        <w:jc w:val="center"/>
        <w:outlineLvl w:val="0"/>
        <w:rPr>
          <w:rFonts w:ascii="黑体" w:hAnsi="宋体" w:eastAsia="黑体"/>
          <w:color w:val="000000"/>
          <w:sz w:val="72"/>
          <w:szCs w:val="72"/>
        </w:rPr>
      </w:pPr>
    </w:p>
    <w:p>
      <w:pPr>
        <w:adjustRightInd w:val="0"/>
        <w:snapToGrid w:val="0"/>
        <w:jc w:val="center"/>
        <w:outlineLvl w:val="0"/>
        <w:rPr>
          <w:rFonts w:ascii="黑体" w:hAnsi="宋体" w:eastAsia="黑体"/>
          <w:color w:val="000000"/>
          <w:sz w:val="72"/>
          <w:szCs w:val="72"/>
        </w:rPr>
      </w:pPr>
      <w:r>
        <w:rPr>
          <w:rFonts w:hint="eastAsia" w:ascii="黑体" w:hAnsi="宋体" w:eastAsia="黑体"/>
          <w:color w:val="000000"/>
          <w:sz w:val="72"/>
          <w:szCs w:val="72"/>
        </w:rPr>
        <w:t>说</w:t>
      </w:r>
    </w:p>
    <w:p>
      <w:pPr>
        <w:adjustRightInd w:val="0"/>
        <w:snapToGrid w:val="0"/>
        <w:jc w:val="center"/>
        <w:outlineLvl w:val="0"/>
        <w:rPr>
          <w:rFonts w:ascii="黑体" w:hAnsi="宋体" w:eastAsia="黑体"/>
          <w:color w:val="000000"/>
          <w:sz w:val="72"/>
          <w:szCs w:val="72"/>
        </w:rPr>
      </w:pPr>
    </w:p>
    <w:p>
      <w:pPr>
        <w:adjustRightInd w:val="0"/>
        <w:snapToGrid w:val="0"/>
        <w:jc w:val="center"/>
        <w:outlineLvl w:val="0"/>
        <w:rPr>
          <w:rFonts w:ascii="黑体" w:hAnsi="宋体" w:eastAsia="黑体"/>
          <w:color w:val="000000"/>
          <w:sz w:val="72"/>
          <w:szCs w:val="72"/>
        </w:rPr>
      </w:pPr>
      <w:r>
        <w:rPr>
          <w:rFonts w:hint="eastAsia" w:ascii="黑体" w:hAnsi="宋体" w:eastAsia="黑体"/>
          <w:color w:val="000000"/>
          <w:sz w:val="72"/>
          <w:szCs w:val="72"/>
        </w:rPr>
        <w:t>明</w:t>
      </w:r>
    </w:p>
    <w:p>
      <w:pPr>
        <w:widowControl/>
        <w:jc w:val="center"/>
        <w:rPr>
          <w:rFonts w:ascii="黑体" w:hAnsi="黑体" w:eastAsia="黑体"/>
          <w:b/>
          <w:color w:val="000000"/>
          <w:sz w:val="36"/>
          <w:szCs w:val="36"/>
        </w:rPr>
      </w:pPr>
      <w:r>
        <w:rPr>
          <w:rFonts w:ascii="方正小标宋简体" w:hAnsi="宋体" w:eastAsia="方正小标宋简体"/>
          <w:color w:val="000000"/>
          <w:sz w:val="32"/>
          <w:szCs w:val="32"/>
        </w:rPr>
        <w:br w:type="page"/>
      </w:r>
      <w:r>
        <w:rPr>
          <w:rFonts w:hint="eastAsia" w:ascii="黑体" w:hAnsi="黑体" w:eastAsia="黑体"/>
          <w:b/>
          <w:color w:val="000000"/>
          <w:sz w:val="36"/>
          <w:szCs w:val="36"/>
        </w:rPr>
        <w:t>目</w:t>
      </w:r>
      <w:r>
        <w:rPr>
          <w:rFonts w:ascii="黑体" w:hAnsi="黑体" w:eastAsia="黑体"/>
          <w:b/>
          <w:color w:val="000000"/>
          <w:sz w:val="36"/>
          <w:szCs w:val="36"/>
        </w:rPr>
        <w:t xml:space="preserve">  </w:t>
      </w:r>
      <w:r>
        <w:rPr>
          <w:rFonts w:hint="eastAsia" w:ascii="黑体" w:hAnsi="黑体" w:eastAsia="黑体"/>
          <w:b/>
          <w:color w:val="000000"/>
          <w:sz w:val="36"/>
          <w:szCs w:val="36"/>
        </w:rPr>
        <w:t>录</w:t>
      </w:r>
    </w:p>
    <w:p>
      <w:pPr>
        <w:widowControl/>
        <w:jc w:val="center"/>
        <w:rPr>
          <w:rFonts w:ascii="仿宋_GB2312" w:hAnsi="黑体" w:eastAsia="仿宋_GB2312"/>
          <w:sz w:val="32"/>
          <w:szCs w:val="32"/>
        </w:rPr>
      </w:pPr>
      <w:r>
        <w:rPr>
          <w:rFonts w:ascii="仿宋_GB2312" w:hAnsi="黑体" w:eastAsia="仿宋_GB2312"/>
          <w:color w:val="000000"/>
          <w:sz w:val="32"/>
          <w:szCs w:val="32"/>
        </w:rPr>
        <w:fldChar w:fldCharType="begin"/>
      </w:r>
      <w:r>
        <w:rPr>
          <w:rFonts w:ascii="仿宋_GB2312" w:hAnsi="黑体" w:eastAsia="仿宋_GB2312"/>
          <w:color w:val="000000"/>
          <w:sz w:val="32"/>
          <w:szCs w:val="32"/>
        </w:rPr>
        <w:instrText xml:space="preserve"> TOC \o "1-2" \h \z \u </w:instrText>
      </w:r>
      <w:r>
        <w:rPr>
          <w:rFonts w:ascii="仿宋_GB2312" w:hAnsi="黑体" w:eastAsia="仿宋_GB2312"/>
          <w:color w:val="000000"/>
          <w:sz w:val="32"/>
          <w:szCs w:val="32"/>
        </w:rPr>
        <w:fldChar w:fldCharType="separate"/>
      </w:r>
    </w:p>
    <w:p>
      <w:pPr>
        <w:pStyle w:val="10"/>
        <w:rPr>
          <w:rFonts w:ascii="仿宋_GB2312" w:eastAsia="仿宋_GB2312"/>
          <w:sz w:val="32"/>
          <w:szCs w:val="32"/>
        </w:rPr>
      </w:pPr>
      <w:r>
        <w:rPr>
          <w:rFonts w:hint="eastAsia" w:ascii="仿宋_GB2312" w:eastAsia="仿宋_GB2312"/>
          <w:sz w:val="32"/>
          <w:szCs w:val="32"/>
        </w:rPr>
        <w:t>公开时间：</w:t>
      </w:r>
      <w:r>
        <w:rPr>
          <w:rFonts w:ascii="仿宋_GB2312" w:eastAsia="仿宋_GB2312"/>
          <w:sz w:val="32"/>
          <w:szCs w:val="32"/>
        </w:rPr>
        <w:t>2019</w:t>
      </w:r>
      <w:r>
        <w:rPr>
          <w:rFonts w:hint="eastAsia" w:ascii="仿宋_GB2312" w:eastAsia="仿宋_GB2312"/>
          <w:sz w:val="32"/>
          <w:szCs w:val="32"/>
        </w:rPr>
        <w:t>年</w:t>
      </w:r>
      <w:r>
        <w:rPr>
          <w:rFonts w:ascii="仿宋_GB2312" w:eastAsia="仿宋_GB2312"/>
          <w:sz w:val="32"/>
          <w:szCs w:val="32"/>
        </w:rPr>
        <w:t>9</w:t>
      </w:r>
      <w:r>
        <w:rPr>
          <w:rFonts w:hint="eastAsia" w:ascii="仿宋_GB2312" w:eastAsia="仿宋_GB2312"/>
          <w:sz w:val="32"/>
          <w:szCs w:val="32"/>
        </w:rPr>
        <w:t>月</w:t>
      </w:r>
      <w:r>
        <w:rPr>
          <w:rFonts w:hint="eastAsia" w:ascii="仿宋_GB2312" w:eastAsia="仿宋_GB2312"/>
          <w:sz w:val="32"/>
          <w:szCs w:val="32"/>
          <w:lang w:val="en-US" w:eastAsia="zh-CN"/>
        </w:rPr>
        <w:t>26</w:t>
      </w:r>
      <w:r>
        <w:rPr>
          <w:rFonts w:hint="eastAsia" w:ascii="仿宋_GB2312" w:eastAsia="仿宋_GB2312"/>
          <w:sz w:val="32"/>
          <w:szCs w:val="32"/>
        </w:rPr>
        <w:t>日</w:t>
      </w:r>
    </w:p>
    <w:p>
      <w:pPr>
        <w:rPr>
          <w:rFonts w:ascii="仿宋_GB2312" w:eastAsia="仿宋_GB2312"/>
          <w:sz w:val="32"/>
          <w:szCs w:val="32"/>
        </w:rPr>
      </w:pPr>
    </w:p>
    <w:p>
      <w:pPr>
        <w:pStyle w:val="10"/>
        <w:rPr>
          <w:rFonts w:ascii="仿宋_GB2312" w:eastAsia="仿宋_GB2312"/>
          <w:sz w:val="32"/>
          <w:szCs w:val="32"/>
        </w:rPr>
      </w:pPr>
      <w:r>
        <w:fldChar w:fldCharType="begin"/>
      </w:r>
      <w:r>
        <w:instrText xml:space="preserve"> HYPERLINK \l "_Toc15396599" </w:instrText>
      </w:r>
      <w:r>
        <w:fldChar w:fldCharType="separate"/>
      </w:r>
      <w:r>
        <w:rPr>
          <w:rStyle w:val="15"/>
          <w:rFonts w:hint="eastAsia" w:ascii="仿宋_GB2312" w:eastAsia="仿宋_GB2312"/>
          <w:sz w:val="32"/>
          <w:szCs w:val="32"/>
        </w:rPr>
        <w:t>第一部分部门概况</w:t>
      </w:r>
      <w:r>
        <w:rPr>
          <w:rFonts w:ascii="仿宋_GB2312" w:eastAsia="仿宋_GB2312"/>
          <w:sz w:val="32"/>
          <w:szCs w:val="32"/>
        </w:rPr>
        <w:tab/>
      </w:r>
      <w:r>
        <w:rPr>
          <w:rFonts w:ascii="仿宋_GB2312" w:eastAsia="仿宋_GB2312"/>
          <w:sz w:val="32"/>
          <w:szCs w:val="32"/>
        </w:rPr>
        <w:t>4</w:t>
      </w:r>
      <w:r>
        <w:rPr>
          <w:rFonts w:ascii="仿宋_GB2312" w:eastAsia="仿宋_GB2312"/>
          <w:sz w:val="32"/>
          <w:szCs w:val="32"/>
        </w:rPr>
        <w:fldChar w:fldCharType="end"/>
      </w:r>
    </w:p>
    <w:p>
      <w:pPr>
        <w:pStyle w:val="11"/>
        <w:ind w:left="31680"/>
        <w:rPr>
          <w:rFonts w:ascii="仿宋_GB2312" w:hAnsi="仿宋" w:eastAsia="仿宋_GB2312"/>
          <w:sz w:val="32"/>
          <w:szCs w:val="32"/>
        </w:rPr>
      </w:pPr>
      <w:r>
        <w:fldChar w:fldCharType="begin"/>
      </w:r>
      <w:r>
        <w:instrText xml:space="preserve"> HYPERLINK \l "_Toc15396600" </w:instrText>
      </w:r>
      <w:r>
        <w:fldChar w:fldCharType="separate"/>
      </w:r>
      <w:r>
        <w:rPr>
          <w:rStyle w:val="15"/>
          <w:rFonts w:hint="eastAsia" w:ascii="仿宋_GB2312" w:hAnsi="仿宋" w:eastAsia="仿宋_GB2312"/>
          <w:sz w:val="32"/>
          <w:szCs w:val="32"/>
        </w:rPr>
        <w:t>一、基本职能及主要工作</w:t>
      </w:r>
      <w:r>
        <w:rPr>
          <w:rFonts w:ascii="仿宋_GB2312" w:hAnsi="仿宋" w:eastAsia="仿宋_GB2312"/>
          <w:sz w:val="32"/>
          <w:szCs w:val="32"/>
        </w:rPr>
        <w:tab/>
      </w:r>
      <w:r>
        <w:rPr>
          <w:rFonts w:ascii="仿宋_GB2312" w:hAnsi="仿宋" w:eastAsia="仿宋_GB2312"/>
          <w:sz w:val="32"/>
          <w:szCs w:val="32"/>
        </w:rPr>
        <w:t>4</w:t>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fldChar w:fldCharType="begin"/>
      </w:r>
      <w:r>
        <w:instrText xml:space="preserve"> HYPERLINK \l "_Toc15396601" </w:instrText>
      </w:r>
      <w:r>
        <w:fldChar w:fldCharType="separate"/>
      </w:r>
      <w:r>
        <w:rPr>
          <w:rStyle w:val="15"/>
          <w:rFonts w:hint="eastAsia" w:ascii="仿宋_GB2312" w:hAnsi="仿宋" w:eastAsia="仿宋_GB2312"/>
          <w:sz w:val="32"/>
          <w:szCs w:val="32"/>
        </w:rPr>
        <w:t>二、机构设置</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_Toc15396601 \h </w:instrText>
      </w:r>
      <w:r>
        <w:rPr>
          <w:rFonts w:ascii="仿宋_GB2312" w:hAnsi="仿宋" w:eastAsia="仿宋_GB2312"/>
          <w:sz w:val="32"/>
          <w:szCs w:val="32"/>
        </w:rPr>
        <w:fldChar w:fldCharType="separate"/>
      </w:r>
      <w:r>
        <w:rPr>
          <w:rFonts w:ascii="仿宋_GB2312" w:hAnsi="仿宋" w:eastAsia="仿宋_GB2312"/>
          <w:sz w:val="32"/>
          <w:szCs w:val="32"/>
        </w:rPr>
        <w:t>10</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0"/>
        <w:rPr>
          <w:rFonts w:ascii="仿宋_GB2312" w:eastAsia="仿宋_GB2312"/>
          <w:sz w:val="32"/>
          <w:szCs w:val="32"/>
        </w:rPr>
      </w:pPr>
      <w:r>
        <w:fldChar w:fldCharType="begin"/>
      </w:r>
      <w:r>
        <w:instrText xml:space="preserve"> HYPERLINK \l "_Toc15396602" </w:instrText>
      </w:r>
      <w:r>
        <w:fldChar w:fldCharType="separate"/>
      </w:r>
      <w:r>
        <w:rPr>
          <w:rStyle w:val="15"/>
          <w:rFonts w:hint="eastAsia" w:ascii="仿宋_GB2312" w:eastAsia="仿宋_GB2312"/>
          <w:sz w:val="32"/>
          <w:szCs w:val="32"/>
        </w:rPr>
        <w:t>第二部分</w:t>
      </w:r>
      <w:r>
        <w:rPr>
          <w:rStyle w:val="15"/>
          <w:rFonts w:ascii="仿宋_GB2312" w:eastAsia="仿宋_GB2312"/>
          <w:sz w:val="32"/>
          <w:szCs w:val="32"/>
        </w:rPr>
        <w:t xml:space="preserve"> 2018</w:t>
      </w:r>
      <w:r>
        <w:rPr>
          <w:rStyle w:val="15"/>
          <w:rFonts w:hint="eastAsia" w:ascii="仿宋_GB2312" w:eastAsia="仿宋_GB2312"/>
          <w:sz w:val="32"/>
          <w:szCs w:val="32"/>
        </w:rPr>
        <w:t>年度部门决算情况说明</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_Toc15396602 \h </w:instrText>
      </w:r>
      <w:r>
        <w:rPr>
          <w:rFonts w:ascii="仿宋_GB2312" w:eastAsia="仿宋_GB2312"/>
          <w:sz w:val="32"/>
          <w:szCs w:val="32"/>
        </w:rPr>
        <w:fldChar w:fldCharType="separate"/>
      </w:r>
      <w:r>
        <w:rPr>
          <w:rFonts w:ascii="仿宋_GB2312" w:eastAsia="仿宋_GB2312"/>
          <w:sz w:val="32"/>
          <w:szCs w:val="32"/>
        </w:rPr>
        <w:t>11</w:t>
      </w:r>
      <w:r>
        <w:rPr>
          <w:rFonts w:ascii="仿宋_GB2312" w:eastAsia="仿宋_GB2312"/>
          <w:sz w:val="32"/>
          <w:szCs w:val="32"/>
        </w:rPr>
        <w:fldChar w:fldCharType="end"/>
      </w:r>
      <w:r>
        <w:rPr>
          <w:rFonts w:ascii="仿宋_GB2312" w:eastAsia="仿宋_GB2312"/>
          <w:sz w:val="32"/>
          <w:szCs w:val="32"/>
        </w:rPr>
        <w:fldChar w:fldCharType="end"/>
      </w:r>
    </w:p>
    <w:p>
      <w:pPr>
        <w:pStyle w:val="11"/>
        <w:ind w:left="31680"/>
        <w:rPr>
          <w:rFonts w:ascii="仿宋_GB2312" w:hAnsi="仿宋" w:eastAsia="仿宋_GB2312"/>
          <w:sz w:val="32"/>
          <w:szCs w:val="32"/>
        </w:rPr>
      </w:pPr>
      <w:r>
        <w:fldChar w:fldCharType="begin"/>
      </w:r>
      <w:r>
        <w:instrText xml:space="preserve"> HYPERLINK \l "_Toc15396603" </w:instrText>
      </w:r>
      <w:r>
        <w:fldChar w:fldCharType="separate"/>
      </w:r>
      <w:r>
        <w:rPr>
          <w:rStyle w:val="15"/>
          <w:rFonts w:hint="eastAsia" w:ascii="仿宋_GB2312" w:hAnsi="仿宋" w:eastAsia="仿宋_GB2312"/>
          <w:bCs/>
          <w:sz w:val="32"/>
          <w:szCs w:val="32"/>
        </w:rPr>
        <w:t>一、</w:t>
      </w:r>
      <w:r>
        <w:rPr>
          <w:rStyle w:val="15"/>
          <w:rFonts w:hint="eastAsia" w:ascii="仿宋_GB2312" w:hAnsi="仿宋" w:eastAsia="仿宋_GB2312"/>
          <w:sz w:val="32"/>
          <w:szCs w:val="32"/>
        </w:rPr>
        <w:t>收</w:t>
      </w:r>
      <w:r>
        <w:rPr>
          <w:rStyle w:val="15"/>
          <w:rFonts w:hint="eastAsia" w:ascii="仿宋_GB2312" w:hAnsi="仿宋" w:eastAsia="仿宋_GB2312"/>
          <w:bCs/>
          <w:sz w:val="32"/>
          <w:szCs w:val="32"/>
        </w:rPr>
        <w:t>入支出决算总体情况说明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_Toc15396603 \h </w:instrText>
      </w:r>
      <w:r>
        <w:rPr>
          <w:rFonts w:ascii="仿宋_GB2312" w:hAnsi="仿宋" w:eastAsia="仿宋_GB2312"/>
          <w:sz w:val="32"/>
          <w:szCs w:val="32"/>
        </w:rPr>
        <w:fldChar w:fldCharType="separate"/>
      </w:r>
      <w:r>
        <w:rPr>
          <w:rFonts w:ascii="仿宋_GB2312" w:hAnsi="仿宋" w:eastAsia="仿宋_GB2312"/>
          <w:sz w:val="32"/>
          <w:szCs w:val="32"/>
        </w:rPr>
        <w:t>11</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fldChar w:fldCharType="begin"/>
      </w:r>
      <w:r>
        <w:instrText xml:space="preserve"> HYPERLINK \l "_Toc15396604" </w:instrText>
      </w:r>
      <w:r>
        <w:fldChar w:fldCharType="separate"/>
      </w:r>
      <w:r>
        <w:rPr>
          <w:rStyle w:val="15"/>
          <w:rFonts w:hint="eastAsia" w:ascii="仿宋_GB2312" w:hAnsi="仿宋" w:eastAsia="仿宋_GB2312"/>
          <w:bCs/>
          <w:sz w:val="32"/>
          <w:szCs w:val="32"/>
        </w:rPr>
        <w:t>二、</w:t>
      </w:r>
      <w:r>
        <w:rPr>
          <w:rStyle w:val="15"/>
          <w:rFonts w:hint="eastAsia" w:ascii="仿宋_GB2312" w:hAnsi="仿宋" w:eastAsia="仿宋_GB2312"/>
          <w:sz w:val="32"/>
          <w:szCs w:val="32"/>
        </w:rPr>
        <w:t>收</w:t>
      </w:r>
      <w:r>
        <w:rPr>
          <w:rStyle w:val="15"/>
          <w:rFonts w:hint="eastAsia" w:ascii="仿宋_GB2312" w:hAnsi="仿宋" w:eastAsia="仿宋_GB2312"/>
          <w:bCs/>
          <w:sz w:val="32"/>
          <w:szCs w:val="32"/>
        </w:rPr>
        <w:t>入决算情况说明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_Toc15396604 \h </w:instrText>
      </w:r>
      <w:r>
        <w:rPr>
          <w:rFonts w:ascii="仿宋_GB2312" w:hAnsi="仿宋" w:eastAsia="仿宋_GB2312"/>
          <w:sz w:val="32"/>
          <w:szCs w:val="32"/>
        </w:rPr>
        <w:fldChar w:fldCharType="separate"/>
      </w:r>
      <w:r>
        <w:rPr>
          <w:rFonts w:ascii="仿宋_GB2312" w:hAnsi="仿宋" w:eastAsia="仿宋_GB2312"/>
          <w:sz w:val="32"/>
          <w:szCs w:val="32"/>
        </w:rPr>
        <w:t>11</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fldChar w:fldCharType="begin"/>
      </w:r>
      <w:r>
        <w:instrText xml:space="preserve"> HYPERLINK \l "_Toc15396605" </w:instrText>
      </w:r>
      <w:r>
        <w:fldChar w:fldCharType="separate"/>
      </w:r>
      <w:r>
        <w:rPr>
          <w:rStyle w:val="15"/>
          <w:rFonts w:hint="eastAsia" w:ascii="仿宋_GB2312" w:hAnsi="仿宋" w:eastAsia="仿宋_GB2312"/>
          <w:bCs/>
          <w:sz w:val="32"/>
          <w:szCs w:val="32"/>
        </w:rPr>
        <w:t>三、</w:t>
      </w:r>
      <w:r>
        <w:rPr>
          <w:rStyle w:val="15"/>
          <w:rFonts w:hint="eastAsia" w:ascii="仿宋_GB2312" w:hAnsi="仿宋" w:eastAsia="仿宋_GB2312"/>
          <w:sz w:val="32"/>
          <w:szCs w:val="32"/>
        </w:rPr>
        <w:t>支</w:t>
      </w:r>
      <w:r>
        <w:rPr>
          <w:rStyle w:val="15"/>
          <w:rFonts w:hint="eastAsia" w:ascii="仿宋_GB2312" w:hAnsi="仿宋" w:eastAsia="仿宋_GB2312"/>
          <w:bCs/>
          <w:sz w:val="32"/>
          <w:szCs w:val="32"/>
        </w:rPr>
        <w:t>出决算情况说明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_Toc15396605 \h </w:instrText>
      </w:r>
      <w:r>
        <w:rPr>
          <w:rFonts w:ascii="仿宋_GB2312" w:hAnsi="仿宋" w:eastAsia="仿宋_GB2312"/>
          <w:sz w:val="32"/>
          <w:szCs w:val="32"/>
        </w:rPr>
        <w:fldChar w:fldCharType="separate"/>
      </w:r>
      <w:r>
        <w:rPr>
          <w:rFonts w:ascii="仿宋_GB2312" w:hAnsi="仿宋" w:eastAsia="仿宋_GB2312"/>
          <w:sz w:val="32"/>
          <w:szCs w:val="32"/>
        </w:rPr>
        <w:t>11</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fldChar w:fldCharType="begin"/>
      </w:r>
      <w:r>
        <w:instrText xml:space="preserve"> HYPERLINK \l "_Toc15396606" </w:instrText>
      </w:r>
      <w:r>
        <w:fldChar w:fldCharType="separate"/>
      </w:r>
      <w:r>
        <w:rPr>
          <w:rStyle w:val="15"/>
          <w:rFonts w:hint="eastAsia" w:ascii="仿宋_GB2312" w:hAnsi="仿宋" w:eastAsia="仿宋_GB2312"/>
          <w:sz w:val="32"/>
          <w:szCs w:val="32"/>
        </w:rPr>
        <w:t>四、财</w:t>
      </w:r>
      <w:r>
        <w:rPr>
          <w:rStyle w:val="15"/>
          <w:rFonts w:hint="eastAsia" w:ascii="仿宋_GB2312" w:hAnsi="仿宋" w:eastAsia="仿宋_GB2312"/>
          <w:bCs/>
          <w:sz w:val="32"/>
          <w:szCs w:val="32"/>
        </w:rPr>
        <w:t>政拨款收入支出决算总体情况说明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_Toc15396606 \h </w:instrText>
      </w:r>
      <w:r>
        <w:rPr>
          <w:rFonts w:ascii="仿宋_GB2312" w:hAnsi="仿宋" w:eastAsia="仿宋_GB2312"/>
          <w:sz w:val="32"/>
          <w:szCs w:val="32"/>
        </w:rPr>
        <w:fldChar w:fldCharType="separate"/>
      </w:r>
      <w:r>
        <w:rPr>
          <w:rFonts w:ascii="仿宋_GB2312" w:hAnsi="仿宋" w:eastAsia="仿宋_GB2312"/>
          <w:sz w:val="32"/>
          <w:szCs w:val="32"/>
        </w:rPr>
        <w:t>11</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fldChar w:fldCharType="begin"/>
      </w:r>
      <w:r>
        <w:instrText xml:space="preserve"> HYPERLINK \l "_Toc15396607" </w:instrText>
      </w:r>
      <w:r>
        <w:fldChar w:fldCharType="separate"/>
      </w:r>
      <w:r>
        <w:rPr>
          <w:rStyle w:val="15"/>
          <w:rFonts w:hint="eastAsia" w:ascii="仿宋_GB2312" w:hAnsi="仿宋" w:eastAsia="仿宋_GB2312"/>
          <w:sz w:val="32"/>
          <w:szCs w:val="32"/>
        </w:rPr>
        <w:t>五、一</w:t>
      </w:r>
      <w:r>
        <w:rPr>
          <w:rStyle w:val="15"/>
          <w:rFonts w:hint="eastAsia" w:ascii="仿宋_GB2312" w:hAnsi="仿宋" w:eastAsia="仿宋_GB2312"/>
          <w:bCs/>
          <w:sz w:val="32"/>
          <w:szCs w:val="32"/>
        </w:rPr>
        <w:t>般公共预算财政拨款支出决算情况说明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_Toc15396607 \h </w:instrText>
      </w:r>
      <w:r>
        <w:rPr>
          <w:rFonts w:ascii="仿宋_GB2312" w:hAnsi="仿宋" w:eastAsia="仿宋_GB2312"/>
          <w:sz w:val="32"/>
          <w:szCs w:val="32"/>
        </w:rPr>
        <w:fldChar w:fldCharType="separate"/>
      </w:r>
      <w:r>
        <w:rPr>
          <w:rFonts w:ascii="仿宋_GB2312" w:hAnsi="仿宋" w:eastAsia="仿宋_GB2312"/>
          <w:sz w:val="32"/>
          <w:szCs w:val="32"/>
        </w:rPr>
        <w:t>11</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fldChar w:fldCharType="begin"/>
      </w:r>
      <w:r>
        <w:instrText xml:space="preserve"> HYPERLINK \l "_Toc15396608" </w:instrText>
      </w:r>
      <w:r>
        <w:fldChar w:fldCharType="separate"/>
      </w:r>
      <w:r>
        <w:rPr>
          <w:rStyle w:val="15"/>
          <w:rFonts w:hint="eastAsia" w:ascii="仿宋_GB2312" w:hAnsi="仿宋" w:eastAsia="仿宋_GB2312"/>
          <w:sz w:val="32"/>
          <w:szCs w:val="32"/>
        </w:rPr>
        <w:t>六、一</w:t>
      </w:r>
      <w:r>
        <w:rPr>
          <w:rStyle w:val="15"/>
          <w:rFonts w:hint="eastAsia" w:ascii="仿宋_GB2312" w:hAnsi="仿宋" w:eastAsia="仿宋_GB2312"/>
          <w:bCs/>
          <w:sz w:val="32"/>
          <w:szCs w:val="32"/>
        </w:rPr>
        <w:t>般公共预算财政拨款基本支出决算情况说明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_Toc15396608 \h </w:instrText>
      </w:r>
      <w:r>
        <w:rPr>
          <w:rFonts w:ascii="仿宋_GB2312" w:hAnsi="仿宋" w:eastAsia="仿宋_GB2312"/>
          <w:sz w:val="32"/>
          <w:szCs w:val="32"/>
        </w:rPr>
        <w:fldChar w:fldCharType="separate"/>
      </w:r>
      <w:r>
        <w:rPr>
          <w:rFonts w:ascii="仿宋_GB2312" w:hAnsi="仿宋" w:eastAsia="仿宋_GB2312"/>
          <w:sz w:val="32"/>
          <w:szCs w:val="32"/>
        </w:rPr>
        <w:t>14</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fldChar w:fldCharType="begin"/>
      </w:r>
      <w:r>
        <w:instrText xml:space="preserve"> HYPERLINK \l "_Toc15396609" </w:instrText>
      </w:r>
      <w:r>
        <w:fldChar w:fldCharType="separate"/>
      </w:r>
      <w:r>
        <w:rPr>
          <w:rStyle w:val="15"/>
          <w:rFonts w:hint="eastAsia" w:ascii="仿宋_GB2312" w:hAnsi="仿宋" w:eastAsia="仿宋_GB2312"/>
          <w:sz w:val="32"/>
          <w:szCs w:val="32"/>
        </w:rPr>
        <w:t>七、“</w:t>
      </w:r>
      <w:r>
        <w:rPr>
          <w:rStyle w:val="15"/>
          <w:rFonts w:hint="eastAsia" w:ascii="仿宋_GB2312" w:hAnsi="仿宋" w:eastAsia="仿宋_GB2312"/>
          <w:bCs/>
          <w:sz w:val="32"/>
          <w:szCs w:val="32"/>
        </w:rPr>
        <w:t>三公”经费财政拨款支出决算情况说明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_Toc15396609 \h </w:instrText>
      </w:r>
      <w:r>
        <w:rPr>
          <w:rFonts w:ascii="仿宋_GB2312" w:hAnsi="仿宋" w:eastAsia="仿宋_GB2312"/>
          <w:sz w:val="32"/>
          <w:szCs w:val="32"/>
        </w:rPr>
        <w:fldChar w:fldCharType="separate"/>
      </w:r>
      <w:r>
        <w:rPr>
          <w:rFonts w:ascii="仿宋_GB2312" w:hAnsi="仿宋" w:eastAsia="仿宋_GB2312"/>
          <w:sz w:val="32"/>
          <w:szCs w:val="32"/>
        </w:rPr>
        <w:t>14</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fldChar w:fldCharType="begin"/>
      </w:r>
      <w:r>
        <w:instrText xml:space="preserve"> HYPERLINK \l "_Toc15396610" </w:instrText>
      </w:r>
      <w:r>
        <w:fldChar w:fldCharType="separate"/>
      </w:r>
      <w:r>
        <w:rPr>
          <w:rStyle w:val="15"/>
          <w:rFonts w:hint="eastAsia" w:ascii="仿宋_GB2312" w:hAnsi="仿宋" w:eastAsia="仿宋_GB2312"/>
          <w:sz w:val="32"/>
          <w:szCs w:val="32"/>
        </w:rPr>
        <w:t>八、</w:t>
      </w:r>
      <w:r>
        <w:rPr>
          <w:rStyle w:val="15"/>
          <w:rFonts w:hint="eastAsia" w:ascii="仿宋_GB2312" w:hAnsi="仿宋" w:eastAsia="仿宋_GB2312"/>
          <w:bCs/>
          <w:sz w:val="32"/>
          <w:szCs w:val="32"/>
        </w:rPr>
        <w:t>政府性基金预算支出决算情况说明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_Toc15396610 \h </w:instrText>
      </w:r>
      <w:r>
        <w:rPr>
          <w:rFonts w:ascii="仿宋_GB2312" w:hAnsi="仿宋" w:eastAsia="仿宋_GB2312"/>
          <w:sz w:val="32"/>
          <w:szCs w:val="32"/>
        </w:rPr>
        <w:fldChar w:fldCharType="separate"/>
      </w:r>
      <w:r>
        <w:rPr>
          <w:rFonts w:ascii="仿宋_GB2312" w:hAnsi="仿宋" w:eastAsia="仿宋_GB2312"/>
          <w:sz w:val="32"/>
          <w:szCs w:val="32"/>
        </w:rPr>
        <w:t>16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fldChar w:fldCharType="begin"/>
      </w:r>
      <w:r>
        <w:instrText xml:space="preserve"> HYPERLINK \l "_Toc15396611" </w:instrText>
      </w:r>
      <w:r>
        <w:fldChar w:fldCharType="separate"/>
      </w:r>
      <w:r>
        <w:rPr>
          <w:rStyle w:val="15"/>
          <w:rFonts w:hint="eastAsia" w:ascii="仿宋_GB2312" w:hAnsi="仿宋" w:eastAsia="仿宋_GB2312"/>
          <w:bCs/>
          <w:sz w:val="32"/>
          <w:szCs w:val="32"/>
        </w:rPr>
        <w:t>九、</w:t>
      </w:r>
      <w:r>
        <w:rPr>
          <w:rStyle w:val="15"/>
          <w:rFonts w:ascii="仿宋_GB2312" w:hAnsi="仿宋" w:eastAsia="仿宋_GB2312"/>
          <w:sz w:val="32"/>
          <w:szCs w:val="32"/>
        </w:rPr>
        <w:t xml:space="preserve"> </w:t>
      </w:r>
      <w:r>
        <w:rPr>
          <w:rStyle w:val="15"/>
          <w:rFonts w:hint="eastAsia" w:ascii="仿宋_GB2312" w:hAnsi="仿宋" w:eastAsia="仿宋_GB2312"/>
          <w:sz w:val="32"/>
          <w:szCs w:val="32"/>
        </w:rPr>
        <w:t>国</w:t>
      </w:r>
      <w:r>
        <w:rPr>
          <w:rStyle w:val="15"/>
          <w:rFonts w:hint="eastAsia" w:ascii="仿宋_GB2312" w:hAnsi="仿宋" w:eastAsia="仿宋_GB2312"/>
          <w:bCs/>
          <w:sz w:val="32"/>
          <w:szCs w:val="32"/>
        </w:rPr>
        <w:t>有资本经营预算支出决算情况说明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_Toc15396611 \h </w:instrText>
      </w:r>
      <w:r>
        <w:rPr>
          <w:rFonts w:ascii="仿宋_GB2312" w:hAnsi="仿宋" w:eastAsia="仿宋_GB2312"/>
          <w:sz w:val="32"/>
          <w:szCs w:val="32"/>
        </w:rPr>
        <w:fldChar w:fldCharType="separate"/>
      </w:r>
      <w:r>
        <w:rPr>
          <w:rFonts w:ascii="仿宋_GB2312" w:hAnsi="仿宋" w:eastAsia="仿宋_GB2312"/>
          <w:sz w:val="32"/>
          <w:szCs w:val="32"/>
        </w:rPr>
        <w:t>16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fldChar w:fldCharType="begin"/>
      </w:r>
      <w:r>
        <w:instrText xml:space="preserve"> HYPERLINK \l "_Toc15396612" </w:instrText>
      </w:r>
      <w:r>
        <w:fldChar w:fldCharType="separate"/>
      </w:r>
      <w:r>
        <w:rPr>
          <w:rStyle w:val="15"/>
          <w:rFonts w:hint="eastAsia" w:ascii="仿宋_GB2312" w:hAnsi="仿宋" w:eastAsia="仿宋_GB2312"/>
          <w:sz w:val="32"/>
          <w:szCs w:val="32"/>
        </w:rPr>
        <w:t>十</w:t>
      </w:r>
      <w:r>
        <w:rPr>
          <w:rStyle w:val="15"/>
          <w:rFonts w:hint="eastAsia" w:ascii="仿宋_GB2312" w:hAnsi="仿宋" w:eastAsia="仿宋_GB2312"/>
          <w:bCs/>
          <w:sz w:val="32"/>
          <w:szCs w:val="32"/>
        </w:rPr>
        <w:t>一、其他重要事项的情况说明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_Toc15396612 \h </w:instrText>
      </w:r>
      <w:r>
        <w:rPr>
          <w:rFonts w:ascii="仿宋_GB2312" w:hAnsi="仿宋" w:eastAsia="仿宋_GB2312"/>
          <w:sz w:val="32"/>
          <w:szCs w:val="32"/>
        </w:rPr>
        <w:fldChar w:fldCharType="separate"/>
      </w:r>
      <w:r>
        <w:rPr>
          <w:rFonts w:ascii="仿宋_GB2312" w:hAnsi="仿宋" w:eastAsia="仿宋_GB2312"/>
          <w:sz w:val="32"/>
          <w:szCs w:val="32"/>
        </w:rPr>
        <w:t>28</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0"/>
        <w:rPr>
          <w:rFonts w:ascii="仿宋_GB2312" w:eastAsia="仿宋_GB2312"/>
          <w:sz w:val="32"/>
          <w:szCs w:val="32"/>
        </w:rPr>
      </w:pPr>
      <w:r>
        <w:fldChar w:fldCharType="begin"/>
      </w:r>
      <w:r>
        <w:instrText xml:space="preserve"> HYPERLINK \l "_Toc15396613" </w:instrText>
      </w:r>
      <w:r>
        <w:fldChar w:fldCharType="separate"/>
      </w:r>
      <w:r>
        <w:rPr>
          <w:rStyle w:val="15"/>
          <w:rFonts w:hint="eastAsia" w:ascii="仿宋_GB2312" w:eastAsia="仿宋_GB2312"/>
          <w:bCs/>
          <w:kern w:val="44"/>
          <w:sz w:val="32"/>
          <w:szCs w:val="32"/>
        </w:rPr>
        <w:t>第三部分</w:t>
      </w:r>
      <w:r>
        <w:rPr>
          <w:rStyle w:val="15"/>
          <w:rFonts w:ascii="仿宋_GB2312" w:eastAsia="仿宋_GB2312"/>
          <w:sz w:val="32"/>
          <w:szCs w:val="32"/>
        </w:rPr>
        <w:t xml:space="preserve"> </w:t>
      </w:r>
      <w:r>
        <w:rPr>
          <w:rStyle w:val="15"/>
          <w:rFonts w:hint="eastAsia" w:ascii="仿宋_GB2312" w:eastAsia="仿宋_GB2312"/>
          <w:sz w:val="32"/>
          <w:szCs w:val="32"/>
        </w:rPr>
        <w:t>名</w:t>
      </w:r>
      <w:r>
        <w:rPr>
          <w:rStyle w:val="15"/>
          <w:rFonts w:hint="eastAsia" w:ascii="仿宋_GB2312" w:eastAsia="仿宋_GB2312"/>
          <w:bCs/>
          <w:kern w:val="44"/>
          <w:sz w:val="32"/>
          <w:szCs w:val="32"/>
        </w:rPr>
        <w:t>词解释</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_Toc15396613 \h </w:instrText>
      </w:r>
      <w:r>
        <w:rPr>
          <w:rFonts w:ascii="仿宋_GB2312" w:eastAsia="仿宋_GB2312"/>
          <w:sz w:val="32"/>
          <w:szCs w:val="32"/>
        </w:rPr>
        <w:fldChar w:fldCharType="separate"/>
      </w:r>
      <w:r>
        <w:rPr>
          <w:rFonts w:ascii="仿宋_GB2312" w:eastAsia="仿宋_GB2312"/>
          <w:sz w:val="32"/>
          <w:szCs w:val="32"/>
        </w:rPr>
        <w:t>29</w:t>
      </w:r>
      <w:r>
        <w:rPr>
          <w:rFonts w:ascii="仿宋_GB2312" w:eastAsia="仿宋_GB2312"/>
          <w:sz w:val="32"/>
          <w:szCs w:val="32"/>
        </w:rPr>
        <w:fldChar w:fldCharType="end"/>
      </w:r>
      <w:r>
        <w:rPr>
          <w:rFonts w:ascii="仿宋_GB2312" w:eastAsia="仿宋_GB2312"/>
          <w:sz w:val="32"/>
          <w:szCs w:val="32"/>
        </w:rPr>
        <w:fldChar w:fldCharType="end"/>
      </w:r>
    </w:p>
    <w:p>
      <w:pPr>
        <w:pStyle w:val="10"/>
        <w:rPr>
          <w:rFonts w:ascii="仿宋_GB2312" w:eastAsia="仿宋_GB2312"/>
          <w:sz w:val="32"/>
          <w:szCs w:val="32"/>
        </w:rPr>
      </w:pPr>
      <w:r>
        <w:fldChar w:fldCharType="begin"/>
      </w:r>
      <w:r>
        <w:instrText xml:space="preserve"> HYPERLINK \l "_Toc15396614" </w:instrText>
      </w:r>
      <w:r>
        <w:fldChar w:fldCharType="separate"/>
      </w:r>
      <w:r>
        <w:rPr>
          <w:rStyle w:val="15"/>
          <w:rFonts w:hint="eastAsia" w:ascii="仿宋_GB2312" w:eastAsia="仿宋_GB2312"/>
          <w:sz w:val="32"/>
          <w:szCs w:val="32"/>
        </w:rPr>
        <w:t>第</w:t>
      </w:r>
      <w:r>
        <w:rPr>
          <w:rStyle w:val="15"/>
          <w:rFonts w:hint="eastAsia" w:ascii="仿宋_GB2312" w:eastAsia="仿宋_GB2312"/>
          <w:bCs/>
          <w:kern w:val="44"/>
          <w:sz w:val="32"/>
          <w:szCs w:val="32"/>
        </w:rPr>
        <w:t>四部分附件</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_Toc15396614 \h </w:instrText>
      </w:r>
      <w:r>
        <w:rPr>
          <w:rFonts w:ascii="仿宋_GB2312" w:eastAsia="仿宋_GB2312"/>
          <w:sz w:val="32"/>
          <w:szCs w:val="32"/>
        </w:rPr>
        <w:fldChar w:fldCharType="separate"/>
      </w:r>
      <w:r>
        <w:rPr>
          <w:rFonts w:ascii="仿宋_GB2312" w:eastAsia="仿宋_GB2312"/>
          <w:sz w:val="32"/>
          <w:szCs w:val="32"/>
        </w:rPr>
        <w:t>31</w:t>
      </w:r>
      <w:r>
        <w:rPr>
          <w:rFonts w:ascii="仿宋_GB2312" w:eastAsia="仿宋_GB2312"/>
          <w:sz w:val="32"/>
          <w:szCs w:val="32"/>
        </w:rPr>
        <w:fldChar w:fldCharType="end"/>
      </w:r>
      <w:r>
        <w:rPr>
          <w:rFonts w:ascii="仿宋_GB2312" w:eastAsia="仿宋_GB2312"/>
          <w:sz w:val="32"/>
          <w:szCs w:val="32"/>
        </w:rPr>
        <w:fldChar w:fldCharType="end"/>
      </w:r>
    </w:p>
    <w:p>
      <w:pPr>
        <w:pStyle w:val="10"/>
        <w:rPr>
          <w:rFonts w:ascii="仿宋_GB2312" w:eastAsia="仿宋_GB2312"/>
          <w:sz w:val="32"/>
          <w:szCs w:val="32"/>
        </w:rPr>
      </w:pPr>
      <w:r>
        <w:fldChar w:fldCharType="begin"/>
      </w:r>
      <w:r>
        <w:instrText xml:space="preserve"> HYPERLINK \l "_Toc15396618" </w:instrText>
      </w:r>
      <w:r>
        <w:fldChar w:fldCharType="separate"/>
      </w:r>
      <w:r>
        <w:rPr>
          <w:rStyle w:val="15"/>
          <w:rFonts w:hint="eastAsia" w:ascii="仿宋_GB2312" w:eastAsia="仿宋_GB2312"/>
          <w:sz w:val="32"/>
          <w:szCs w:val="32"/>
        </w:rPr>
        <w:t>第</w:t>
      </w:r>
      <w:r>
        <w:rPr>
          <w:rStyle w:val="15"/>
          <w:rFonts w:hint="eastAsia" w:ascii="仿宋_GB2312" w:eastAsia="仿宋_GB2312"/>
          <w:bCs/>
          <w:kern w:val="44"/>
          <w:sz w:val="32"/>
          <w:szCs w:val="32"/>
        </w:rPr>
        <w:t>五部分附表</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_Toc15396618 \h </w:instrText>
      </w:r>
      <w:r>
        <w:rPr>
          <w:rFonts w:ascii="仿宋_GB2312" w:eastAsia="仿宋_GB2312"/>
          <w:sz w:val="32"/>
          <w:szCs w:val="32"/>
        </w:rPr>
        <w:fldChar w:fldCharType="separate"/>
      </w:r>
      <w:r>
        <w:rPr>
          <w:rFonts w:ascii="仿宋_GB2312" w:eastAsia="仿宋_GB2312"/>
          <w:sz w:val="32"/>
          <w:szCs w:val="32"/>
        </w:rPr>
        <w:t>36</w:t>
      </w:r>
      <w:r>
        <w:rPr>
          <w:rFonts w:ascii="仿宋_GB2312" w:eastAsia="仿宋_GB2312"/>
          <w:sz w:val="32"/>
          <w:szCs w:val="32"/>
        </w:rPr>
        <w:fldChar w:fldCharType="end"/>
      </w:r>
      <w:r>
        <w:rPr>
          <w:rFonts w:ascii="仿宋_GB2312" w:eastAsia="仿宋_GB2312"/>
          <w:sz w:val="32"/>
          <w:szCs w:val="32"/>
        </w:rPr>
        <w:fldChar w:fldCharType="end"/>
      </w:r>
    </w:p>
    <w:p>
      <w:pPr>
        <w:pStyle w:val="11"/>
        <w:ind w:left="31680"/>
        <w:rPr>
          <w:rFonts w:ascii="仿宋_GB2312" w:hAnsi="仿宋" w:eastAsia="仿宋_GB2312"/>
          <w:sz w:val="32"/>
          <w:szCs w:val="32"/>
        </w:rPr>
      </w:pPr>
      <w:r>
        <w:rPr>
          <w:rFonts w:hint="eastAsia" w:ascii="仿宋_GB2312" w:hAnsi="仿宋" w:eastAsia="仿宋_GB2312"/>
          <w:sz w:val="32"/>
          <w:szCs w:val="32"/>
        </w:rPr>
        <w:t>一、</w:t>
      </w:r>
      <w:r>
        <w:fldChar w:fldCharType="begin"/>
      </w:r>
      <w:r>
        <w:instrText xml:space="preserve"> HYPERLINK \l "_Toc15396619" </w:instrText>
      </w:r>
      <w:r>
        <w:fldChar w:fldCharType="separate"/>
      </w:r>
      <w:r>
        <w:rPr>
          <w:rStyle w:val="15"/>
          <w:rFonts w:hint="eastAsia" w:ascii="仿宋_GB2312" w:hAnsi="仿宋" w:eastAsia="仿宋_GB2312"/>
          <w:sz w:val="32"/>
          <w:szCs w:val="32"/>
        </w:rPr>
        <w:t>收入支出决算总表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_Toc15396619 \h </w:instrText>
      </w:r>
      <w:r>
        <w:rPr>
          <w:rFonts w:ascii="仿宋_GB2312" w:hAnsi="仿宋" w:eastAsia="仿宋_GB2312"/>
          <w:sz w:val="32"/>
          <w:szCs w:val="32"/>
        </w:rPr>
        <w:fldChar w:fldCharType="separate"/>
      </w:r>
      <w:r>
        <w:rPr>
          <w:rFonts w:ascii="仿宋_GB2312" w:hAnsi="仿宋" w:eastAsia="仿宋_GB2312"/>
          <w:sz w:val="32"/>
          <w:szCs w:val="32"/>
        </w:rPr>
        <w:t>36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rPr>
          <w:rFonts w:hint="eastAsia" w:ascii="仿宋_GB2312" w:hAnsi="仿宋" w:eastAsia="仿宋_GB2312"/>
          <w:sz w:val="32"/>
          <w:szCs w:val="32"/>
        </w:rPr>
        <w:t>二、</w:t>
      </w:r>
      <w:r>
        <w:fldChar w:fldCharType="begin"/>
      </w:r>
      <w:r>
        <w:instrText xml:space="preserve"> HYPERLINK \l "_Toc15396620" </w:instrText>
      </w:r>
      <w:r>
        <w:fldChar w:fldCharType="separate"/>
      </w:r>
      <w:r>
        <w:rPr>
          <w:rStyle w:val="15"/>
          <w:rFonts w:hint="eastAsia" w:ascii="仿宋_GB2312" w:hAnsi="仿宋" w:eastAsia="仿宋_GB2312"/>
          <w:sz w:val="32"/>
          <w:szCs w:val="32"/>
        </w:rPr>
        <w:t>收入总表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_Toc15396620 \h </w:instrText>
      </w:r>
      <w:r>
        <w:rPr>
          <w:rFonts w:ascii="仿宋_GB2312" w:hAnsi="仿宋" w:eastAsia="仿宋_GB2312"/>
          <w:sz w:val="32"/>
          <w:szCs w:val="32"/>
        </w:rPr>
        <w:fldChar w:fldCharType="separate"/>
      </w:r>
      <w:r>
        <w:rPr>
          <w:rFonts w:ascii="仿宋_GB2312" w:hAnsi="仿宋" w:eastAsia="仿宋_GB2312"/>
          <w:sz w:val="32"/>
          <w:szCs w:val="32"/>
        </w:rPr>
        <w:t>36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rPr>
          <w:rFonts w:hint="eastAsia" w:ascii="仿宋_GB2312" w:hAnsi="仿宋" w:eastAsia="仿宋_GB2312"/>
          <w:sz w:val="32"/>
          <w:szCs w:val="32"/>
        </w:rPr>
        <w:t>三、</w:t>
      </w:r>
      <w:r>
        <w:fldChar w:fldCharType="begin"/>
      </w:r>
      <w:r>
        <w:instrText xml:space="preserve"> HYPERLINK \l "_Toc15396621" </w:instrText>
      </w:r>
      <w:r>
        <w:fldChar w:fldCharType="separate"/>
      </w:r>
      <w:r>
        <w:rPr>
          <w:rStyle w:val="15"/>
          <w:rFonts w:hint="eastAsia" w:ascii="仿宋_GB2312" w:hAnsi="仿宋" w:eastAsia="仿宋_GB2312"/>
          <w:sz w:val="32"/>
          <w:szCs w:val="32"/>
        </w:rPr>
        <w:t>支出总表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_Toc15396621 \h </w:instrText>
      </w:r>
      <w:r>
        <w:rPr>
          <w:rFonts w:ascii="仿宋_GB2312" w:hAnsi="仿宋" w:eastAsia="仿宋_GB2312"/>
          <w:sz w:val="32"/>
          <w:szCs w:val="32"/>
        </w:rPr>
        <w:fldChar w:fldCharType="separate"/>
      </w:r>
      <w:r>
        <w:rPr>
          <w:rFonts w:ascii="仿宋_GB2312" w:hAnsi="仿宋" w:eastAsia="仿宋_GB2312"/>
          <w:sz w:val="32"/>
          <w:szCs w:val="32"/>
        </w:rPr>
        <w:t>36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rPr>
          <w:rFonts w:hint="eastAsia" w:ascii="仿宋_GB2312" w:hAnsi="仿宋" w:eastAsia="仿宋_GB2312"/>
          <w:sz w:val="32"/>
          <w:szCs w:val="32"/>
        </w:rPr>
        <w:t>四、</w:t>
      </w:r>
      <w:r>
        <w:fldChar w:fldCharType="begin"/>
      </w:r>
      <w:r>
        <w:instrText xml:space="preserve"> HYPERLINK \l "_Toc15396622" </w:instrText>
      </w:r>
      <w:r>
        <w:fldChar w:fldCharType="separate"/>
      </w:r>
      <w:r>
        <w:rPr>
          <w:rStyle w:val="15"/>
          <w:rFonts w:hint="eastAsia" w:ascii="仿宋_GB2312" w:hAnsi="仿宋" w:eastAsia="仿宋_GB2312"/>
          <w:sz w:val="32"/>
          <w:szCs w:val="32"/>
        </w:rPr>
        <w:t>财政拨款收入支出决算总表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_Toc15396622 \h </w:instrText>
      </w:r>
      <w:r>
        <w:rPr>
          <w:rFonts w:ascii="仿宋_GB2312" w:hAnsi="仿宋" w:eastAsia="仿宋_GB2312"/>
          <w:sz w:val="32"/>
          <w:szCs w:val="32"/>
        </w:rPr>
        <w:fldChar w:fldCharType="separate"/>
      </w:r>
      <w:r>
        <w:rPr>
          <w:rFonts w:ascii="仿宋_GB2312" w:hAnsi="仿宋" w:eastAsia="仿宋_GB2312"/>
          <w:sz w:val="32"/>
          <w:szCs w:val="32"/>
        </w:rPr>
        <w:t>36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rPr>
          <w:rFonts w:hint="eastAsia" w:ascii="仿宋_GB2312" w:hAnsi="仿宋" w:eastAsia="仿宋_GB2312"/>
          <w:sz w:val="32"/>
          <w:szCs w:val="32"/>
        </w:rPr>
        <w:t>五、</w:t>
      </w:r>
      <w:r>
        <w:fldChar w:fldCharType="begin"/>
      </w:r>
      <w:r>
        <w:instrText xml:space="preserve"> HYPERLINK \l "_Toc15396623" </w:instrText>
      </w:r>
      <w:r>
        <w:fldChar w:fldCharType="separate"/>
      </w:r>
      <w:r>
        <w:rPr>
          <w:rFonts w:hint="eastAsia" w:ascii="仿宋_GB2312" w:hAnsi="仿宋" w:eastAsia="仿宋_GB2312"/>
          <w:sz w:val="32"/>
          <w:szCs w:val="32"/>
        </w:rPr>
        <w:t>财政拨款支出决算明细表（政府经济分类科目）</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_Toc15396623 \h </w:instrText>
      </w:r>
      <w:r>
        <w:rPr>
          <w:rFonts w:ascii="仿宋_GB2312" w:hAnsi="仿宋" w:eastAsia="仿宋_GB2312"/>
          <w:sz w:val="32"/>
          <w:szCs w:val="32"/>
        </w:rPr>
        <w:fldChar w:fldCharType="separate"/>
      </w:r>
      <w:r>
        <w:rPr>
          <w:rFonts w:ascii="仿宋_GB2312" w:hAnsi="仿宋" w:eastAsia="仿宋_GB2312"/>
          <w:sz w:val="32"/>
          <w:szCs w:val="32"/>
        </w:rPr>
        <w:t>36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rPr>
          <w:rFonts w:hint="eastAsia" w:ascii="仿宋_GB2312" w:hAnsi="仿宋" w:eastAsia="仿宋_GB2312"/>
          <w:sz w:val="32"/>
          <w:szCs w:val="32"/>
        </w:rPr>
        <w:t>六、</w:t>
      </w:r>
      <w:r>
        <w:fldChar w:fldCharType="begin"/>
      </w:r>
      <w:r>
        <w:instrText xml:space="preserve"> HYPERLINK \l "_Toc15396624" </w:instrText>
      </w:r>
      <w:r>
        <w:fldChar w:fldCharType="separate"/>
      </w:r>
      <w:r>
        <w:rPr>
          <w:rStyle w:val="15"/>
          <w:rFonts w:hint="eastAsia" w:ascii="仿宋_GB2312" w:hAnsi="仿宋" w:eastAsia="仿宋_GB2312"/>
          <w:sz w:val="32"/>
          <w:szCs w:val="32"/>
        </w:rPr>
        <w:t>一般公共预算财政拨款支出决算表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_Toc15396624 \h </w:instrText>
      </w:r>
      <w:r>
        <w:rPr>
          <w:rFonts w:ascii="仿宋_GB2312" w:hAnsi="仿宋" w:eastAsia="仿宋_GB2312"/>
          <w:sz w:val="32"/>
          <w:szCs w:val="32"/>
        </w:rPr>
        <w:fldChar w:fldCharType="separate"/>
      </w:r>
      <w:r>
        <w:rPr>
          <w:rFonts w:ascii="仿宋_GB2312" w:hAnsi="仿宋" w:eastAsia="仿宋_GB2312"/>
          <w:sz w:val="32"/>
          <w:szCs w:val="32"/>
        </w:rPr>
        <w:t>36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rPr>
          <w:rFonts w:hint="eastAsia" w:ascii="仿宋_GB2312" w:hAnsi="仿宋" w:eastAsia="仿宋_GB2312"/>
          <w:sz w:val="32"/>
          <w:szCs w:val="32"/>
        </w:rPr>
        <w:t>七、</w:t>
      </w:r>
      <w:r>
        <w:fldChar w:fldCharType="begin"/>
      </w:r>
      <w:r>
        <w:instrText xml:space="preserve"> HYPERLINK \l "_Toc15396625" </w:instrText>
      </w:r>
      <w:r>
        <w:fldChar w:fldCharType="separate"/>
      </w:r>
      <w:r>
        <w:rPr>
          <w:rStyle w:val="15"/>
          <w:rFonts w:hint="eastAsia" w:ascii="仿宋_GB2312" w:hAnsi="仿宋" w:eastAsia="仿宋_GB2312"/>
          <w:sz w:val="32"/>
          <w:szCs w:val="32"/>
        </w:rPr>
        <w:t>一般公共预算财政拨款支出决算明细表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_Toc15396625 \h </w:instrText>
      </w:r>
      <w:r>
        <w:rPr>
          <w:rFonts w:ascii="仿宋_GB2312" w:hAnsi="仿宋" w:eastAsia="仿宋_GB2312"/>
          <w:sz w:val="32"/>
          <w:szCs w:val="32"/>
        </w:rPr>
        <w:fldChar w:fldCharType="separate"/>
      </w:r>
      <w:r>
        <w:rPr>
          <w:rFonts w:ascii="仿宋_GB2312" w:hAnsi="仿宋" w:eastAsia="仿宋_GB2312"/>
          <w:sz w:val="32"/>
          <w:szCs w:val="32"/>
        </w:rPr>
        <w:t>36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rPr>
          <w:rFonts w:hint="eastAsia" w:ascii="仿宋_GB2312" w:hAnsi="仿宋" w:eastAsia="仿宋_GB2312"/>
          <w:sz w:val="32"/>
          <w:szCs w:val="32"/>
        </w:rPr>
        <w:t>八、</w:t>
      </w:r>
      <w:r>
        <w:fldChar w:fldCharType="begin"/>
      </w:r>
      <w:r>
        <w:instrText xml:space="preserve"> HYPERLINK \l "_Toc15396626" </w:instrText>
      </w:r>
      <w:r>
        <w:fldChar w:fldCharType="separate"/>
      </w:r>
      <w:r>
        <w:rPr>
          <w:rStyle w:val="15"/>
          <w:rFonts w:hint="eastAsia" w:ascii="仿宋_GB2312" w:hAnsi="仿宋" w:eastAsia="仿宋_GB2312"/>
          <w:sz w:val="32"/>
          <w:szCs w:val="32"/>
        </w:rPr>
        <w:t>一般公共预算财政拨款基本支出决算表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_Toc15396626 \h </w:instrText>
      </w:r>
      <w:r>
        <w:rPr>
          <w:rFonts w:ascii="仿宋_GB2312" w:hAnsi="仿宋" w:eastAsia="仿宋_GB2312"/>
          <w:sz w:val="32"/>
          <w:szCs w:val="32"/>
        </w:rPr>
        <w:fldChar w:fldCharType="separate"/>
      </w:r>
      <w:r>
        <w:rPr>
          <w:rFonts w:ascii="仿宋_GB2312" w:hAnsi="仿宋" w:eastAsia="仿宋_GB2312"/>
          <w:sz w:val="32"/>
          <w:szCs w:val="32"/>
        </w:rPr>
        <w:t>36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rPr>
          <w:rFonts w:hint="eastAsia" w:ascii="仿宋_GB2312" w:hAnsi="仿宋" w:eastAsia="仿宋_GB2312"/>
          <w:sz w:val="32"/>
          <w:szCs w:val="32"/>
        </w:rPr>
        <w:t>九、</w:t>
      </w:r>
      <w:r>
        <w:fldChar w:fldCharType="begin"/>
      </w:r>
      <w:r>
        <w:instrText xml:space="preserve"> HYPERLINK \l "_Toc15396627" </w:instrText>
      </w:r>
      <w:r>
        <w:fldChar w:fldCharType="separate"/>
      </w:r>
      <w:r>
        <w:rPr>
          <w:rStyle w:val="15"/>
          <w:rFonts w:hint="eastAsia" w:ascii="仿宋_GB2312" w:hAnsi="仿宋" w:eastAsia="仿宋_GB2312"/>
          <w:sz w:val="32"/>
          <w:szCs w:val="32"/>
        </w:rPr>
        <w:t>一般公共预算财政拨款项目支出决算表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_Toc15396627 \h </w:instrText>
      </w:r>
      <w:r>
        <w:rPr>
          <w:rFonts w:ascii="仿宋_GB2312" w:hAnsi="仿宋" w:eastAsia="仿宋_GB2312"/>
          <w:sz w:val="32"/>
          <w:szCs w:val="32"/>
        </w:rPr>
        <w:fldChar w:fldCharType="separate"/>
      </w:r>
      <w:r>
        <w:rPr>
          <w:rFonts w:ascii="仿宋_GB2312" w:hAnsi="仿宋" w:eastAsia="仿宋_GB2312"/>
          <w:sz w:val="32"/>
          <w:szCs w:val="32"/>
        </w:rPr>
        <w:t>36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rPr>
          <w:rFonts w:hint="eastAsia" w:ascii="仿宋_GB2312" w:hAnsi="仿宋" w:eastAsia="仿宋_GB2312"/>
          <w:sz w:val="32"/>
          <w:szCs w:val="32"/>
        </w:rPr>
        <w:t>十、</w:t>
      </w:r>
      <w:r>
        <w:fldChar w:fldCharType="begin"/>
      </w:r>
      <w:r>
        <w:instrText xml:space="preserve"> HYPERLINK \l "_Toc15396628" </w:instrText>
      </w:r>
      <w:r>
        <w:fldChar w:fldCharType="separate"/>
      </w:r>
      <w:r>
        <w:rPr>
          <w:rStyle w:val="15"/>
          <w:rFonts w:hint="eastAsia" w:ascii="仿宋_GB2312" w:hAnsi="仿宋" w:eastAsia="仿宋_GB2312"/>
          <w:sz w:val="32"/>
          <w:szCs w:val="32"/>
        </w:rPr>
        <w:t>一般公共预算财政拨款“三公”经费支出决算表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_Toc15396628 \h </w:instrText>
      </w:r>
      <w:r>
        <w:rPr>
          <w:rFonts w:ascii="仿宋_GB2312" w:hAnsi="仿宋" w:eastAsia="仿宋_GB2312"/>
          <w:sz w:val="32"/>
          <w:szCs w:val="32"/>
        </w:rPr>
        <w:fldChar w:fldCharType="separate"/>
      </w:r>
      <w:r>
        <w:rPr>
          <w:rFonts w:ascii="仿宋_GB2312" w:hAnsi="仿宋" w:eastAsia="仿宋_GB2312"/>
          <w:sz w:val="32"/>
          <w:szCs w:val="32"/>
        </w:rPr>
        <w:t>36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rPr>
          <w:rFonts w:hint="eastAsia" w:ascii="仿宋_GB2312" w:hAnsi="仿宋" w:eastAsia="仿宋_GB2312"/>
          <w:sz w:val="32"/>
          <w:szCs w:val="32"/>
        </w:rPr>
        <w:t>十一、</w:t>
      </w:r>
      <w:r>
        <w:fldChar w:fldCharType="begin"/>
      </w:r>
      <w:r>
        <w:instrText xml:space="preserve"> HYPERLINK \l "_Toc15396629" </w:instrText>
      </w:r>
      <w:r>
        <w:fldChar w:fldCharType="separate"/>
      </w:r>
      <w:r>
        <w:rPr>
          <w:rStyle w:val="15"/>
          <w:rFonts w:hint="eastAsia" w:ascii="仿宋_GB2312" w:hAnsi="仿宋" w:eastAsia="仿宋_GB2312"/>
          <w:sz w:val="32"/>
          <w:szCs w:val="32"/>
        </w:rPr>
        <w:t>政府性基金预算财政拨款收入支出决算表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_Toc15396629 \h </w:instrText>
      </w:r>
      <w:r>
        <w:rPr>
          <w:rFonts w:ascii="仿宋_GB2312" w:hAnsi="仿宋" w:eastAsia="仿宋_GB2312"/>
          <w:sz w:val="32"/>
          <w:szCs w:val="32"/>
        </w:rPr>
        <w:fldChar w:fldCharType="separate"/>
      </w:r>
      <w:r>
        <w:rPr>
          <w:rFonts w:ascii="仿宋_GB2312" w:hAnsi="仿宋" w:eastAsia="仿宋_GB2312"/>
          <w:sz w:val="32"/>
          <w:szCs w:val="32"/>
        </w:rPr>
        <w:t>36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rPr>
          <w:rFonts w:hint="eastAsia" w:ascii="仿宋_GB2312" w:hAnsi="仿宋" w:eastAsia="仿宋_GB2312"/>
          <w:sz w:val="32"/>
          <w:szCs w:val="32"/>
        </w:rPr>
        <w:t>十二、</w:t>
      </w:r>
      <w:r>
        <w:fldChar w:fldCharType="begin"/>
      </w:r>
      <w:r>
        <w:instrText xml:space="preserve"> HYPERLINK \l "_Toc15396630" </w:instrText>
      </w:r>
      <w:r>
        <w:fldChar w:fldCharType="separate"/>
      </w:r>
      <w:r>
        <w:rPr>
          <w:rStyle w:val="15"/>
          <w:rFonts w:hint="eastAsia" w:ascii="仿宋_GB2312" w:hAnsi="仿宋" w:eastAsia="仿宋_GB2312"/>
          <w:sz w:val="32"/>
          <w:szCs w:val="32"/>
        </w:rPr>
        <w:t>政府性基金预算财政拨款“三公”经费支出决算表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_Toc15396630 \h </w:instrText>
      </w:r>
      <w:r>
        <w:rPr>
          <w:rFonts w:ascii="仿宋_GB2312" w:hAnsi="仿宋" w:eastAsia="仿宋_GB2312"/>
          <w:sz w:val="32"/>
          <w:szCs w:val="32"/>
        </w:rPr>
        <w:fldChar w:fldCharType="separate"/>
      </w:r>
      <w:r>
        <w:rPr>
          <w:rFonts w:ascii="仿宋_GB2312" w:hAnsi="仿宋" w:eastAsia="仿宋_GB2312"/>
          <w:sz w:val="32"/>
          <w:szCs w:val="32"/>
        </w:rPr>
        <w:t>36</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rPr>
          <w:rFonts w:hint="eastAsia" w:ascii="仿宋_GB2312" w:hAnsi="仿宋" w:eastAsia="仿宋_GB2312"/>
          <w:sz w:val="32"/>
          <w:szCs w:val="32"/>
        </w:rPr>
        <w:t>十三、</w:t>
      </w:r>
      <w:r>
        <w:fldChar w:fldCharType="begin"/>
      </w:r>
      <w:r>
        <w:instrText xml:space="preserve"> HYPERLINK \l "_Toc15396631" </w:instrText>
      </w:r>
      <w:r>
        <w:fldChar w:fldCharType="separate"/>
      </w:r>
      <w:r>
        <w:rPr>
          <w:rStyle w:val="15"/>
          <w:rFonts w:hint="eastAsia" w:ascii="仿宋_GB2312" w:hAnsi="仿宋" w:eastAsia="仿宋_GB2312"/>
          <w:sz w:val="32"/>
          <w:szCs w:val="32"/>
        </w:rPr>
        <w:t>国有资本经营预算支出决算表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_Toc15396631 \h </w:instrText>
      </w:r>
      <w:r>
        <w:rPr>
          <w:rFonts w:ascii="仿宋_GB2312" w:hAnsi="仿宋" w:eastAsia="仿宋_GB2312"/>
          <w:sz w:val="32"/>
          <w:szCs w:val="32"/>
        </w:rPr>
        <w:fldChar w:fldCharType="separate"/>
      </w:r>
      <w:r>
        <w:rPr>
          <w:rFonts w:ascii="仿宋_GB2312" w:hAnsi="仿宋" w:eastAsia="仿宋_GB2312"/>
          <w:sz w:val="32"/>
          <w:szCs w:val="32"/>
        </w:rPr>
        <w:t>36</w:t>
      </w:r>
      <w:r>
        <w:rPr>
          <w:rFonts w:ascii="仿宋_GB2312" w:hAnsi="仿宋" w:eastAsia="仿宋_GB2312"/>
          <w:sz w:val="32"/>
          <w:szCs w:val="32"/>
        </w:rPr>
        <w:fldChar w:fldCharType="end"/>
      </w:r>
      <w:r>
        <w:rPr>
          <w:rFonts w:ascii="仿宋_GB2312" w:hAnsi="仿宋" w:eastAsia="仿宋_GB2312"/>
          <w:sz w:val="32"/>
          <w:szCs w:val="32"/>
        </w:rPr>
        <w:fldChar w:fldCharType="end"/>
      </w:r>
    </w:p>
    <w:p>
      <w:pPr>
        <w:widowControl/>
        <w:jc w:val="left"/>
        <w:rPr>
          <w:rFonts w:ascii="仿宋_GB2312" w:hAnsi="仿宋" w:eastAsia="仿宋_GB2312"/>
          <w:color w:val="000000"/>
          <w:sz w:val="32"/>
          <w:szCs w:val="32"/>
        </w:rPr>
      </w:pPr>
      <w:r>
        <w:rPr>
          <w:rFonts w:ascii="仿宋_GB2312" w:hAnsi="黑体" w:eastAsia="仿宋_GB2312"/>
          <w:color w:val="000000"/>
          <w:sz w:val="32"/>
          <w:szCs w:val="32"/>
        </w:rPr>
        <w:fldChar w:fldCharType="end"/>
      </w:r>
    </w:p>
    <w:p>
      <w:pPr>
        <w:widowControl/>
        <w:jc w:val="left"/>
        <w:rPr>
          <w:rFonts w:ascii="黑体" w:hAnsi="黑体" w:eastAsia="黑体"/>
          <w:bCs/>
          <w:kern w:val="44"/>
          <w:sz w:val="32"/>
          <w:szCs w:val="32"/>
        </w:rPr>
      </w:pPr>
      <w:bookmarkStart w:id="12" w:name="_Toc15396599"/>
      <w:bookmarkStart w:id="13" w:name="_Toc15377196"/>
      <w:r>
        <w:rPr>
          <w:rFonts w:ascii="黑体" w:hAnsi="黑体" w:eastAsia="黑体"/>
          <w:b/>
          <w:sz w:val="32"/>
          <w:szCs w:val="32"/>
        </w:rPr>
        <w:br w:type="page"/>
      </w:r>
    </w:p>
    <w:p>
      <w:pPr>
        <w:pStyle w:val="2"/>
        <w:jc w:val="center"/>
        <w:rPr>
          <w:rFonts w:ascii="宋体"/>
          <w:color w:val="000000"/>
          <w:sz w:val="32"/>
          <w:szCs w:val="32"/>
        </w:rPr>
      </w:pPr>
      <w:r>
        <w:rPr>
          <w:rFonts w:hint="eastAsia" w:ascii="宋体" w:hAnsi="宋体"/>
          <w:sz w:val="32"/>
          <w:szCs w:val="32"/>
        </w:rPr>
        <w:t>第一部分</w:t>
      </w:r>
      <w:r>
        <w:rPr>
          <w:rFonts w:ascii="宋体" w:hAnsi="宋体"/>
          <w:sz w:val="32"/>
          <w:szCs w:val="32"/>
        </w:rPr>
        <w:t xml:space="preserve"> </w:t>
      </w:r>
      <w:r>
        <w:rPr>
          <w:rStyle w:val="17"/>
          <w:rFonts w:hint="eastAsia" w:ascii="宋体" w:hAnsi="宋体"/>
          <w:b/>
          <w:bCs w:val="0"/>
          <w:sz w:val="32"/>
          <w:szCs w:val="32"/>
        </w:rPr>
        <w:t>部门概况</w:t>
      </w:r>
      <w:bookmarkEnd w:id="12"/>
      <w:bookmarkEnd w:id="13"/>
    </w:p>
    <w:p>
      <w:pPr>
        <w:pStyle w:val="3"/>
        <w:ind w:firstLine="643" w:firstLineChars="200"/>
        <w:rPr>
          <w:rStyle w:val="18"/>
          <w:rFonts w:ascii="宋体"/>
          <w:b w:val="0"/>
          <w:bCs w:val="0"/>
        </w:rPr>
      </w:pPr>
      <w:bookmarkStart w:id="14" w:name="_Toc15377197"/>
      <w:bookmarkStart w:id="15" w:name="_Toc15396600"/>
      <w:r>
        <w:rPr>
          <w:rFonts w:hint="eastAsia" w:ascii="宋体" w:hAnsi="宋体"/>
          <w:color w:val="000000"/>
        </w:rPr>
        <w:t>一、基</w:t>
      </w:r>
      <w:r>
        <w:rPr>
          <w:rStyle w:val="18"/>
          <w:rFonts w:hint="eastAsia" w:ascii="宋体" w:hAnsi="宋体"/>
          <w:b/>
          <w:bCs w:val="0"/>
        </w:rPr>
        <w:t>本职能及主要工作</w:t>
      </w:r>
      <w:bookmarkEnd w:id="14"/>
      <w:bookmarkEnd w:id="15"/>
      <w:bookmarkStart w:id="16" w:name="_Toc15378445"/>
      <w:bookmarkStart w:id="17" w:name="_Toc15377198"/>
    </w:p>
    <w:p>
      <w:pPr>
        <w:pStyle w:val="3"/>
        <w:ind w:firstLine="643" w:firstLineChars="200"/>
        <w:rPr>
          <w:rFonts w:ascii="楷体_GB2312" w:hAnsi="仿宋" w:eastAsia="楷体_GB2312"/>
        </w:rPr>
      </w:pPr>
      <w:r>
        <w:rPr>
          <w:rFonts w:hint="eastAsia" w:ascii="楷体_GB2312" w:hAnsi="宋体" w:eastAsia="楷体_GB2312" w:cs="宋体"/>
          <w:color w:val="000000"/>
        </w:rPr>
        <w:t>（一）主要职能</w:t>
      </w:r>
      <w:bookmarkEnd w:id="16"/>
      <w:bookmarkEnd w:id="17"/>
    </w:p>
    <w:p>
      <w:pPr>
        <w:pStyle w:val="3"/>
        <w:ind w:firstLine="640" w:firstLineChars="200"/>
        <w:rPr>
          <w:rFonts w:ascii="仿宋_GB2312" w:hAnsi="仿宋" w:eastAsia="仿宋_GB2312"/>
          <w:b w:val="0"/>
          <w:bCs w:val="0"/>
        </w:rPr>
      </w:pPr>
      <w:r>
        <w:rPr>
          <w:rFonts w:ascii="仿宋_GB2312" w:hAnsi="仿宋" w:eastAsia="仿宋_GB2312"/>
          <w:b w:val="0"/>
          <w:bCs w:val="0"/>
        </w:rPr>
        <w:t>1</w:t>
      </w:r>
      <w:r>
        <w:rPr>
          <w:rFonts w:hint="eastAsia" w:ascii="仿宋_GB2312" w:hAnsi="仿宋" w:eastAsia="仿宋_GB2312"/>
          <w:b w:val="0"/>
          <w:bCs w:val="0"/>
        </w:rPr>
        <w:t>、组织贯彻实施《产品质量法》、《标准化法》、《计量法》、《特种设备安全法》、《认证认可条例》等法律法规，负责全市质量、计量、标准化、认证认可、特种设备安全等综合管理和行政执法工作。</w:t>
      </w:r>
    </w:p>
    <w:p>
      <w:pPr>
        <w:ind w:firstLine="640" w:firstLineChars="200"/>
        <w:rPr>
          <w:rFonts w:ascii="仿宋_GB2312" w:hAnsi="仿宋" w:eastAsia="仿宋_GB2312"/>
          <w:sz w:val="32"/>
          <w:szCs w:val="32"/>
        </w:rPr>
      </w:pPr>
      <w:r>
        <w:rPr>
          <w:rFonts w:ascii="仿宋_GB2312" w:hAnsi="仿宋" w:eastAsia="仿宋_GB2312"/>
          <w:sz w:val="32"/>
          <w:szCs w:val="32"/>
        </w:rPr>
        <w:t>2</w:t>
      </w:r>
      <w:r>
        <w:rPr>
          <w:rFonts w:hint="eastAsia" w:ascii="仿宋_GB2312" w:hAnsi="仿宋" w:eastAsia="仿宋_GB2312"/>
          <w:sz w:val="32"/>
          <w:szCs w:val="32"/>
        </w:rPr>
        <w:t>、贯彻执行国家有关质量技术监督工作的方针、政策和法律法规，拟定提高全市质量水平的发展战略及有关政策并组织实施，起草有关质量技术监督的规范性文件草案，负责与质量技术监督有关的技术规范工作。</w:t>
      </w:r>
    </w:p>
    <w:p>
      <w:pPr>
        <w:ind w:firstLine="800" w:firstLineChars="250"/>
        <w:rPr>
          <w:rFonts w:ascii="仿宋_GB2312" w:hAnsi="仿宋" w:eastAsia="仿宋_GB2312"/>
          <w:sz w:val="32"/>
          <w:szCs w:val="32"/>
        </w:rPr>
      </w:pPr>
      <w:r>
        <w:rPr>
          <w:rFonts w:ascii="仿宋_GB2312" w:hAnsi="仿宋" w:eastAsia="仿宋_GB2312"/>
          <w:sz w:val="32"/>
          <w:szCs w:val="32"/>
        </w:rPr>
        <w:t>3</w:t>
      </w:r>
      <w:r>
        <w:rPr>
          <w:rFonts w:hint="eastAsia" w:ascii="仿宋_GB2312" w:hAnsi="仿宋" w:eastAsia="仿宋_GB2312"/>
          <w:sz w:val="32"/>
          <w:szCs w:val="32"/>
        </w:rPr>
        <w:t>、承担全市产品质量诚信体系建设责任，贯彻实施国家质量振兴纲要；负责全市质量管理工作，推进名牌发展战略，负责工业产品生产许可证管理；会同有关部门组织实施重大工程设备质量监理制度，组织重大产品质量事故调查，实施缺陷产品召回制度；监督管理产品防伪工作。</w:t>
      </w:r>
    </w:p>
    <w:p>
      <w:pPr>
        <w:ind w:firstLine="800" w:firstLineChars="250"/>
        <w:rPr>
          <w:rFonts w:ascii="仿宋_GB2312" w:hAnsi="仿宋" w:eastAsia="仿宋_GB2312"/>
          <w:sz w:val="32"/>
          <w:szCs w:val="32"/>
        </w:rPr>
      </w:pPr>
      <w:r>
        <w:rPr>
          <w:rFonts w:ascii="仿宋_GB2312" w:hAnsi="仿宋" w:eastAsia="仿宋_GB2312"/>
          <w:sz w:val="32"/>
          <w:szCs w:val="32"/>
        </w:rPr>
        <w:t>4</w:t>
      </w:r>
      <w:r>
        <w:rPr>
          <w:rFonts w:hint="eastAsia" w:ascii="仿宋_GB2312" w:hAnsi="仿宋" w:eastAsia="仿宋_GB2312"/>
          <w:sz w:val="32"/>
          <w:szCs w:val="32"/>
        </w:rPr>
        <w:t>、负责全市产品质量安全监督工作，管理产品质量安全预警、风险监控、监督抽查相关工作，监督管理全市产品质量监督检验、仲裁检验、鉴定；负责机动车安全技术检验机构的资格管理。</w:t>
      </w:r>
    </w:p>
    <w:p>
      <w:pPr>
        <w:ind w:firstLine="800" w:firstLineChars="250"/>
        <w:rPr>
          <w:rFonts w:ascii="仿宋_GB2312" w:hAnsi="仿宋" w:eastAsia="仿宋_GB2312"/>
          <w:sz w:val="32"/>
          <w:szCs w:val="32"/>
        </w:rPr>
      </w:pPr>
      <w:r>
        <w:rPr>
          <w:rFonts w:ascii="仿宋_GB2312" w:hAnsi="仿宋" w:eastAsia="仿宋_GB2312"/>
          <w:sz w:val="32"/>
          <w:szCs w:val="32"/>
        </w:rPr>
        <w:t>5</w:t>
      </w:r>
      <w:r>
        <w:rPr>
          <w:rFonts w:hint="eastAsia" w:ascii="仿宋_GB2312" w:hAnsi="仿宋" w:eastAsia="仿宋_GB2312"/>
          <w:sz w:val="32"/>
          <w:szCs w:val="32"/>
        </w:rPr>
        <w:t>、负责全市食品包装材料、容器、食品生产经营工具等食品相关产品生产加工环节的质量安全监督管理；负责食品相关产品生产许可证管理；参与食品安全风险监测。</w:t>
      </w:r>
    </w:p>
    <w:p>
      <w:pPr>
        <w:ind w:firstLine="800" w:firstLineChars="250"/>
        <w:rPr>
          <w:rFonts w:ascii="仿宋_GB2312" w:hAnsi="仿宋" w:eastAsia="仿宋_GB2312"/>
          <w:sz w:val="32"/>
          <w:szCs w:val="32"/>
        </w:rPr>
      </w:pPr>
      <w:r>
        <w:rPr>
          <w:rFonts w:ascii="仿宋_GB2312" w:hAnsi="仿宋" w:eastAsia="仿宋_GB2312"/>
          <w:sz w:val="32"/>
          <w:szCs w:val="32"/>
        </w:rPr>
        <w:t>6</w:t>
      </w:r>
      <w:r>
        <w:rPr>
          <w:rFonts w:hint="eastAsia" w:ascii="仿宋_GB2312" w:hAnsi="仿宋" w:eastAsia="仿宋_GB2312"/>
          <w:sz w:val="32"/>
          <w:szCs w:val="32"/>
        </w:rPr>
        <w:t>、负责统一管理全市计量工作，推行法定计量单位和国家计量制度，依法管理全市计量器具及量值传递、校准和比对工作，规范、监督商品量和市场计量行为。</w:t>
      </w:r>
    </w:p>
    <w:p>
      <w:pPr>
        <w:ind w:firstLine="800" w:firstLineChars="250"/>
        <w:rPr>
          <w:rFonts w:ascii="仿宋_GB2312" w:hAnsi="仿宋" w:eastAsia="仿宋_GB2312"/>
          <w:sz w:val="32"/>
          <w:szCs w:val="32"/>
        </w:rPr>
      </w:pPr>
      <w:r>
        <w:rPr>
          <w:rFonts w:ascii="仿宋_GB2312" w:hAnsi="仿宋" w:eastAsia="仿宋_GB2312"/>
          <w:sz w:val="32"/>
          <w:szCs w:val="32"/>
        </w:rPr>
        <w:t>7</w:t>
      </w:r>
      <w:r>
        <w:rPr>
          <w:rFonts w:hint="eastAsia" w:ascii="仿宋_GB2312" w:hAnsi="仿宋" w:eastAsia="仿宋_GB2312"/>
          <w:sz w:val="32"/>
          <w:szCs w:val="32"/>
        </w:rPr>
        <w:t>、负责统一管理全市标准化工作，贯彻实施国家标准、行业标准和地方标准，负责地方标准的统一立项、审查、编号和发布，推行采用国际标准，受理企业产品标准备案，组织协调全市农业标准化工作，管理全市商品条码。</w:t>
      </w:r>
    </w:p>
    <w:p>
      <w:pPr>
        <w:ind w:firstLine="800" w:firstLineChars="250"/>
        <w:rPr>
          <w:rFonts w:ascii="仿宋_GB2312" w:hAnsi="仿宋" w:eastAsia="仿宋_GB2312"/>
          <w:sz w:val="32"/>
          <w:szCs w:val="32"/>
        </w:rPr>
      </w:pPr>
      <w:r>
        <w:rPr>
          <w:rFonts w:ascii="仿宋_GB2312" w:hAnsi="仿宋" w:eastAsia="仿宋_GB2312"/>
          <w:sz w:val="32"/>
          <w:szCs w:val="32"/>
        </w:rPr>
        <w:t>8</w:t>
      </w:r>
      <w:r>
        <w:rPr>
          <w:rFonts w:hint="eastAsia" w:ascii="仿宋_GB2312" w:hAnsi="仿宋" w:eastAsia="仿宋_GB2312"/>
          <w:sz w:val="32"/>
          <w:szCs w:val="32"/>
        </w:rPr>
        <w:t>、负责全市国家地理标志产品保护工作，推进国家地理标志保护战略。</w:t>
      </w:r>
    </w:p>
    <w:p>
      <w:pPr>
        <w:ind w:firstLine="800" w:firstLineChars="250"/>
        <w:rPr>
          <w:rFonts w:ascii="仿宋_GB2312" w:hAnsi="仿宋" w:eastAsia="仿宋_GB2312"/>
          <w:sz w:val="32"/>
          <w:szCs w:val="32"/>
        </w:rPr>
      </w:pPr>
      <w:r>
        <w:rPr>
          <w:rFonts w:ascii="仿宋_GB2312" w:hAnsi="仿宋" w:eastAsia="仿宋_GB2312"/>
          <w:sz w:val="32"/>
          <w:szCs w:val="32"/>
        </w:rPr>
        <w:t>9</w:t>
      </w:r>
      <w:r>
        <w:rPr>
          <w:rFonts w:hint="eastAsia" w:ascii="仿宋_GB2312" w:hAnsi="仿宋" w:eastAsia="仿宋_GB2312"/>
          <w:sz w:val="32"/>
          <w:szCs w:val="32"/>
        </w:rPr>
        <w:t>、负责统一管理全市认证认可工作，贯彻实施强制性产品认证制度和国家统一推行的其他认证认可制度；依法监督管理与质量监督相关的检测技术机构、认证中介组织及认证企业和认证产品。</w:t>
      </w:r>
      <w:r>
        <w:rPr>
          <w:rFonts w:ascii="仿宋_GB2312" w:hAnsi="仿宋" w:eastAsia="仿宋_GB2312"/>
          <w:sz w:val="32"/>
          <w:szCs w:val="32"/>
        </w:rPr>
        <w:t xml:space="preserve"> </w:t>
      </w:r>
    </w:p>
    <w:p>
      <w:pPr>
        <w:ind w:firstLine="800" w:firstLineChars="250"/>
        <w:rPr>
          <w:rFonts w:ascii="仿宋_GB2312" w:hAnsi="仿宋" w:eastAsia="仿宋_GB2312"/>
          <w:sz w:val="32"/>
          <w:szCs w:val="32"/>
        </w:rPr>
      </w:pPr>
      <w:r>
        <w:rPr>
          <w:rFonts w:ascii="仿宋_GB2312" w:hAnsi="仿宋" w:eastAsia="仿宋_GB2312"/>
          <w:sz w:val="32"/>
          <w:szCs w:val="32"/>
        </w:rPr>
        <w:t>10</w:t>
      </w:r>
      <w:r>
        <w:rPr>
          <w:rFonts w:hint="eastAsia" w:ascii="仿宋_GB2312" w:hAnsi="仿宋" w:eastAsia="仿宋_GB2312"/>
          <w:sz w:val="32"/>
          <w:szCs w:val="32"/>
        </w:rPr>
        <w:t>、依法承担锅炉、压力容器（含气瓶）、压力管道、电梯、起重机械、客运索道、大型游乐设施、场（厂）内专用机动车辆的安全监察工作；组织特种设备一般事故调查，依法查处特种设备违法行为。</w:t>
      </w:r>
      <w:r>
        <w:rPr>
          <w:rFonts w:ascii="仿宋_GB2312" w:hAnsi="仿宋" w:eastAsia="仿宋_GB2312"/>
          <w:sz w:val="32"/>
          <w:szCs w:val="32"/>
        </w:rPr>
        <w:t xml:space="preserve"> </w:t>
      </w:r>
    </w:p>
    <w:p>
      <w:pPr>
        <w:ind w:firstLine="800" w:firstLineChars="250"/>
        <w:rPr>
          <w:rFonts w:ascii="仿宋_GB2312" w:hAnsi="仿宋" w:eastAsia="仿宋_GB2312"/>
          <w:sz w:val="32"/>
          <w:szCs w:val="32"/>
        </w:rPr>
      </w:pPr>
      <w:r>
        <w:rPr>
          <w:rFonts w:ascii="仿宋_GB2312" w:hAnsi="仿宋" w:eastAsia="仿宋_GB2312"/>
          <w:sz w:val="32"/>
          <w:szCs w:val="32"/>
        </w:rPr>
        <w:t>11</w:t>
      </w:r>
      <w:r>
        <w:rPr>
          <w:rFonts w:hint="eastAsia" w:ascii="仿宋_GB2312" w:hAnsi="仿宋" w:eastAsia="仿宋_GB2312"/>
          <w:sz w:val="32"/>
          <w:szCs w:val="32"/>
        </w:rPr>
        <w:t>、负责全市质量技术监督行政执法和执法监督管理工作，依法查处产品质量违法行为，打击假冒伪劣质量违法活动，办理质量技术监督行政案件和行政复议案件。</w:t>
      </w:r>
      <w:r>
        <w:rPr>
          <w:rFonts w:ascii="仿宋_GB2312" w:hAnsi="仿宋" w:eastAsia="仿宋_GB2312"/>
          <w:sz w:val="32"/>
          <w:szCs w:val="32"/>
        </w:rPr>
        <w:t xml:space="preserve"> </w:t>
      </w:r>
    </w:p>
    <w:p>
      <w:pPr>
        <w:ind w:firstLine="800" w:firstLineChars="250"/>
        <w:rPr>
          <w:rFonts w:ascii="仿宋_GB2312" w:hAnsi="仿宋" w:eastAsia="仿宋_GB2312"/>
          <w:sz w:val="32"/>
          <w:szCs w:val="32"/>
        </w:rPr>
      </w:pPr>
      <w:r>
        <w:rPr>
          <w:rFonts w:ascii="仿宋_GB2312" w:hAnsi="仿宋" w:eastAsia="仿宋_GB2312"/>
          <w:sz w:val="32"/>
          <w:szCs w:val="32"/>
        </w:rPr>
        <w:t>12</w:t>
      </w:r>
      <w:r>
        <w:rPr>
          <w:rFonts w:hint="eastAsia" w:ascii="仿宋_GB2312" w:hAnsi="仿宋" w:eastAsia="仿宋_GB2312"/>
          <w:sz w:val="32"/>
          <w:szCs w:val="32"/>
        </w:rPr>
        <w:t>、负责管理和指导全市质量技术监督科技工作，制订并组织实施全市质量技术监督科技发展和技术机构建设规划，组织协调行业和专业的质量技术监督工作，组织质量技术监督的科研和技术引进工作，开展国际合作交流，推行质量技术监督行业执业资格制度。</w:t>
      </w:r>
      <w:r>
        <w:rPr>
          <w:rFonts w:ascii="仿宋_GB2312" w:hAnsi="仿宋" w:eastAsia="仿宋_GB2312"/>
          <w:sz w:val="32"/>
          <w:szCs w:val="32"/>
        </w:rPr>
        <w:t xml:space="preserve"> </w:t>
      </w:r>
    </w:p>
    <w:p>
      <w:pPr>
        <w:ind w:firstLine="800" w:firstLineChars="250"/>
        <w:rPr>
          <w:rFonts w:ascii="仿宋_GB2312" w:hAnsi="仿宋" w:eastAsia="仿宋_GB2312"/>
          <w:sz w:val="32"/>
          <w:szCs w:val="32"/>
        </w:rPr>
      </w:pPr>
      <w:r>
        <w:rPr>
          <w:rFonts w:ascii="仿宋_GB2312" w:hAnsi="仿宋" w:eastAsia="仿宋_GB2312"/>
          <w:sz w:val="32"/>
          <w:szCs w:val="32"/>
        </w:rPr>
        <w:t>13</w:t>
      </w:r>
      <w:r>
        <w:rPr>
          <w:rFonts w:hint="eastAsia" w:ascii="仿宋_GB2312" w:hAnsi="仿宋" w:eastAsia="仿宋_GB2312"/>
          <w:sz w:val="32"/>
          <w:szCs w:val="32"/>
        </w:rPr>
        <w:t>、承担市政府公布的有关行政审批事项。</w:t>
      </w:r>
      <w:r>
        <w:rPr>
          <w:rFonts w:ascii="仿宋_GB2312" w:hAnsi="仿宋" w:eastAsia="仿宋_GB2312"/>
          <w:sz w:val="32"/>
          <w:szCs w:val="32"/>
        </w:rPr>
        <w:t xml:space="preserve"> </w:t>
      </w:r>
    </w:p>
    <w:p>
      <w:pPr>
        <w:ind w:firstLine="800" w:firstLineChars="250"/>
        <w:rPr>
          <w:rFonts w:ascii="仿宋_GB2312" w:hAnsi="仿宋" w:eastAsia="仿宋_GB2312"/>
          <w:sz w:val="32"/>
          <w:szCs w:val="32"/>
        </w:rPr>
      </w:pPr>
      <w:r>
        <w:rPr>
          <w:rFonts w:ascii="仿宋_GB2312" w:hAnsi="仿宋" w:eastAsia="仿宋_GB2312"/>
          <w:sz w:val="32"/>
          <w:szCs w:val="32"/>
        </w:rPr>
        <w:t>14</w:t>
      </w:r>
      <w:r>
        <w:rPr>
          <w:rFonts w:hint="eastAsia" w:ascii="仿宋_GB2312" w:hAnsi="仿宋" w:eastAsia="仿宋_GB2312"/>
          <w:sz w:val="32"/>
          <w:szCs w:val="32"/>
        </w:rPr>
        <w:t>、承办市政府交办的其他事项。</w:t>
      </w:r>
      <w:r>
        <w:rPr>
          <w:rFonts w:ascii="仿宋_GB2312" w:hAnsi="仿宋" w:eastAsia="仿宋_GB2312"/>
          <w:sz w:val="32"/>
          <w:szCs w:val="32"/>
        </w:rPr>
        <w:t xml:space="preserve"> </w:t>
      </w:r>
    </w:p>
    <w:p>
      <w:pPr>
        <w:ind w:firstLine="800" w:firstLineChars="250"/>
        <w:rPr>
          <w:rFonts w:ascii="仿宋_GB2312" w:hAnsi="仿宋" w:eastAsia="仿宋_GB2312"/>
          <w:sz w:val="32"/>
          <w:szCs w:val="32"/>
        </w:rPr>
      </w:pPr>
      <w:r>
        <w:rPr>
          <w:rFonts w:ascii="仿宋_GB2312" w:hAnsi="仿宋" w:eastAsia="仿宋_GB2312"/>
          <w:sz w:val="32"/>
          <w:szCs w:val="32"/>
        </w:rPr>
        <w:t>15</w:t>
      </w:r>
      <w:r>
        <w:rPr>
          <w:rFonts w:hint="eastAsia" w:ascii="仿宋_GB2312" w:hAnsi="仿宋" w:eastAsia="仿宋_GB2312"/>
          <w:sz w:val="32"/>
          <w:szCs w:val="32"/>
        </w:rPr>
        <w:t>、市产品质量监督检验所主要职责：负责全市范围内有关产（商）品质量的监督检验、委托检验、质量仲裁检验工作；承担上级下达的各项监督检查、专项检查和定期监督检查工作；承接各类委托检验；依法受理各类仲裁检验；指导帮助企业建立完善检验管理体系。</w:t>
      </w:r>
    </w:p>
    <w:p>
      <w:pPr>
        <w:ind w:firstLine="800" w:firstLineChars="250"/>
        <w:rPr>
          <w:rFonts w:ascii="仿宋_GB2312" w:hAnsi="仿宋" w:eastAsia="仿宋_GB2312"/>
          <w:sz w:val="32"/>
          <w:szCs w:val="32"/>
        </w:rPr>
      </w:pPr>
      <w:r>
        <w:rPr>
          <w:rFonts w:ascii="仿宋_GB2312" w:hAnsi="仿宋" w:eastAsia="仿宋_GB2312"/>
          <w:sz w:val="32"/>
          <w:szCs w:val="32"/>
        </w:rPr>
        <w:t>16</w:t>
      </w:r>
      <w:r>
        <w:rPr>
          <w:rFonts w:hint="eastAsia" w:ascii="仿宋_GB2312" w:hAnsi="仿宋" w:eastAsia="仿宋_GB2312"/>
          <w:sz w:val="32"/>
          <w:szCs w:val="32"/>
        </w:rPr>
        <w:t>、市特种设备监督检验所主要职责：负责全市范围内特种设备的定期检验和监督检验工作，承担与特种设备相关的技术培训、考核、咨询和服务工作。</w:t>
      </w:r>
    </w:p>
    <w:p>
      <w:pPr>
        <w:ind w:firstLine="800" w:firstLineChars="250"/>
        <w:rPr>
          <w:rFonts w:ascii="仿宋_GB2312" w:hAnsi="仿宋" w:eastAsia="仿宋_GB2312"/>
          <w:bCs/>
          <w:color w:val="000000"/>
          <w:sz w:val="32"/>
          <w:szCs w:val="32"/>
        </w:rPr>
      </w:pPr>
      <w:r>
        <w:rPr>
          <w:rFonts w:ascii="仿宋_GB2312" w:hAnsi="仿宋" w:eastAsia="仿宋_GB2312"/>
          <w:sz w:val="32"/>
          <w:szCs w:val="32"/>
        </w:rPr>
        <w:t>17</w:t>
      </w:r>
      <w:r>
        <w:rPr>
          <w:rFonts w:hint="eastAsia" w:ascii="仿宋_GB2312" w:hAnsi="仿宋" w:eastAsia="仿宋_GB2312"/>
          <w:sz w:val="32"/>
          <w:szCs w:val="32"/>
        </w:rPr>
        <w:t>、市计量检定测试所主要职责：负责全市范围内建立社会公用计量标准，进行量值传递，执行强制检定和法律规定的其他检定、测试工作，起草技术规范，为实施计量监督管理提供技术保障。</w:t>
      </w:r>
      <w:r>
        <w:rPr>
          <w:rFonts w:ascii="仿宋_GB2312" w:hAnsi="仿宋" w:eastAsia="仿宋_GB2312" w:cs="仿宋"/>
          <w:snapToGrid w:val="0"/>
          <w:color w:val="000000"/>
          <w:kern w:val="0"/>
          <w:sz w:val="32"/>
          <w:szCs w:val="32"/>
        </w:rPr>
        <w:t xml:space="preserve"> </w:t>
      </w:r>
    </w:p>
    <w:p>
      <w:pPr>
        <w:pStyle w:val="5"/>
        <w:adjustRightInd w:val="0"/>
        <w:snapToGrid w:val="0"/>
        <w:spacing w:before="93" w:line="600" w:lineRule="exact"/>
        <w:ind w:firstLine="675" w:firstLineChars="210"/>
        <w:outlineLvl w:val="2"/>
        <w:rPr>
          <w:rFonts w:ascii="楷体_GB2312" w:hAnsi="宋体" w:eastAsia="楷体_GB2312" w:cs="宋体"/>
          <w:b/>
          <w:bCs/>
          <w:color w:val="000000"/>
          <w:kern w:val="2"/>
          <w:sz w:val="32"/>
          <w:szCs w:val="32"/>
        </w:rPr>
      </w:pPr>
      <w:bookmarkStart w:id="18" w:name="_Toc15377199"/>
      <w:bookmarkStart w:id="19" w:name="_Toc15378446"/>
      <w:r>
        <w:rPr>
          <w:rFonts w:hint="eastAsia" w:ascii="楷体_GB2312" w:hAnsi="宋体" w:eastAsia="楷体_GB2312" w:cs="宋体"/>
          <w:b/>
          <w:bCs/>
          <w:color w:val="000000"/>
          <w:kern w:val="2"/>
          <w:sz w:val="32"/>
          <w:szCs w:val="32"/>
        </w:rPr>
        <w:t>（二）</w:t>
      </w:r>
      <w:r>
        <w:rPr>
          <w:rFonts w:ascii="楷体_GB2312" w:hAnsi="宋体" w:eastAsia="楷体_GB2312" w:cs="宋体"/>
          <w:b/>
          <w:bCs/>
          <w:color w:val="000000"/>
          <w:kern w:val="2"/>
          <w:sz w:val="32"/>
          <w:szCs w:val="32"/>
        </w:rPr>
        <w:t>2018</w:t>
      </w:r>
      <w:r>
        <w:rPr>
          <w:rFonts w:hint="eastAsia" w:ascii="楷体_GB2312" w:hAnsi="宋体" w:eastAsia="楷体_GB2312" w:cs="宋体"/>
          <w:b/>
          <w:bCs/>
          <w:color w:val="000000"/>
          <w:kern w:val="2"/>
          <w:sz w:val="32"/>
          <w:szCs w:val="32"/>
        </w:rPr>
        <w:t>年重点工作完成情况</w:t>
      </w:r>
      <w:bookmarkEnd w:id="18"/>
      <w:bookmarkEnd w:id="19"/>
    </w:p>
    <w:p>
      <w:pPr>
        <w:ind w:firstLine="643" w:firstLineChars="200"/>
        <w:rPr>
          <w:rFonts w:ascii="仿宋_GB2312" w:hAnsi="仿宋" w:eastAsia="仿宋_GB2312"/>
          <w:sz w:val="32"/>
          <w:szCs w:val="32"/>
        </w:rPr>
      </w:pPr>
      <w:r>
        <w:rPr>
          <w:rFonts w:ascii="仿宋_GB2312" w:hAnsi="仿宋" w:eastAsia="仿宋_GB2312"/>
          <w:b/>
          <w:bCs/>
          <w:sz w:val="32"/>
          <w:szCs w:val="32"/>
        </w:rPr>
        <w:t>1</w:t>
      </w:r>
      <w:r>
        <w:rPr>
          <w:rFonts w:hint="eastAsia" w:ascii="仿宋_GB2312" w:hAnsi="仿宋" w:eastAsia="仿宋_GB2312"/>
          <w:b/>
          <w:bCs/>
          <w:sz w:val="32"/>
          <w:szCs w:val="32"/>
        </w:rPr>
        <w:t>、质量提升绘出了路线图</w:t>
      </w:r>
      <w:r>
        <w:rPr>
          <w:rFonts w:hint="eastAsia" w:ascii="仿宋_GB2312" w:hAnsi="仿宋" w:eastAsia="仿宋_GB2312"/>
          <w:sz w:val="32"/>
          <w:szCs w:val="32"/>
        </w:rPr>
        <w:t>。一是质量政策更鲜明。报请市委市政府出台《广元市开展质量提升行动实施方案》，方案凸显广元特色，提出了全国有机产品认证示范市创建、质量创新能力提升、优势特色农产品品牌孵化、特色餐饮服务业品牌输出、大蜀道国际旅游目的地打造等十大工程，统领全市质量提升工作。二是质量提升更精准。在全市</w:t>
      </w:r>
      <w:r>
        <w:rPr>
          <w:rFonts w:ascii="仿宋_GB2312" w:hAnsi="仿宋" w:eastAsia="仿宋_GB2312"/>
          <w:sz w:val="32"/>
          <w:szCs w:val="32"/>
        </w:rPr>
        <w:t>50</w:t>
      </w:r>
      <w:r>
        <w:rPr>
          <w:rFonts w:hint="eastAsia" w:ascii="仿宋_GB2312" w:hAnsi="仿宋" w:eastAsia="仿宋_GB2312"/>
          <w:sz w:val="32"/>
          <w:szCs w:val="32"/>
        </w:rPr>
        <w:t>家重点消费品企业建立了质量提升台帐清单，帮助企业查找存在的质量问题和短板</w:t>
      </w:r>
      <w:r>
        <w:rPr>
          <w:rFonts w:ascii="仿宋_GB2312" w:hAnsi="仿宋" w:eastAsia="仿宋_GB2312"/>
          <w:sz w:val="32"/>
          <w:szCs w:val="32"/>
        </w:rPr>
        <w:t>116</w:t>
      </w:r>
      <w:r>
        <w:rPr>
          <w:rFonts w:hint="eastAsia" w:ascii="仿宋_GB2312" w:hAnsi="仿宋" w:eastAsia="仿宋_GB2312"/>
          <w:sz w:val="32"/>
          <w:szCs w:val="32"/>
        </w:rPr>
        <w:t>个，制定提升目标</w:t>
      </w:r>
      <w:r>
        <w:rPr>
          <w:rFonts w:ascii="仿宋_GB2312" w:hAnsi="仿宋" w:eastAsia="仿宋_GB2312"/>
          <w:sz w:val="32"/>
          <w:szCs w:val="32"/>
        </w:rPr>
        <w:t>56</w:t>
      </w:r>
      <w:r>
        <w:rPr>
          <w:rFonts w:hint="eastAsia" w:ascii="仿宋_GB2312" w:hAnsi="仿宋" w:eastAsia="仿宋_GB2312"/>
          <w:sz w:val="32"/>
          <w:szCs w:val="32"/>
        </w:rPr>
        <w:t>个、提升措施</w:t>
      </w:r>
      <w:r>
        <w:rPr>
          <w:rFonts w:ascii="仿宋_GB2312" w:hAnsi="仿宋" w:eastAsia="仿宋_GB2312"/>
          <w:sz w:val="32"/>
          <w:szCs w:val="32"/>
        </w:rPr>
        <w:t>127</w:t>
      </w:r>
      <w:r>
        <w:rPr>
          <w:rFonts w:hint="eastAsia" w:ascii="仿宋_GB2312" w:hAnsi="仿宋" w:eastAsia="仿宋_GB2312"/>
          <w:sz w:val="32"/>
          <w:szCs w:val="32"/>
        </w:rPr>
        <w:t>个，全面帮助企业开展质量提升。三是质量考核更有力。</w:t>
      </w:r>
      <w:r>
        <w:rPr>
          <w:rFonts w:ascii="仿宋_GB2312" w:hAnsi="仿宋" w:eastAsia="仿宋_GB2312"/>
          <w:sz w:val="32"/>
          <w:szCs w:val="32"/>
        </w:rPr>
        <w:t>2017</w:t>
      </w:r>
      <w:r>
        <w:rPr>
          <w:rFonts w:hint="eastAsia" w:ascii="仿宋_GB2312" w:hAnsi="仿宋" w:eastAsia="仿宋_GB2312"/>
          <w:sz w:val="32"/>
          <w:szCs w:val="32"/>
        </w:rPr>
        <w:t>年度市（州）政府质量工作考核列川东北首位，居全省第七，同比排位上升</w:t>
      </w:r>
      <w:r>
        <w:rPr>
          <w:rFonts w:ascii="仿宋_GB2312" w:hAnsi="仿宋" w:eastAsia="仿宋_GB2312"/>
          <w:sz w:val="32"/>
          <w:szCs w:val="32"/>
        </w:rPr>
        <w:t>4</w:t>
      </w:r>
      <w:r>
        <w:rPr>
          <w:rFonts w:hint="eastAsia" w:ascii="仿宋_GB2312" w:hAnsi="仿宋" w:eastAsia="仿宋_GB2312"/>
          <w:sz w:val="32"/>
          <w:szCs w:val="32"/>
        </w:rPr>
        <w:t>个名次。县区质量工作考核导向作用进一步发挥，大质量工作机制有效推进。四是质量宣传更响亮。在广元日报开设“开展质量提升行动着力打造品质广元”专栏，连续刊登</w:t>
      </w:r>
      <w:r>
        <w:rPr>
          <w:rFonts w:ascii="仿宋_GB2312" w:hAnsi="仿宋" w:eastAsia="仿宋_GB2312"/>
          <w:sz w:val="32"/>
          <w:szCs w:val="32"/>
        </w:rPr>
        <w:t>11</w:t>
      </w:r>
      <w:r>
        <w:rPr>
          <w:rFonts w:hint="eastAsia" w:ascii="仿宋_GB2312" w:hAnsi="仿宋" w:eastAsia="仿宋_GB2312"/>
          <w:sz w:val="32"/>
          <w:szCs w:val="32"/>
        </w:rPr>
        <w:t>篇文章，全面展示出我市质量发展的新变化和品牌创建、标准先行、有机引领、质量监管等方面取得的成效。</w:t>
      </w:r>
    </w:p>
    <w:p>
      <w:pPr>
        <w:ind w:firstLine="643" w:firstLineChars="200"/>
        <w:rPr>
          <w:rFonts w:ascii="仿宋_GB2312" w:hAnsi="仿宋" w:eastAsia="仿宋_GB2312"/>
          <w:sz w:val="32"/>
          <w:szCs w:val="32"/>
        </w:rPr>
      </w:pPr>
      <w:r>
        <w:rPr>
          <w:rFonts w:ascii="仿宋_GB2312" w:hAnsi="仿宋" w:eastAsia="仿宋_GB2312"/>
          <w:b/>
          <w:bCs/>
          <w:sz w:val="32"/>
          <w:szCs w:val="32"/>
        </w:rPr>
        <w:t>2</w:t>
      </w:r>
      <w:r>
        <w:rPr>
          <w:rFonts w:hint="eastAsia" w:ascii="仿宋_GB2312" w:hAnsi="仿宋" w:eastAsia="仿宋_GB2312"/>
          <w:b/>
          <w:bCs/>
          <w:sz w:val="32"/>
          <w:szCs w:val="32"/>
        </w:rPr>
        <w:t>、有机示范趟出了黄金路</w:t>
      </w:r>
      <w:r>
        <w:rPr>
          <w:rFonts w:hint="eastAsia" w:ascii="仿宋_GB2312" w:hAnsi="仿宋" w:eastAsia="仿宋_GB2312"/>
          <w:sz w:val="32"/>
          <w:szCs w:val="32"/>
        </w:rPr>
        <w:t>。一是加速有机认证。全面推进有机产品认证，全市新增证书</w:t>
      </w:r>
      <w:r>
        <w:rPr>
          <w:rFonts w:ascii="仿宋_GB2312" w:hAnsi="仿宋" w:eastAsia="仿宋_GB2312"/>
          <w:sz w:val="32"/>
          <w:szCs w:val="32"/>
        </w:rPr>
        <w:t>33</w:t>
      </w:r>
      <w:r>
        <w:rPr>
          <w:rFonts w:hint="eastAsia" w:ascii="仿宋_GB2312" w:hAnsi="仿宋" w:eastAsia="仿宋_GB2312"/>
          <w:sz w:val="32"/>
          <w:szCs w:val="32"/>
        </w:rPr>
        <w:t>张</w:t>
      </w:r>
      <w:r>
        <w:rPr>
          <w:rFonts w:ascii="仿宋_GB2312" w:hAnsi="仿宋" w:eastAsia="仿宋_GB2312"/>
          <w:sz w:val="32"/>
          <w:szCs w:val="32"/>
        </w:rPr>
        <w:t>,</w:t>
      </w:r>
      <w:r>
        <w:rPr>
          <w:rFonts w:hint="eastAsia" w:ascii="仿宋_GB2312" w:hAnsi="仿宋" w:eastAsia="仿宋_GB2312"/>
          <w:sz w:val="32"/>
          <w:szCs w:val="32"/>
        </w:rPr>
        <w:t>有机产品认证数量</w:t>
      </w:r>
      <w:r>
        <w:rPr>
          <w:rFonts w:ascii="仿宋_GB2312" w:hAnsi="仿宋" w:eastAsia="仿宋_GB2312"/>
          <w:sz w:val="32"/>
          <w:szCs w:val="32"/>
        </w:rPr>
        <w:t>41</w:t>
      </w:r>
      <w:r>
        <w:rPr>
          <w:rFonts w:hint="eastAsia" w:ascii="仿宋_GB2312" w:hAnsi="仿宋" w:eastAsia="仿宋_GB2312"/>
          <w:sz w:val="32"/>
          <w:szCs w:val="32"/>
        </w:rPr>
        <w:t>个，认证基地面积</w:t>
      </w:r>
      <w:r>
        <w:rPr>
          <w:rFonts w:ascii="仿宋_GB2312" w:hAnsi="仿宋" w:eastAsia="仿宋_GB2312"/>
          <w:sz w:val="32"/>
          <w:szCs w:val="32"/>
        </w:rPr>
        <w:t>22331</w:t>
      </w:r>
      <w:r>
        <w:rPr>
          <w:rFonts w:hint="eastAsia" w:ascii="仿宋_GB2312" w:hAnsi="仿宋" w:eastAsia="仿宋_GB2312"/>
          <w:sz w:val="32"/>
          <w:szCs w:val="32"/>
        </w:rPr>
        <w:t>亩。截至目前，全市共有</w:t>
      </w:r>
      <w:r>
        <w:rPr>
          <w:rFonts w:ascii="仿宋_GB2312" w:hAnsi="仿宋" w:eastAsia="仿宋_GB2312"/>
          <w:sz w:val="32"/>
          <w:szCs w:val="32"/>
        </w:rPr>
        <w:t>44</w:t>
      </w:r>
      <w:r>
        <w:rPr>
          <w:rFonts w:hint="eastAsia" w:ascii="仿宋_GB2312" w:hAnsi="仿宋" w:eastAsia="仿宋_GB2312"/>
          <w:sz w:val="32"/>
          <w:szCs w:val="32"/>
        </w:rPr>
        <w:t>家企业获得</w:t>
      </w:r>
      <w:r>
        <w:rPr>
          <w:rFonts w:ascii="仿宋_GB2312" w:hAnsi="仿宋" w:eastAsia="仿宋_GB2312"/>
          <w:sz w:val="32"/>
          <w:szCs w:val="32"/>
        </w:rPr>
        <w:t>66</w:t>
      </w:r>
      <w:r>
        <w:rPr>
          <w:rFonts w:hint="eastAsia" w:ascii="仿宋_GB2312" w:hAnsi="仿宋" w:eastAsia="仿宋_GB2312"/>
          <w:sz w:val="32"/>
          <w:szCs w:val="32"/>
        </w:rPr>
        <w:t>张认证证书，认证产品</w:t>
      </w:r>
      <w:r>
        <w:rPr>
          <w:rFonts w:ascii="仿宋_GB2312" w:hAnsi="仿宋" w:eastAsia="仿宋_GB2312"/>
          <w:sz w:val="32"/>
          <w:szCs w:val="32"/>
        </w:rPr>
        <w:t>85</w:t>
      </w:r>
      <w:r>
        <w:rPr>
          <w:rFonts w:hint="eastAsia" w:ascii="仿宋_GB2312" w:hAnsi="仿宋" w:eastAsia="仿宋_GB2312"/>
          <w:sz w:val="32"/>
          <w:szCs w:val="32"/>
        </w:rPr>
        <w:t>个，农产品种植基地认证</w:t>
      </w:r>
      <w:r>
        <w:rPr>
          <w:rFonts w:ascii="仿宋_GB2312" w:hAnsi="仿宋" w:eastAsia="仿宋_GB2312"/>
          <w:sz w:val="32"/>
          <w:szCs w:val="32"/>
        </w:rPr>
        <w:t>4</w:t>
      </w:r>
      <w:r>
        <w:rPr>
          <w:rFonts w:hint="eastAsia" w:ascii="仿宋_GB2312" w:hAnsi="仿宋" w:eastAsia="仿宋_GB2312"/>
          <w:sz w:val="32"/>
          <w:szCs w:val="32"/>
        </w:rPr>
        <w:t>万亩，两湖淡水鱼养殖基地认证</w:t>
      </w:r>
      <w:r>
        <w:rPr>
          <w:rFonts w:ascii="仿宋_GB2312" w:hAnsi="仿宋" w:eastAsia="仿宋_GB2312"/>
          <w:sz w:val="32"/>
          <w:szCs w:val="32"/>
        </w:rPr>
        <w:t>22.5</w:t>
      </w:r>
      <w:r>
        <w:rPr>
          <w:rFonts w:hint="eastAsia" w:ascii="仿宋_GB2312" w:hAnsi="仿宋" w:eastAsia="仿宋_GB2312"/>
          <w:sz w:val="32"/>
          <w:szCs w:val="32"/>
        </w:rPr>
        <w:t>万亩。二是加快全域示范。朝天区建成为省级有机产品认证示范区，苍溪、利州、旺苍</w:t>
      </w:r>
      <w:r>
        <w:rPr>
          <w:rFonts w:ascii="仿宋_GB2312" w:hAnsi="仿宋" w:eastAsia="仿宋_GB2312"/>
          <w:sz w:val="32"/>
          <w:szCs w:val="32"/>
        </w:rPr>
        <w:t>3</w:t>
      </w:r>
      <w:r>
        <w:rPr>
          <w:rFonts w:hint="eastAsia" w:ascii="仿宋_GB2312" w:hAnsi="仿宋" w:eastAsia="仿宋_GB2312"/>
          <w:sz w:val="32"/>
          <w:szCs w:val="32"/>
        </w:rPr>
        <w:t>个县区被列为省级有机产品认证示范创建区。全市</w:t>
      </w:r>
      <w:r>
        <w:rPr>
          <w:rFonts w:ascii="仿宋_GB2312" w:hAnsi="仿宋" w:eastAsia="仿宋_GB2312"/>
          <w:sz w:val="32"/>
          <w:szCs w:val="32"/>
        </w:rPr>
        <w:t>7</w:t>
      </w:r>
      <w:r>
        <w:rPr>
          <w:rFonts w:hint="eastAsia" w:ascii="仿宋_GB2312" w:hAnsi="仿宋" w:eastAsia="仿宋_GB2312"/>
          <w:sz w:val="32"/>
          <w:szCs w:val="32"/>
        </w:rPr>
        <w:t>个县区全部建成或列入国家、省有机产品认证示范创建区，全域示范创建格局基本形成。青川县、旺苍县分别在国务院参事室有机农业政策系列调研座谈会和市场监管总局有机产品认证示范现场工作会上作经验交流发言。三是加强认证监管。开展有机产品认证专项整治，检查有机产品生产、加工、销售企业</w:t>
      </w:r>
      <w:r>
        <w:rPr>
          <w:rFonts w:ascii="仿宋_GB2312" w:hAnsi="仿宋" w:eastAsia="仿宋_GB2312"/>
          <w:sz w:val="32"/>
          <w:szCs w:val="32"/>
        </w:rPr>
        <w:t>44</w:t>
      </w:r>
      <w:r>
        <w:rPr>
          <w:rFonts w:hint="eastAsia" w:ascii="仿宋_GB2312" w:hAnsi="仿宋" w:eastAsia="仿宋_GB2312"/>
          <w:sz w:val="32"/>
          <w:szCs w:val="32"/>
        </w:rPr>
        <w:t>家。组织开展</w:t>
      </w:r>
      <w:r>
        <w:rPr>
          <w:rFonts w:ascii="仿宋_GB2312" w:hAnsi="仿宋" w:eastAsia="仿宋_GB2312"/>
          <w:sz w:val="32"/>
          <w:szCs w:val="32"/>
        </w:rPr>
        <w:t>2018</w:t>
      </w:r>
      <w:r>
        <w:rPr>
          <w:rFonts w:hint="eastAsia" w:ascii="仿宋_GB2312" w:hAnsi="仿宋" w:eastAsia="仿宋_GB2312"/>
          <w:sz w:val="32"/>
          <w:szCs w:val="32"/>
        </w:rPr>
        <w:t>年度有机产品认证有效性专项监督抽查，完成省级监督抽查</w:t>
      </w:r>
      <w:r>
        <w:rPr>
          <w:rFonts w:ascii="仿宋_GB2312" w:hAnsi="仿宋" w:eastAsia="仿宋_GB2312"/>
          <w:sz w:val="32"/>
          <w:szCs w:val="32"/>
        </w:rPr>
        <w:t>11</w:t>
      </w:r>
      <w:r>
        <w:rPr>
          <w:rFonts w:hint="eastAsia" w:ascii="仿宋_GB2312" w:hAnsi="仿宋" w:eastAsia="仿宋_GB2312"/>
          <w:sz w:val="32"/>
          <w:szCs w:val="32"/>
        </w:rPr>
        <w:t>个批次，批次合格率达</w:t>
      </w:r>
      <w:r>
        <w:rPr>
          <w:rFonts w:ascii="仿宋_GB2312" w:hAnsi="仿宋" w:eastAsia="仿宋_GB2312"/>
          <w:sz w:val="32"/>
          <w:szCs w:val="32"/>
        </w:rPr>
        <w:t>100%</w:t>
      </w:r>
      <w:r>
        <w:rPr>
          <w:rFonts w:hint="eastAsia" w:ascii="仿宋_GB2312" w:hAnsi="仿宋" w:eastAsia="仿宋_GB2312"/>
          <w:sz w:val="32"/>
          <w:szCs w:val="32"/>
        </w:rPr>
        <w:t>，市级抽查</w:t>
      </w:r>
      <w:r>
        <w:rPr>
          <w:rFonts w:ascii="仿宋_GB2312" w:hAnsi="仿宋" w:eastAsia="仿宋_GB2312"/>
          <w:sz w:val="32"/>
          <w:szCs w:val="32"/>
        </w:rPr>
        <w:t>5</w:t>
      </w:r>
      <w:r>
        <w:rPr>
          <w:rFonts w:hint="eastAsia" w:ascii="仿宋_GB2312" w:hAnsi="仿宋" w:eastAsia="仿宋_GB2312"/>
          <w:sz w:val="32"/>
          <w:szCs w:val="32"/>
        </w:rPr>
        <w:t>类产品</w:t>
      </w:r>
      <w:r>
        <w:rPr>
          <w:rFonts w:ascii="仿宋_GB2312" w:hAnsi="仿宋" w:eastAsia="仿宋_GB2312"/>
          <w:sz w:val="32"/>
          <w:szCs w:val="32"/>
        </w:rPr>
        <w:t>30</w:t>
      </w:r>
      <w:r>
        <w:rPr>
          <w:rFonts w:hint="eastAsia" w:ascii="仿宋_GB2312" w:hAnsi="仿宋" w:eastAsia="仿宋_GB2312"/>
          <w:sz w:val="32"/>
          <w:szCs w:val="32"/>
        </w:rPr>
        <w:t>个批次，合格</w:t>
      </w:r>
      <w:r>
        <w:rPr>
          <w:rFonts w:ascii="仿宋_GB2312" w:hAnsi="仿宋" w:eastAsia="仿宋_GB2312"/>
          <w:sz w:val="32"/>
          <w:szCs w:val="32"/>
        </w:rPr>
        <w:t>28</w:t>
      </w:r>
      <w:r>
        <w:rPr>
          <w:rFonts w:hint="eastAsia" w:ascii="仿宋_GB2312" w:hAnsi="仿宋" w:eastAsia="仿宋_GB2312"/>
          <w:sz w:val="32"/>
          <w:szCs w:val="32"/>
        </w:rPr>
        <w:t>批次，批次合格率达</w:t>
      </w:r>
      <w:r>
        <w:rPr>
          <w:rFonts w:ascii="仿宋_GB2312" w:hAnsi="仿宋" w:eastAsia="仿宋_GB2312"/>
          <w:sz w:val="32"/>
          <w:szCs w:val="32"/>
        </w:rPr>
        <w:t>93.3%</w:t>
      </w:r>
      <w:r>
        <w:rPr>
          <w:rFonts w:hint="eastAsia" w:ascii="仿宋_GB2312" w:hAnsi="仿宋" w:eastAsia="仿宋_GB2312"/>
          <w:sz w:val="32"/>
          <w:szCs w:val="32"/>
        </w:rPr>
        <w:t>。四是加深扶贫融合。实行“资产、资源、资金入股分红</w:t>
      </w:r>
      <w:r>
        <w:rPr>
          <w:rFonts w:ascii="仿宋_GB2312" w:hAnsi="仿宋" w:eastAsia="仿宋_GB2312"/>
          <w:sz w:val="32"/>
          <w:szCs w:val="32"/>
        </w:rPr>
        <w:t>+</w:t>
      </w:r>
      <w:r>
        <w:rPr>
          <w:rFonts w:hint="eastAsia" w:ascii="仿宋_GB2312" w:hAnsi="仿宋" w:eastAsia="仿宋_GB2312"/>
          <w:sz w:val="32"/>
          <w:szCs w:val="32"/>
        </w:rPr>
        <w:t>按劳获酬强技”的“三资入股”造血扶贫机制，通过承包租赁、流转贫困村土地，发展核桃基地</w:t>
      </w:r>
      <w:r>
        <w:rPr>
          <w:rFonts w:ascii="仿宋_GB2312" w:hAnsi="仿宋" w:eastAsia="仿宋_GB2312"/>
          <w:sz w:val="32"/>
          <w:szCs w:val="32"/>
        </w:rPr>
        <w:t>0.5</w:t>
      </w:r>
      <w:r>
        <w:rPr>
          <w:rFonts w:hint="eastAsia" w:ascii="仿宋_GB2312" w:hAnsi="仿宋" w:eastAsia="仿宋_GB2312"/>
          <w:sz w:val="32"/>
          <w:szCs w:val="32"/>
        </w:rPr>
        <w:t>万余亩、茶叶基地</w:t>
      </w:r>
      <w:r>
        <w:rPr>
          <w:rFonts w:ascii="仿宋_GB2312" w:hAnsi="仿宋" w:eastAsia="仿宋_GB2312"/>
          <w:sz w:val="32"/>
          <w:szCs w:val="32"/>
        </w:rPr>
        <w:t>2</w:t>
      </w:r>
      <w:r>
        <w:rPr>
          <w:rFonts w:hint="eastAsia" w:ascii="仿宋_GB2312" w:hAnsi="仿宋" w:eastAsia="仿宋_GB2312"/>
          <w:sz w:val="32"/>
          <w:szCs w:val="32"/>
        </w:rPr>
        <w:t>万余亩，聘用</w:t>
      </w:r>
      <w:r>
        <w:rPr>
          <w:rFonts w:ascii="仿宋_GB2312" w:hAnsi="仿宋" w:eastAsia="仿宋_GB2312"/>
          <w:sz w:val="32"/>
          <w:szCs w:val="32"/>
        </w:rPr>
        <w:t>6</w:t>
      </w:r>
      <w:r>
        <w:rPr>
          <w:rFonts w:hint="eastAsia" w:ascii="仿宋_GB2312" w:hAnsi="仿宋" w:eastAsia="仿宋_GB2312"/>
          <w:sz w:val="32"/>
          <w:szCs w:val="32"/>
        </w:rPr>
        <w:t>万多贫困户劳动力到产业基地就业，贫困户人均增收</w:t>
      </w:r>
      <w:r>
        <w:rPr>
          <w:rFonts w:ascii="仿宋_GB2312" w:hAnsi="仿宋" w:eastAsia="仿宋_GB2312"/>
          <w:sz w:val="32"/>
          <w:szCs w:val="32"/>
        </w:rPr>
        <w:t>3000-5000</w:t>
      </w:r>
      <w:r>
        <w:rPr>
          <w:rFonts w:hint="eastAsia" w:ascii="仿宋_GB2312" w:hAnsi="仿宋" w:eastAsia="仿宋_GB2312"/>
          <w:sz w:val="32"/>
          <w:szCs w:val="32"/>
        </w:rPr>
        <w:t>元以上。</w:t>
      </w:r>
    </w:p>
    <w:p>
      <w:pPr>
        <w:ind w:firstLine="643" w:firstLineChars="200"/>
        <w:rPr>
          <w:rFonts w:ascii="仿宋_GB2312" w:hAnsi="仿宋" w:eastAsia="仿宋_GB2312"/>
          <w:sz w:val="32"/>
          <w:szCs w:val="32"/>
        </w:rPr>
      </w:pPr>
      <w:r>
        <w:rPr>
          <w:rFonts w:ascii="仿宋_GB2312" w:hAnsi="仿宋" w:eastAsia="仿宋_GB2312"/>
          <w:b/>
          <w:bCs/>
          <w:sz w:val="32"/>
          <w:szCs w:val="32"/>
        </w:rPr>
        <w:t>3</w:t>
      </w:r>
      <w:r>
        <w:rPr>
          <w:rFonts w:hint="eastAsia" w:ascii="仿宋_GB2312" w:hAnsi="仿宋" w:eastAsia="仿宋_GB2312"/>
          <w:b/>
          <w:bCs/>
          <w:sz w:val="32"/>
          <w:szCs w:val="32"/>
        </w:rPr>
        <w:t>、品质革命实现了大突破</w:t>
      </w:r>
      <w:r>
        <w:rPr>
          <w:rFonts w:hint="eastAsia" w:ascii="仿宋_GB2312" w:hAnsi="仿宋" w:eastAsia="仿宋_GB2312"/>
          <w:sz w:val="32"/>
          <w:szCs w:val="32"/>
        </w:rPr>
        <w:t>。一是品牌效应进一步提升。高性能工业铝材和米仓山茶产业知名品牌创建示范区批准筹建，筹建数连续两年居全省市州第一。“昭化生猪”“朝天核桃”两个全国知名品牌创建示范区品牌价值达到</w:t>
      </w:r>
      <w:r>
        <w:rPr>
          <w:rFonts w:ascii="仿宋_GB2312" w:hAnsi="仿宋" w:eastAsia="仿宋_GB2312"/>
          <w:sz w:val="32"/>
          <w:szCs w:val="32"/>
        </w:rPr>
        <w:t>46.41</w:t>
      </w:r>
      <w:r>
        <w:rPr>
          <w:rFonts w:hint="eastAsia" w:ascii="仿宋_GB2312" w:hAnsi="仿宋" w:eastAsia="仿宋_GB2312"/>
          <w:sz w:val="32"/>
          <w:szCs w:val="32"/>
        </w:rPr>
        <w:t>亿。认定市长质量奖</w:t>
      </w:r>
      <w:r>
        <w:rPr>
          <w:rFonts w:ascii="仿宋_GB2312" w:hAnsi="仿宋" w:eastAsia="仿宋_GB2312"/>
          <w:sz w:val="32"/>
          <w:szCs w:val="32"/>
        </w:rPr>
        <w:t>3</w:t>
      </w:r>
      <w:r>
        <w:rPr>
          <w:rFonts w:hint="eastAsia" w:ascii="仿宋_GB2312" w:hAnsi="仿宋" w:eastAsia="仿宋_GB2312"/>
          <w:sz w:val="32"/>
          <w:szCs w:val="32"/>
        </w:rPr>
        <w:t>个、广元知名品牌</w:t>
      </w:r>
      <w:r>
        <w:rPr>
          <w:rFonts w:ascii="仿宋_GB2312" w:hAnsi="仿宋" w:eastAsia="仿宋_GB2312"/>
          <w:sz w:val="32"/>
          <w:szCs w:val="32"/>
        </w:rPr>
        <w:t>26</w:t>
      </w:r>
      <w:r>
        <w:rPr>
          <w:rFonts w:hint="eastAsia" w:ascii="仿宋_GB2312" w:hAnsi="仿宋" w:eastAsia="仿宋_GB2312"/>
          <w:sz w:val="32"/>
          <w:szCs w:val="32"/>
        </w:rPr>
        <w:t>个。苍溪创建为省级国家地理标志保护示范区。旺苍米仓山茶叶、苍溪红心猕猴桃首次入围全国区域品牌前</w:t>
      </w:r>
      <w:r>
        <w:rPr>
          <w:rFonts w:ascii="仿宋_GB2312" w:hAnsi="仿宋" w:eastAsia="仿宋_GB2312"/>
          <w:sz w:val="32"/>
          <w:szCs w:val="32"/>
        </w:rPr>
        <w:t>100</w:t>
      </w:r>
      <w:r>
        <w:rPr>
          <w:rFonts w:hint="eastAsia" w:ascii="仿宋_GB2312" w:hAnsi="仿宋" w:eastAsia="仿宋_GB2312"/>
          <w:sz w:val="32"/>
          <w:szCs w:val="32"/>
        </w:rPr>
        <w:t>排行榜。二是标准领域进一步拓展。广元市网上公安便民利民服务标准化国家级试点项目和通过验收。个人信用体系建设管理等</w:t>
      </w:r>
      <w:r>
        <w:rPr>
          <w:rFonts w:ascii="仿宋_GB2312" w:hAnsi="仿宋" w:eastAsia="仿宋_GB2312"/>
          <w:sz w:val="32"/>
          <w:szCs w:val="32"/>
        </w:rPr>
        <w:t>2</w:t>
      </w:r>
      <w:r>
        <w:rPr>
          <w:rFonts w:hint="eastAsia" w:ascii="仿宋_GB2312" w:hAnsi="仿宋" w:eastAsia="仿宋_GB2312"/>
          <w:sz w:val="32"/>
          <w:szCs w:val="32"/>
        </w:rPr>
        <w:t>个项目列为国家综合标准化试点项目。指导零八一主导修订《测风雷达通用规范》等国家标准</w:t>
      </w:r>
      <w:r>
        <w:rPr>
          <w:rFonts w:ascii="仿宋_GB2312" w:hAnsi="仿宋" w:eastAsia="仿宋_GB2312"/>
          <w:sz w:val="32"/>
          <w:szCs w:val="32"/>
        </w:rPr>
        <w:t>2</w:t>
      </w:r>
      <w:r>
        <w:rPr>
          <w:rFonts w:hint="eastAsia" w:ascii="仿宋_GB2312" w:hAnsi="仿宋" w:eastAsia="仿宋_GB2312"/>
          <w:sz w:val="32"/>
          <w:szCs w:val="32"/>
        </w:rPr>
        <w:t>项并正式发布实施，指导青川制定《青川县教育扶贫信息公开规范》等政务公开标准</w:t>
      </w:r>
      <w:r>
        <w:rPr>
          <w:rFonts w:ascii="仿宋_GB2312" w:hAnsi="仿宋" w:eastAsia="仿宋_GB2312"/>
          <w:sz w:val="32"/>
          <w:szCs w:val="32"/>
        </w:rPr>
        <w:t>63</w:t>
      </w:r>
      <w:r>
        <w:rPr>
          <w:rFonts w:hint="eastAsia" w:ascii="仿宋_GB2312" w:hAnsi="仿宋" w:eastAsia="仿宋_GB2312"/>
          <w:sz w:val="32"/>
          <w:szCs w:val="32"/>
        </w:rPr>
        <w:t>项，发布《广元灰鸡》等地方标准</w:t>
      </w:r>
      <w:r>
        <w:rPr>
          <w:rFonts w:ascii="仿宋_GB2312" w:hAnsi="仿宋" w:eastAsia="仿宋_GB2312"/>
          <w:sz w:val="32"/>
          <w:szCs w:val="32"/>
        </w:rPr>
        <w:t>8</w:t>
      </w:r>
      <w:r>
        <w:rPr>
          <w:rFonts w:hint="eastAsia" w:ascii="仿宋_GB2312" w:hAnsi="仿宋" w:eastAsia="仿宋_GB2312"/>
          <w:sz w:val="32"/>
          <w:szCs w:val="32"/>
        </w:rPr>
        <w:t>个。制定《广元市电梯使用单位安全管理规范》、《广元市基层所特种设备现场安全监督检查标准化工作指南》</w:t>
      </w:r>
      <w:r>
        <w:rPr>
          <w:rFonts w:ascii="仿宋_GB2312" w:hAnsi="仿宋" w:eastAsia="仿宋_GB2312"/>
          <w:sz w:val="32"/>
          <w:szCs w:val="32"/>
        </w:rPr>
        <w:t>2</w:t>
      </w:r>
      <w:r>
        <w:rPr>
          <w:rFonts w:hint="eastAsia" w:ascii="仿宋_GB2312" w:hAnsi="仿宋" w:eastAsia="仿宋_GB2312"/>
          <w:sz w:val="32"/>
          <w:szCs w:val="32"/>
        </w:rPr>
        <w:t>项标准，以标准化规范特种设备安全监察。三是基础能力进一步增强。市计量所顺利通过</w:t>
      </w:r>
      <w:r>
        <w:rPr>
          <w:rFonts w:ascii="仿宋_GB2312" w:hAnsi="仿宋" w:eastAsia="仿宋_GB2312"/>
          <w:sz w:val="32"/>
          <w:szCs w:val="32"/>
        </w:rPr>
        <w:t>12</w:t>
      </w:r>
      <w:r>
        <w:rPr>
          <w:rFonts w:hint="eastAsia" w:ascii="仿宋_GB2312" w:hAnsi="仿宋" w:eastAsia="仿宋_GB2312"/>
          <w:sz w:val="32"/>
          <w:szCs w:val="32"/>
        </w:rPr>
        <w:t>项复查和</w:t>
      </w:r>
      <w:r>
        <w:rPr>
          <w:rFonts w:ascii="仿宋_GB2312" w:hAnsi="仿宋" w:eastAsia="仿宋_GB2312"/>
          <w:sz w:val="32"/>
          <w:szCs w:val="32"/>
        </w:rPr>
        <w:t>1</w:t>
      </w:r>
      <w:r>
        <w:rPr>
          <w:rFonts w:hint="eastAsia" w:ascii="仿宋_GB2312" w:hAnsi="仿宋" w:eastAsia="仿宋_GB2312"/>
          <w:sz w:val="32"/>
          <w:szCs w:val="32"/>
        </w:rPr>
        <w:t>项新建标准考核。特检所</w:t>
      </w:r>
      <w:r>
        <w:rPr>
          <w:rFonts w:ascii="仿宋_GB2312" w:hAnsi="仿宋" w:eastAsia="仿宋_GB2312"/>
          <w:sz w:val="32"/>
          <w:szCs w:val="32"/>
        </w:rPr>
        <w:t>3</w:t>
      </w:r>
      <w:r>
        <w:rPr>
          <w:rFonts w:hint="eastAsia" w:ascii="仿宋_GB2312" w:hAnsi="仿宋" w:eastAsia="仿宋_GB2312"/>
          <w:sz w:val="32"/>
          <w:szCs w:val="32"/>
        </w:rPr>
        <w:t>个月内</w:t>
      </w:r>
      <w:r>
        <w:rPr>
          <w:rFonts w:ascii="仿宋_GB2312" w:hAnsi="仿宋" w:eastAsia="仿宋_GB2312"/>
          <w:sz w:val="32"/>
          <w:szCs w:val="32"/>
        </w:rPr>
        <w:t>2</w:t>
      </w:r>
      <w:r>
        <w:rPr>
          <w:rFonts w:hint="eastAsia" w:ascii="仿宋_GB2312" w:hAnsi="仿宋" w:eastAsia="仿宋_GB2312"/>
          <w:sz w:val="32"/>
          <w:szCs w:val="32"/>
        </w:rPr>
        <w:t>次通过总局专家评审和“双随机”抽查。市质检所投入</w:t>
      </w:r>
      <w:r>
        <w:rPr>
          <w:rFonts w:ascii="仿宋_GB2312" w:hAnsi="仿宋" w:eastAsia="仿宋_GB2312"/>
          <w:sz w:val="32"/>
          <w:szCs w:val="32"/>
        </w:rPr>
        <w:t>75</w:t>
      </w:r>
      <w:r>
        <w:rPr>
          <w:rFonts w:hint="eastAsia" w:ascii="仿宋_GB2312" w:hAnsi="仿宋" w:eastAsia="仿宋_GB2312"/>
          <w:sz w:val="32"/>
          <w:szCs w:val="32"/>
        </w:rPr>
        <w:t>万资金加强家具制品及材料检测能力建设，完成广元橄榄油掺混检测方法研究课题。组织开展有机茶叶、高山露地蔬菜质量对标评估，通过技术科学分析，得出我市有机茶叶高锶，部分茶叶富硒的优势特征。</w:t>
      </w:r>
    </w:p>
    <w:p>
      <w:pPr>
        <w:ind w:firstLine="643" w:firstLineChars="200"/>
        <w:rPr>
          <w:rFonts w:ascii="仿宋_GB2312" w:hAnsi="仿宋" w:eastAsia="仿宋_GB2312"/>
          <w:bCs/>
          <w:color w:val="000000"/>
          <w:sz w:val="32"/>
          <w:szCs w:val="32"/>
        </w:rPr>
      </w:pPr>
      <w:r>
        <w:rPr>
          <w:rFonts w:ascii="仿宋_GB2312" w:hAnsi="仿宋" w:eastAsia="仿宋_GB2312"/>
          <w:b/>
          <w:bCs/>
          <w:sz w:val="32"/>
          <w:szCs w:val="32"/>
        </w:rPr>
        <w:t>4</w:t>
      </w:r>
      <w:r>
        <w:rPr>
          <w:rFonts w:hint="eastAsia" w:ascii="仿宋_GB2312" w:hAnsi="仿宋" w:eastAsia="仿宋_GB2312"/>
          <w:b/>
          <w:bCs/>
          <w:sz w:val="32"/>
          <w:szCs w:val="32"/>
        </w:rPr>
        <w:t>、安全监管闯出了新模式</w:t>
      </w:r>
      <w:r>
        <w:rPr>
          <w:rFonts w:hint="eastAsia" w:ascii="仿宋_GB2312" w:hAnsi="仿宋" w:eastAsia="仿宋_GB2312"/>
          <w:sz w:val="32"/>
          <w:szCs w:val="32"/>
        </w:rPr>
        <w:t>。推进产品质量全过程、全链条、全生命周期监管，组织</w:t>
      </w:r>
      <w:r>
        <w:rPr>
          <w:rFonts w:ascii="仿宋_GB2312" w:hAnsi="仿宋" w:eastAsia="仿宋_GB2312"/>
          <w:sz w:val="32"/>
          <w:szCs w:val="32"/>
        </w:rPr>
        <w:t>50</w:t>
      </w:r>
      <w:r>
        <w:rPr>
          <w:rFonts w:hint="eastAsia" w:ascii="仿宋_GB2312" w:hAnsi="仿宋" w:eastAsia="仿宋_GB2312"/>
          <w:sz w:val="32"/>
          <w:szCs w:val="32"/>
        </w:rPr>
        <w:t>家重点消费品企业开展质量提升，完成监督抽查</w:t>
      </w:r>
      <w:r>
        <w:rPr>
          <w:rFonts w:ascii="仿宋_GB2312" w:hAnsi="仿宋" w:eastAsia="仿宋_GB2312"/>
          <w:sz w:val="32"/>
          <w:szCs w:val="32"/>
        </w:rPr>
        <w:t>500</w:t>
      </w:r>
      <w:r>
        <w:rPr>
          <w:rFonts w:hint="eastAsia" w:ascii="仿宋_GB2312" w:hAnsi="仿宋" w:eastAsia="仿宋_GB2312"/>
          <w:sz w:val="32"/>
          <w:szCs w:val="32"/>
        </w:rPr>
        <w:t>批次、风险监测</w:t>
      </w:r>
      <w:r>
        <w:rPr>
          <w:rFonts w:ascii="仿宋_GB2312" w:hAnsi="仿宋" w:eastAsia="仿宋_GB2312"/>
          <w:sz w:val="32"/>
          <w:szCs w:val="32"/>
        </w:rPr>
        <w:t>440</w:t>
      </w:r>
      <w:r>
        <w:rPr>
          <w:rFonts w:hint="eastAsia" w:ascii="仿宋_GB2312" w:hAnsi="仿宋" w:eastAsia="仿宋_GB2312"/>
          <w:sz w:val="32"/>
          <w:szCs w:val="32"/>
        </w:rPr>
        <w:t>批次。开展农资、建材、危化品和省运会场馆建设材料等专项执法行动，查办违法案件</w:t>
      </w:r>
      <w:r>
        <w:rPr>
          <w:rFonts w:ascii="仿宋_GB2312" w:hAnsi="仿宋" w:eastAsia="仿宋_GB2312"/>
          <w:sz w:val="32"/>
          <w:szCs w:val="32"/>
        </w:rPr>
        <w:t>7</w:t>
      </w:r>
      <w:r>
        <w:rPr>
          <w:rFonts w:hint="eastAsia" w:ascii="仿宋_GB2312" w:hAnsi="仿宋" w:eastAsia="仿宋_GB2312"/>
          <w:sz w:val="32"/>
          <w:szCs w:val="32"/>
        </w:rPr>
        <w:t>件，到位罚款</w:t>
      </w:r>
      <w:r>
        <w:rPr>
          <w:rFonts w:ascii="仿宋_GB2312" w:hAnsi="仿宋" w:eastAsia="仿宋_GB2312"/>
          <w:sz w:val="32"/>
          <w:szCs w:val="32"/>
        </w:rPr>
        <w:t>24</w:t>
      </w:r>
      <w:r>
        <w:rPr>
          <w:rFonts w:hint="eastAsia" w:ascii="仿宋_GB2312" w:hAnsi="仿宋" w:eastAsia="仿宋_GB2312"/>
          <w:sz w:val="32"/>
          <w:szCs w:val="32"/>
        </w:rPr>
        <w:t>万。检定计量器具</w:t>
      </w:r>
      <w:r>
        <w:rPr>
          <w:rFonts w:ascii="仿宋_GB2312" w:hAnsi="仿宋" w:eastAsia="仿宋_GB2312"/>
          <w:sz w:val="32"/>
          <w:szCs w:val="32"/>
        </w:rPr>
        <w:t>2</w:t>
      </w:r>
      <w:r>
        <w:rPr>
          <w:rFonts w:hint="eastAsia" w:ascii="仿宋_GB2312" w:hAnsi="仿宋" w:eastAsia="仿宋_GB2312"/>
          <w:sz w:val="32"/>
          <w:szCs w:val="32"/>
        </w:rPr>
        <w:t>万余台，首次对四县三区</w:t>
      </w:r>
      <w:r>
        <w:rPr>
          <w:rFonts w:ascii="仿宋_GB2312" w:hAnsi="仿宋" w:eastAsia="仿宋_GB2312"/>
          <w:sz w:val="32"/>
          <w:szCs w:val="32"/>
        </w:rPr>
        <w:t>26</w:t>
      </w:r>
      <w:r>
        <w:rPr>
          <w:rFonts w:hint="eastAsia" w:ascii="仿宋_GB2312" w:hAnsi="仿宋" w:eastAsia="仿宋_GB2312"/>
          <w:sz w:val="32"/>
          <w:szCs w:val="32"/>
        </w:rPr>
        <w:t>家污水处理厂进行计量监督检查。部门联动加强特种设备安全整治，开展行业安全隐患排查整治</w:t>
      </w:r>
      <w:r>
        <w:rPr>
          <w:rFonts w:ascii="仿宋_GB2312" w:hAnsi="仿宋" w:eastAsia="仿宋_GB2312"/>
          <w:sz w:val="32"/>
          <w:szCs w:val="32"/>
        </w:rPr>
        <w:t>12</w:t>
      </w:r>
      <w:r>
        <w:rPr>
          <w:rFonts w:hint="eastAsia" w:ascii="仿宋_GB2312" w:hAnsi="仿宋" w:eastAsia="仿宋_GB2312"/>
          <w:sz w:val="32"/>
          <w:szCs w:val="32"/>
        </w:rPr>
        <w:t>次，先行先试推进电梯六方责任</w:t>
      </w:r>
      <w:r>
        <w:rPr>
          <w:rFonts w:ascii="仿宋_GB2312" w:hAnsi="仿宋" w:eastAsia="仿宋_GB2312"/>
          <w:sz w:val="32"/>
          <w:szCs w:val="32"/>
        </w:rPr>
        <w:t>+</w:t>
      </w:r>
      <w:r>
        <w:rPr>
          <w:rFonts w:hint="eastAsia" w:ascii="仿宋_GB2312" w:hAnsi="仿宋" w:eastAsia="仿宋_GB2312"/>
          <w:sz w:val="32"/>
          <w:szCs w:val="32"/>
        </w:rPr>
        <w:t>电梯保险服务（</w:t>
      </w:r>
      <w:r>
        <w:rPr>
          <w:rFonts w:ascii="仿宋_GB2312" w:hAnsi="仿宋" w:eastAsia="仿宋_GB2312"/>
          <w:sz w:val="32"/>
          <w:szCs w:val="32"/>
        </w:rPr>
        <w:t>6+1</w:t>
      </w:r>
      <w:r>
        <w:rPr>
          <w:rFonts w:hint="eastAsia" w:ascii="仿宋_GB2312" w:hAnsi="仿宋" w:eastAsia="仿宋_GB2312"/>
          <w:sz w:val="32"/>
          <w:szCs w:val="32"/>
        </w:rPr>
        <w:t>）监管模式，倒逼电梯安全各责任主体提高日常管理维护和监管水平，建立电梯名片信息</w:t>
      </w:r>
      <w:r>
        <w:rPr>
          <w:rFonts w:ascii="仿宋_GB2312" w:hAnsi="仿宋" w:eastAsia="仿宋_GB2312"/>
          <w:sz w:val="32"/>
          <w:szCs w:val="32"/>
        </w:rPr>
        <w:t>3500</w:t>
      </w:r>
      <w:r>
        <w:rPr>
          <w:rFonts w:hint="eastAsia" w:ascii="仿宋_GB2312" w:hAnsi="仿宋" w:eastAsia="仿宋_GB2312"/>
          <w:sz w:val="32"/>
          <w:szCs w:val="32"/>
        </w:rPr>
        <w:t>余台，购买电梯安全保险</w:t>
      </w:r>
      <w:r>
        <w:rPr>
          <w:rFonts w:ascii="仿宋_GB2312" w:hAnsi="仿宋" w:eastAsia="仿宋_GB2312"/>
          <w:sz w:val="32"/>
          <w:szCs w:val="32"/>
        </w:rPr>
        <w:t>44</w:t>
      </w:r>
      <w:r>
        <w:rPr>
          <w:rFonts w:hint="eastAsia" w:ascii="仿宋_GB2312" w:hAnsi="仿宋" w:eastAsia="仿宋_GB2312"/>
          <w:sz w:val="32"/>
          <w:szCs w:val="32"/>
        </w:rPr>
        <w:t>台。探索建立“登记、监察、检验、执法”四位一体的特种设备安全监管机制，科所局联动、严格执法惩戒，检定特种设备</w:t>
      </w:r>
      <w:r>
        <w:rPr>
          <w:rFonts w:ascii="仿宋_GB2312" w:hAnsi="仿宋" w:eastAsia="仿宋_GB2312"/>
          <w:sz w:val="32"/>
          <w:szCs w:val="32"/>
        </w:rPr>
        <w:t>8605</w:t>
      </w:r>
      <w:r>
        <w:rPr>
          <w:rFonts w:hint="eastAsia" w:ascii="仿宋_GB2312" w:hAnsi="仿宋" w:eastAsia="仿宋_GB2312"/>
          <w:sz w:val="32"/>
          <w:szCs w:val="32"/>
        </w:rPr>
        <w:t>台件、管道</w:t>
      </w:r>
      <w:r>
        <w:rPr>
          <w:rFonts w:ascii="仿宋_GB2312" w:hAnsi="仿宋" w:eastAsia="仿宋_GB2312"/>
          <w:sz w:val="32"/>
          <w:szCs w:val="32"/>
        </w:rPr>
        <w:t>47.6Km</w:t>
      </w:r>
      <w:r>
        <w:rPr>
          <w:rFonts w:hint="eastAsia" w:ascii="仿宋_GB2312" w:hAnsi="仿宋" w:eastAsia="仿宋_GB2312"/>
          <w:sz w:val="32"/>
          <w:szCs w:val="32"/>
        </w:rPr>
        <w:t>，消除安全隐患</w:t>
      </w:r>
      <w:r>
        <w:rPr>
          <w:rFonts w:ascii="仿宋_GB2312" w:hAnsi="仿宋" w:eastAsia="仿宋_GB2312"/>
          <w:sz w:val="32"/>
          <w:szCs w:val="32"/>
        </w:rPr>
        <w:t>14</w:t>
      </w:r>
      <w:r>
        <w:rPr>
          <w:rFonts w:hint="eastAsia" w:ascii="仿宋_GB2312" w:hAnsi="仿宋" w:eastAsia="仿宋_GB2312"/>
          <w:sz w:val="32"/>
          <w:szCs w:val="32"/>
        </w:rPr>
        <w:t>起，转办特种设备安全案件</w:t>
      </w:r>
      <w:r>
        <w:rPr>
          <w:rFonts w:ascii="仿宋_GB2312" w:hAnsi="仿宋" w:eastAsia="仿宋_GB2312"/>
          <w:sz w:val="32"/>
          <w:szCs w:val="32"/>
        </w:rPr>
        <w:t>5</w:t>
      </w:r>
      <w:r>
        <w:rPr>
          <w:rFonts w:hint="eastAsia" w:ascii="仿宋_GB2312" w:hAnsi="仿宋" w:eastAsia="仿宋_GB2312"/>
          <w:sz w:val="32"/>
          <w:szCs w:val="32"/>
        </w:rPr>
        <w:t>件。检查特种设备生产、经营、使用单位</w:t>
      </w:r>
      <w:r>
        <w:rPr>
          <w:rFonts w:ascii="仿宋_GB2312" w:hAnsi="仿宋" w:eastAsia="仿宋_GB2312"/>
          <w:sz w:val="32"/>
          <w:szCs w:val="32"/>
        </w:rPr>
        <w:t>575</w:t>
      </w:r>
      <w:r>
        <w:rPr>
          <w:rFonts w:hint="eastAsia" w:ascii="仿宋_GB2312" w:hAnsi="仿宋" w:eastAsia="仿宋_GB2312"/>
          <w:sz w:val="32"/>
          <w:szCs w:val="32"/>
        </w:rPr>
        <w:t>家，发出监察指令</w:t>
      </w:r>
      <w:r>
        <w:rPr>
          <w:rFonts w:ascii="仿宋_GB2312" w:hAnsi="仿宋" w:eastAsia="仿宋_GB2312"/>
          <w:sz w:val="32"/>
          <w:szCs w:val="32"/>
        </w:rPr>
        <w:t>68</w:t>
      </w:r>
      <w:r>
        <w:rPr>
          <w:rFonts w:hint="eastAsia" w:ascii="仿宋_GB2312" w:hAnsi="仿宋" w:eastAsia="仿宋_GB2312"/>
          <w:sz w:val="32"/>
          <w:szCs w:val="32"/>
        </w:rPr>
        <w:t>份，处理投诉</w:t>
      </w:r>
      <w:r>
        <w:rPr>
          <w:rFonts w:ascii="仿宋_GB2312" w:hAnsi="仿宋" w:eastAsia="仿宋_GB2312"/>
          <w:sz w:val="32"/>
          <w:szCs w:val="32"/>
        </w:rPr>
        <w:t>67</w:t>
      </w:r>
      <w:r>
        <w:rPr>
          <w:rFonts w:hint="eastAsia" w:ascii="仿宋_GB2312" w:hAnsi="仿宋" w:eastAsia="仿宋_GB2312"/>
          <w:sz w:val="32"/>
          <w:szCs w:val="32"/>
        </w:rPr>
        <w:t>起。</w:t>
      </w:r>
    </w:p>
    <w:p>
      <w:pPr>
        <w:pStyle w:val="3"/>
        <w:ind w:firstLine="643" w:firstLineChars="200"/>
        <w:rPr>
          <w:rStyle w:val="18"/>
          <w:rFonts w:ascii="宋体"/>
          <w:b w:val="0"/>
          <w:bCs w:val="0"/>
        </w:rPr>
      </w:pPr>
      <w:bookmarkStart w:id="20" w:name="_Toc15396601"/>
      <w:bookmarkStart w:id="21" w:name="_Toc15377200"/>
      <w:r>
        <w:rPr>
          <w:rFonts w:hint="eastAsia" w:ascii="宋体" w:hAnsi="宋体"/>
          <w:color w:val="000000"/>
        </w:rPr>
        <w:t>二、机</w:t>
      </w:r>
      <w:r>
        <w:rPr>
          <w:rStyle w:val="18"/>
          <w:rFonts w:hint="eastAsia" w:ascii="宋体" w:hAnsi="宋体"/>
          <w:b/>
          <w:bCs w:val="0"/>
        </w:rPr>
        <w:t>构设置</w:t>
      </w:r>
      <w:bookmarkEnd w:id="20"/>
      <w:bookmarkEnd w:id="21"/>
    </w:p>
    <w:p>
      <w:pPr>
        <w:ind w:firstLine="640" w:firstLineChars="200"/>
        <w:rPr>
          <w:rFonts w:ascii="仿宋_GB2312" w:hAnsi="仿宋" w:eastAsia="仿宋_GB2312"/>
          <w:sz w:val="32"/>
          <w:szCs w:val="32"/>
        </w:rPr>
      </w:pPr>
      <w:r>
        <w:rPr>
          <w:rFonts w:hint="eastAsia" w:ascii="仿宋_GB2312" w:hAnsi="仿宋" w:eastAsia="仿宋_GB2312"/>
          <w:sz w:val="32"/>
          <w:szCs w:val="32"/>
        </w:rPr>
        <w:t>广元市技术监督局下属二级单位</w:t>
      </w:r>
      <w:r>
        <w:rPr>
          <w:rFonts w:ascii="仿宋_GB2312" w:hAnsi="仿宋" w:eastAsia="仿宋_GB2312"/>
          <w:sz w:val="32"/>
          <w:szCs w:val="32"/>
        </w:rPr>
        <w:t>7</w:t>
      </w:r>
      <w:r>
        <w:rPr>
          <w:rFonts w:hint="eastAsia" w:ascii="仿宋_GB2312" w:hAnsi="仿宋" w:eastAsia="仿宋_GB2312"/>
          <w:sz w:val="32"/>
          <w:szCs w:val="32"/>
        </w:rPr>
        <w:t>个，其中行政单位</w:t>
      </w:r>
      <w:r>
        <w:rPr>
          <w:rFonts w:ascii="仿宋_GB2312" w:hAnsi="仿宋" w:eastAsia="仿宋_GB2312"/>
          <w:sz w:val="32"/>
          <w:szCs w:val="32"/>
        </w:rPr>
        <w:t>4</w:t>
      </w:r>
      <w:r>
        <w:rPr>
          <w:rFonts w:hint="eastAsia" w:ascii="仿宋_GB2312" w:hAnsi="仿宋" w:eastAsia="仿宋_GB2312"/>
          <w:sz w:val="32"/>
          <w:szCs w:val="32"/>
        </w:rPr>
        <w:t>个，参照公务员法管理的事业单位</w:t>
      </w:r>
      <w:r>
        <w:rPr>
          <w:rFonts w:ascii="仿宋_GB2312" w:hAnsi="仿宋" w:eastAsia="仿宋_GB2312"/>
          <w:sz w:val="32"/>
          <w:szCs w:val="32"/>
        </w:rPr>
        <w:t>0</w:t>
      </w:r>
      <w:r>
        <w:rPr>
          <w:rFonts w:hint="eastAsia" w:ascii="仿宋_GB2312" w:hAnsi="仿宋" w:eastAsia="仿宋_GB2312"/>
          <w:sz w:val="32"/>
          <w:szCs w:val="32"/>
        </w:rPr>
        <w:t>个，其他事业单位</w:t>
      </w:r>
      <w:r>
        <w:rPr>
          <w:rFonts w:ascii="仿宋_GB2312" w:hAnsi="仿宋" w:eastAsia="仿宋_GB2312"/>
          <w:sz w:val="32"/>
          <w:szCs w:val="32"/>
        </w:rPr>
        <w:t>3</w:t>
      </w:r>
      <w:r>
        <w:rPr>
          <w:rFonts w:hint="eastAsia" w:ascii="仿宋_GB2312" w:hAnsi="仿宋" w:eastAsia="仿宋_GB2312"/>
          <w:sz w:val="32"/>
          <w:szCs w:val="32"/>
        </w:rPr>
        <w:t>个。</w:t>
      </w:r>
    </w:p>
    <w:p>
      <w:pPr>
        <w:pStyle w:val="5"/>
        <w:adjustRightInd w:val="0"/>
        <w:snapToGrid w:val="0"/>
        <w:spacing w:before="93" w:line="600" w:lineRule="exact"/>
        <w:ind w:firstLine="672" w:firstLineChars="210"/>
        <w:rPr>
          <w:rFonts w:ascii="仿宋_GB2312" w:hAnsi="仿宋" w:eastAsia="仿宋_GB2312"/>
          <w:color w:val="000000"/>
          <w:sz w:val="32"/>
          <w:szCs w:val="32"/>
        </w:rPr>
      </w:pPr>
      <w:r>
        <w:rPr>
          <w:rFonts w:hint="eastAsia" w:ascii="仿宋_GB2312" w:hAnsi="仿宋" w:eastAsia="仿宋_GB2312"/>
          <w:color w:val="000000"/>
          <w:sz w:val="32"/>
          <w:szCs w:val="32"/>
        </w:rPr>
        <w:t>纳入</w:t>
      </w:r>
      <w:r>
        <w:rPr>
          <w:rFonts w:hint="eastAsia" w:ascii="仿宋_GB2312" w:hAnsi="仿宋" w:eastAsia="仿宋_GB2312"/>
          <w:sz w:val="32"/>
          <w:szCs w:val="32"/>
        </w:rPr>
        <w:t>广元市技术监督局</w:t>
      </w:r>
      <w:r>
        <w:rPr>
          <w:rFonts w:ascii="仿宋_GB2312" w:hAnsi="仿宋" w:eastAsia="仿宋_GB2312"/>
          <w:color w:val="000000"/>
          <w:sz w:val="32"/>
          <w:szCs w:val="32"/>
        </w:rPr>
        <w:t>2018</w:t>
      </w:r>
      <w:r>
        <w:rPr>
          <w:rFonts w:hint="eastAsia" w:ascii="仿宋_GB2312" w:hAnsi="仿宋" w:eastAsia="仿宋_GB2312"/>
          <w:color w:val="000000"/>
          <w:sz w:val="32"/>
          <w:szCs w:val="32"/>
        </w:rPr>
        <w:t>年度部门决算编制范围的二级预算单位包括：</w:t>
      </w:r>
    </w:p>
    <w:p>
      <w:pPr>
        <w:pStyle w:val="5"/>
        <w:adjustRightInd w:val="0"/>
        <w:snapToGrid w:val="0"/>
        <w:spacing w:before="93" w:line="600" w:lineRule="exact"/>
        <w:ind w:firstLine="672" w:firstLineChars="210"/>
        <w:rPr>
          <w:rFonts w:ascii="仿宋_GB2312" w:hAnsi="仿宋" w:eastAsia="仿宋_GB2312"/>
          <w:color w:val="000000"/>
          <w:sz w:val="32"/>
          <w:szCs w:val="32"/>
        </w:rPr>
      </w:pPr>
      <w:r>
        <w:rPr>
          <w:rFonts w:ascii="仿宋_GB2312" w:hAnsi="仿宋" w:eastAsia="仿宋_GB2312"/>
          <w:color w:val="000000"/>
          <w:sz w:val="32"/>
          <w:szCs w:val="32"/>
        </w:rPr>
        <w:t>1</w:t>
      </w:r>
      <w:r>
        <w:rPr>
          <w:rFonts w:hint="eastAsia" w:ascii="仿宋_GB2312" w:hAnsi="仿宋" w:eastAsia="仿宋_GB2312"/>
          <w:color w:val="000000"/>
          <w:sz w:val="32"/>
          <w:szCs w:val="32"/>
        </w:rPr>
        <w:t>、广元市质量技术监督局本级</w:t>
      </w:r>
    </w:p>
    <w:p>
      <w:pPr>
        <w:pStyle w:val="5"/>
        <w:adjustRightInd w:val="0"/>
        <w:snapToGrid w:val="0"/>
        <w:spacing w:before="93" w:line="600" w:lineRule="exact"/>
        <w:ind w:left="672"/>
        <w:outlineLvl w:val="2"/>
        <w:rPr>
          <w:rFonts w:ascii="仿宋_GB2312" w:hAnsi="仿宋" w:eastAsia="仿宋_GB2312"/>
          <w:color w:val="000000"/>
          <w:sz w:val="32"/>
          <w:szCs w:val="32"/>
        </w:rPr>
      </w:pPr>
      <w:r>
        <w:rPr>
          <w:rFonts w:ascii="仿宋_GB2312" w:eastAsia="仿宋_GB2312"/>
          <w:snapToGrid w:val="0"/>
          <w:sz w:val="32"/>
          <w:szCs w:val="32"/>
        </w:rPr>
        <w:t>2.</w:t>
      </w:r>
      <w:r>
        <w:rPr>
          <w:rFonts w:hint="eastAsia" w:ascii="仿宋_GB2312" w:eastAsia="仿宋_GB2312"/>
          <w:snapToGrid w:val="0"/>
          <w:sz w:val="32"/>
          <w:szCs w:val="32"/>
        </w:rPr>
        <w:t>广元市质量技术监督局利州分局</w:t>
      </w:r>
    </w:p>
    <w:p>
      <w:pPr>
        <w:pStyle w:val="5"/>
        <w:adjustRightInd w:val="0"/>
        <w:snapToGrid w:val="0"/>
        <w:spacing w:before="93" w:line="600" w:lineRule="exact"/>
        <w:ind w:left="672"/>
        <w:outlineLvl w:val="2"/>
        <w:rPr>
          <w:rFonts w:ascii="仿宋_GB2312" w:hAnsi="仿宋" w:eastAsia="仿宋_GB2312"/>
          <w:color w:val="000000"/>
          <w:sz w:val="32"/>
          <w:szCs w:val="32"/>
        </w:rPr>
      </w:pPr>
      <w:r>
        <w:rPr>
          <w:rFonts w:ascii="仿宋_GB2312" w:eastAsia="仿宋_GB2312"/>
          <w:snapToGrid w:val="0"/>
          <w:sz w:val="32"/>
          <w:szCs w:val="32"/>
        </w:rPr>
        <w:t>3.</w:t>
      </w:r>
      <w:r>
        <w:rPr>
          <w:rFonts w:hint="eastAsia" w:ascii="仿宋_GB2312" w:eastAsia="仿宋_GB2312"/>
          <w:snapToGrid w:val="0"/>
          <w:sz w:val="32"/>
          <w:szCs w:val="32"/>
        </w:rPr>
        <w:t>广元市质量技术监督局昭化分局</w:t>
      </w:r>
    </w:p>
    <w:p>
      <w:pPr>
        <w:pStyle w:val="5"/>
        <w:adjustRightInd w:val="0"/>
        <w:snapToGrid w:val="0"/>
        <w:spacing w:before="93" w:line="600" w:lineRule="exact"/>
        <w:ind w:firstLine="640"/>
        <w:rPr>
          <w:rFonts w:ascii="仿宋_GB2312" w:eastAsia="仿宋_GB2312"/>
          <w:snapToGrid w:val="0"/>
          <w:sz w:val="32"/>
          <w:szCs w:val="32"/>
        </w:rPr>
      </w:pPr>
      <w:r>
        <w:rPr>
          <w:rFonts w:ascii="仿宋_GB2312" w:hAnsi="仿宋" w:eastAsia="仿宋_GB2312"/>
          <w:color w:val="000000"/>
          <w:sz w:val="32"/>
          <w:szCs w:val="32"/>
        </w:rPr>
        <w:t>4.</w:t>
      </w:r>
      <w:r>
        <w:rPr>
          <w:rFonts w:hint="eastAsia" w:ascii="仿宋_GB2312" w:eastAsia="仿宋_GB2312"/>
          <w:snapToGrid w:val="0"/>
          <w:sz w:val="32"/>
          <w:szCs w:val="32"/>
        </w:rPr>
        <w:t>广元市质量技术监督局朝天分局</w:t>
      </w:r>
    </w:p>
    <w:p>
      <w:pPr>
        <w:pStyle w:val="5"/>
        <w:adjustRightInd w:val="0"/>
        <w:snapToGrid w:val="0"/>
        <w:spacing w:before="93" w:line="600" w:lineRule="exact"/>
        <w:ind w:firstLine="640"/>
        <w:rPr>
          <w:rFonts w:ascii="仿宋_GB2312" w:eastAsia="仿宋_GB2312"/>
          <w:snapToGrid w:val="0"/>
          <w:sz w:val="32"/>
          <w:szCs w:val="32"/>
        </w:rPr>
      </w:pPr>
      <w:r>
        <w:rPr>
          <w:rFonts w:ascii="仿宋_GB2312" w:eastAsia="仿宋_GB2312"/>
          <w:snapToGrid w:val="0"/>
          <w:sz w:val="32"/>
          <w:szCs w:val="32"/>
        </w:rPr>
        <w:t>5.</w:t>
      </w:r>
      <w:r>
        <w:rPr>
          <w:rFonts w:hint="eastAsia" w:ascii="仿宋_GB2312" w:eastAsia="仿宋_GB2312"/>
          <w:snapToGrid w:val="0"/>
          <w:sz w:val="32"/>
          <w:szCs w:val="32"/>
        </w:rPr>
        <w:t>广元市产品质量监督检验所</w:t>
      </w:r>
    </w:p>
    <w:p>
      <w:pPr>
        <w:pStyle w:val="5"/>
        <w:adjustRightInd w:val="0"/>
        <w:snapToGrid w:val="0"/>
        <w:spacing w:before="93" w:line="600" w:lineRule="exact"/>
        <w:ind w:firstLine="640"/>
        <w:rPr>
          <w:rFonts w:ascii="仿宋_GB2312" w:eastAsia="仿宋_GB2312"/>
          <w:snapToGrid w:val="0"/>
          <w:sz w:val="32"/>
          <w:szCs w:val="32"/>
        </w:rPr>
      </w:pPr>
      <w:r>
        <w:rPr>
          <w:rFonts w:ascii="仿宋_GB2312" w:eastAsia="仿宋_GB2312"/>
          <w:snapToGrid w:val="0"/>
          <w:sz w:val="32"/>
          <w:szCs w:val="32"/>
        </w:rPr>
        <w:t>6.</w:t>
      </w:r>
      <w:r>
        <w:rPr>
          <w:rFonts w:hint="eastAsia" w:ascii="仿宋_GB2312" w:eastAsia="仿宋_GB2312"/>
          <w:snapToGrid w:val="0"/>
          <w:sz w:val="32"/>
          <w:szCs w:val="32"/>
        </w:rPr>
        <w:t>广元市计量检定测试所</w:t>
      </w:r>
    </w:p>
    <w:p>
      <w:pPr>
        <w:pStyle w:val="5"/>
        <w:adjustRightInd w:val="0"/>
        <w:snapToGrid w:val="0"/>
        <w:spacing w:before="93" w:line="600" w:lineRule="exact"/>
        <w:ind w:firstLine="640"/>
        <w:rPr>
          <w:rFonts w:ascii="仿宋_GB2312" w:eastAsia="仿宋_GB2312"/>
          <w:snapToGrid w:val="0"/>
          <w:sz w:val="32"/>
          <w:szCs w:val="32"/>
        </w:rPr>
      </w:pPr>
      <w:r>
        <w:rPr>
          <w:rFonts w:ascii="仿宋_GB2312" w:eastAsia="仿宋_GB2312"/>
          <w:snapToGrid w:val="0"/>
          <w:sz w:val="32"/>
          <w:szCs w:val="32"/>
        </w:rPr>
        <w:t>7.</w:t>
      </w:r>
      <w:r>
        <w:rPr>
          <w:rFonts w:hint="eastAsia" w:ascii="仿宋_GB2312" w:eastAsia="仿宋_GB2312"/>
          <w:snapToGrid w:val="0"/>
          <w:sz w:val="32"/>
          <w:szCs w:val="32"/>
        </w:rPr>
        <w:t>广元市特种设备监督检验所</w:t>
      </w:r>
    </w:p>
    <w:p>
      <w:pPr>
        <w:widowControl/>
        <w:jc w:val="left"/>
        <w:rPr>
          <w:rFonts w:ascii="仿宋_GB2312" w:hAnsi="仿宋" w:eastAsia="仿宋_GB2312"/>
          <w:color w:val="000000"/>
          <w:kern w:val="0"/>
          <w:sz w:val="32"/>
          <w:szCs w:val="32"/>
        </w:rPr>
      </w:pPr>
      <w:r>
        <w:rPr>
          <w:rFonts w:ascii="仿宋_GB2312" w:hAnsi="仿宋" w:eastAsia="仿宋_GB2312"/>
          <w:color w:val="000000"/>
          <w:sz w:val="32"/>
          <w:szCs w:val="32"/>
        </w:rPr>
        <w:br w:type="page"/>
      </w:r>
    </w:p>
    <w:p>
      <w:pPr>
        <w:pStyle w:val="2"/>
        <w:ind w:right="440"/>
        <w:jc w:val="center"/>
        <w:rPr>
          <w:rFonts w:ascii="宋体"/>
          <w:b w:val="0"/>
          <w:sz w:val="32"/>
          <w:szCs w:val="32"/>
        </w:rPr>
      </w:pPr>
      <w:bookmarkStart w:id="22" w:name="_Toc15377204"/>
      <w:bookmarkStart w:id="23" w:name="_Toc15396602"/>
      <w:r>
        <w:rPr>
          <w:rFonts w:hint="eastAsia" w:ascii="宋体" w:hAnsi="宋体"/>
          <w:b w:val="0"/>
          <w:color w:val="000000"/>
          <w:sz w:val="32"/>
          <w:szCs w:val="32"/>
        </w:rPr>
        <w:t>第二部分</w:t>
      </w:r>
      <w:r>
        <w:rPr>
          <w:rFonts w:ascii="宋体" w:hAnsi="宋体"/>
          <w:b w:val="0"/>
          <w:color w:val="000000"/>
          <w:sz w:val="32"/>
          <w:szCs w:val="32"/>
        </w:rPr>
        <w:t xml:space="preserve"> </w:t>
      </w:r>
      <w:r>
        <w:rPr>
          <w:rStyle w:val="17"/>
          <w:rFonts w:ascii="宋体" w:hAnsi="宋体"/>
          <w:b/>
          <w:bCs w:val="0"/>
          <w:sz w:val="32"/>
          <w:szCs w:val="32"/>
        </w:rPr>
        <w:t>2018</w:t>
      </w:r>
      <w:r>
        <w:rPr>
          <w:rStyle w:val="17"/>
          <w:rFonts w:hint="eastAsia" w:ascii="宋体" w:hAnsi="宋体"/>
          <w:b/>
          <w:bCs w:val="0"/>
          <w:sz w:val="32"/>
          <w:szCs w:val="32"/>
        </w:rPr>
        <w:t>年度部门决算情况说明</w:t>
      </w:r>
      <w:bookmarkEnd w:id="22"/>
      <w:bookmarkEnd w:id="23"/>
    </w:p>
    <w:p>
      <w:pPr>
        <w:pStyle w:val="28"/>
        <w:numPr>
          <w:ilvl w:val="0"/>
          <w:numId w:val="1"/>
        </w:numPr>
        <w:spacing w:line="600" w:lineRule="exact"/>
        <w:ind w:firstLineChars="0"/>
        <w:outlineLvl w:val="1"/>
        <w:rPr>
          <w:rStyle w:val="18"/>
          <w:rFonts w:ascii="宋体" w:hAnsi="Times New Roman"/>
        </w:rPr>
      </w:pPr>
      <w:bookmarkStart w:id="24" w:name="_Toc15377205"/>
      <w:bookmarkStart w:id="25" w:name="_Toc15396603"/>
      <w:r>
        <w:rPr>
          <w:rStyle w:val="18"/>
          <w:rFonts w:hint="eastAsia" w:ascii="宋体" w:hAnsi="宋体"/>
        </w:rPr>
        <w:t>收入支出决算总体情况说明</w:t>
      </w:r>
      <w:bookmarkEnd w:id="24"/>
      <w:bookmarkEnd w:id="25"/>
    </w:p>
    <w:p>
      <w:pPr>
        <w:spacing w:line="600" w:lineRule="exact"/>
        <w:ind w:firstLine="640" w:firstLineChars="200"/>
        <w:rPr>
          <w:rFonts w:ascii="仿宋_GB2312" w:eastAsia="仿宋_GB2312"/>
          <w:color w:val="000000"/>
          <w:sz w:val="32"/>
          <w:szCs w:val="32"/>
        </w:rPr>
      </w:pPr>
      <w:r>
        <w:rPr>
          <w:rFonts w:ascii="仿宋_GB2312" w:hAnsi="仿宋" w:eastAsia="仿宋_GB2312"/>
          <w:color w:val="000000"/>
          <w:sz w:val="32"/>
          <w:szCs w:val="32"/>
        </w:rPr>
        <w:t>2018</w:t>
      </w:r>
      <w:r>
        <w:rPr>
          <w:rFonts w:hint="eastAsia" w:ascii="仿宋_GB2312" w:hAnsi="仿宋" w:eastAsia="仿宋_GB2312"/>
          <w:color w:val="000000"/>
          <w:sz w:val="32"/>
          <w:szCs w:val="32"/>
        </w:rPr>
        <w:t>年度收、支总计</w:t>
      </w:r>
      <w:r>
        <w:rPr>
          <w:rFonts w:ascii="仿宋_GB2312" w:eastAsia="仿宋_GB2312"/>
          <w:color w:val="000000"/>
          <w:sz w:val="32"/>
          <w:szCs w:val="32"/>
        </w:rPr>
        <w:t>5201.29</w:t>
      </w:r>
      <w:r>
        <w:rPr>
          <w:rFonts w:hint="eastAsia" w:ascii="仿宋_GB2312" w:hAnsi="仿宋" w:eastAsia="仿宋_GB2312"/>
          <w:color w:val="000000"/>
          <w:sz w:val="32"/>
          <w:szCs w:val="32"/>
        </w:rPr>
        <w:t>万元。与</w:t>
      </w:r>
      <w:r>
        <w:rPr>
          <w:rFonts w:ascii="仿宋_GB2312" w:hAnsi="仿宋" w:eastAsia="仿宋_GB2312"/>
          <w:color w:val="000000"/>
          <w:sz w:val="32"/>
          <w:szCs w:val="32"/>
        </w:rPr>
        <w:t>2017</w:t>
      </w:r>
      <w:r>
        <w:rPr>
          <w:rFonts w:hint="eastAsia" w:ascii="仿宋_GB2312" w:hAnsi="仿宋" w:eastAsia="仿宋_GB2312"/>
          <w:color w:val="000000"/>
          <w:sz w:val="32"/>
          <w:szCs w:val="32"/>
        </w:rPr>
        <w:t>年相比，收、支总计各增加</w:t>
      </w:r>
      <w:r>
        <w:rPr>
          <w:rFonts w:ascii="仿宋_GB2312" w:hAnsi="仿宋" w:eastAsia="仿宋_GB2312"/>
          <w:color w:val="000000"/>
          <w:sz w:val="32"/>
          <w:szCs w:val="32"/>
        </w:rPr>
        <w:t>104.22</w:t>
      </w:r>
      <w:r>
        <w:rPr>
          <w:rFonts w:hint="eastAsia" w:ascii="仿宋_GB2312" w:hAnsi="仿宋" w:eastAsia="仿宋_GB2312"/>
          <w:color w:val="000000"/>
          <w:sz w:val="32"/>
          <w:szCs w:val="32"/>
        </w:rPr>
        <w:t>万元，增长</w:t>
      </w:r>
      <w:r>
        <w:rPr>
          <w:rFonts w:ascii="仿宋_GB2312" w:hAnsi="仿宋" w:eastAsia="仿宋_GB2312"/>
          <w:color w:val="000000"/>
          <w:sz w:val="32"/>
          <w:szCs w:val="32"/>
        </w:rPr>
        <w:t>2%</w:t>
      </w:r>
      <w:r>
        <w:rPr>
          <w:rFonts w:hint="eastAsia" w:ascii="仿宋_GB2312" w:hAnsi="仿宋" w:eastAsia="仿宋_GB2312"/>
          <w:color w:val="000000"/>
          <w:sz w:val="32"/>
          <w:szCs w:val="32"/>
        </w:rPr>
        <w:t>。主要变动原因是人员经费增加。</w:t>
      </w:r>
    </w:p>
    <w:p>
      <w:pPr>
        <w:pStyle w:val="28"/>
        <w:numPr>
          <w:ilvl w:val="0"/>
          <w:numId w:val="1"/>
        </w:numPr>
        <w:spacing w:line="600" w:lineRule="exact"/>
        <w:ind w:firstLineChars="0"/>
        <w:outlineLvl w:val="1"/>
        <w:rPr>
          <w:rStyle w:val="18"/>
          <w:rFonts w:ascii="宋体" w:hAnsi="Times New Roman"/>
          <w:b w:val="0"/>
        </w:rPr>
      </w:pPr>
      <w:bookmarkStart w:id="26" w:name="_Toc15377206"/>
      <w:bookmarkStart w:id="27" w:name="_Toc15396604"/>
      <w:r>
        <w:rPr>
          <w:rFonts w:hint="eastAsia" w:ascii="宋体" w:hAnsi="宋体"/>
          <w:b/>
          <w:color w:val="000000"/>
          <w:sz w:val="32"/>
          <w:szCs w:val="32"/>
        </w:rPr>
        <w:t>收</w:t>
      </w:r>
      <w:r>
        <w:rPr>
          <w:rStyle w:val="18"/>
          <w:rFonts w:hint="eastAsia" w:ascii="宋体" w:hAnsi="宋体"/>
        </w:rPr>
        <w:t>入决算情况说明</w:t>
      </w:r>
      <w:bookmarkEnd w:id="26"/>
      <w:bookmarkEnd w:id="27"/>
    </w:p>
    <w:p>
      <w:pPr>
        <w:spacing w:line="600" w:lineRule="exact"/>
        <w:ind w:firstLine="640" w:firstLineChars="200"/>
        <w:outlineLvl w:val="1"/>
        <w:rPr>
          <w:rFonts w:hint="eastAsia" w:ascii="仿宋_GB2312" w:eastAsia="仿宋_GB2312"/>
          <w:color w:val="FF0000"/>
          <w:sz w:val="32"/>
          <w:szCs w:val="32"/>
          <w:lang w:val="en-US" w:eastAsia="zh-CN"/>
        </w:rPr>
      </w:pPr>
      <w:r>
        <w:rPr>
          <w:rFonts w:ascii="仿宋_GB2312" w:hAnsi="仿宋" w:eastAsia="仿宋_GB2312"/>
          <w:color w:val="000000"/>
          <w:sz w:val="32"/>
          <w:szCs w:val="32"/>
        </w:rPr>
        <w:t>2018</w:t>
      </w:r>
      <w:r>
        <w:rPr>
          <w:rFonts w:hint="eastAsia" w:ascii="仿宋_GB2312" w:hAnsi="仿宋" w:eastAsia="仿宋_GB2312"/>
          <w:color w:val="000000"/>
          <w:sz w:val="32"/>
          <w:szCs w:val="32"/>
        </w:rPr>
        <w:t>年本年收入合计</w:t>
      </w:r>
      <w:r>
        <w:rPr>
          <w:rFonts w:hint="eastAsia" w:ascii="仿宋_GB2312" w:hAnsi="仿宋" w:eastAsia="仿宋_GB2312"/>
          <w:color w:val="000000"/>
          <w:sz w:val="32"/>
          <w:szCs w:val="32"/>
          <w:lang w:val="en-US" w:eastAsia="zh-CN"/>
        </w:rPr>
        <w:t>4859.64</w:t>
      </w:r>
      <w:r>
        <w:rPr>
          <w:rFonts w:hint="eastAsia" w:ascii="仿宋_GB2312" w:hAnsi="仿宋" w:eastAsia="仿宋_GB2312"/>
          <w:color w:val="000000"/>
          <w:sz w:val="32"/>
          <w:szCs w:val="32"/>
        </w:rPr>
        <w:t>万元，其中：一般公共预算财政拨款收入</w:t>
      </w:r>
      <w:r>
        <w:rPr>
          <w:rFonts w:ascii="仿宋_GB2312" w:hAnsi="仿宋" w:eastAsia="仿宋_GB2312"/>
          <w:color w:val="000000"/>
          <w:sz w:val="32"/>
          <w:szCs w:val="32"/>
        </w:rPr>
        <w:t>4510.48</w:t>
      </w:r>
      <w:r>
        <w:rPr>
          <w:rFonts w:hint="eastAsia" w:ascii="仿宋_GB2312" w:hAnsi="仿宋" w:eastAsia="仿宋_GB2312"/>
          <w:color w:val="000000"/>
          <w:sz w:val="32"/>
          <w:szCs w:val="32"/>
        </w:rPr>
        <w:t>万元，占</w:t>
      </w:r>
      <w:r>
        <w:rPr>
          <w:rFonts w:hint="eastAsia" w:ascii="仿宋_GB2312" w:hAnsi="仿宋" w:eastAsia="仿宋_GB2312"/>
          <w:color w:val="000000"/>
          <w:sz w:val="32"/>
          <w:szCs w:val="32"/>
          <w:lang w:val="en-US" w:eastAsia="zh-CN"/>
        </w:rPr>
        <w:t>92.82</w:t>
      </w:r>
      <w:r>
        <w:rPr>
          <w:rFonts w:ascii="仿宋_GB2312" w:hAnsi="仿宋" w:eastAsia="仿宋_GB2312"/>
          <w:color w:val="000000"/>
          <w:sz w:val="32"/>
          <w:szCs w:val="32"/>
        </w:rPr>
        <w:t>%</w:t>
      </w:r>
      <w:r>
        <w:rPr>
          <w:rFonts w:hint="eastAsia" w:ascii="仿宋_GB2312" w:hAnsi="仿宋" w:eastAsia="仿宋_GB2312"/>
          <w:color w:val="000000"/>
          <w:sz w:val="32"/>
          <w:szCs w:val="32"/>
        </w:rPr>
        <w:t>；政府性基金预算财政拨款收入</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；其他收入</w:t>
      </w:r>
      <w:r>
        <w:rPr>
          <w:rFonts w:ascii="仿宋_GB2312" w:hAnsi="仿宋" w:eastAsia="仿宋_GB2312"/>
          <w:color w:val="000000"/>
          <w:sz w:val="32"/>
          <w:szCs w:val="32"/>
        </w:rPr>
        <w:t>349.16</w:t>
      </w:r>
      <w:r>
        <w:rPr>
          <w:rFonts w:hint="eastAsia" w:ascii="仿宋_GB2312" w:hAnsi="仿宋" w:eastAsia="仿宋_GB2312"/>
          <w:color w:val="000000"/>
          <w:sz w:val="32"/>
          <w:szCs w:val="32"/>
        </w:rPr>
        <w:t>万元，占</w:t>
      </w:r>
      <w:r>
        <w:rPr>
          <w:rFonts w:hint="eastAsia" w:ascii="仿宋_GB2312" w:hAnsi="仿宋" w:eastAsia="仿宋_GB2312"/>
          <w:color w:val="000000"/>
          <w:sz w:val="32"/>
          <w:szCs w:val="32"/>
          <w:lang w:val="en-US" w:eastAsia="zh-CN"/>
        </w:rPr>
        <w:t>7.18</w:t>
      </w:r>
      <w:r>
        <w:rPr>
          <w:rFonts w:ascii="仿宋_GB2312" w:hAnsi="仿宋" w:eastAsia="仿宋_GB2312"/>
          <w:color w:val="000000"/>
          <w:sz w:val="32"/>
          <w:szCs w:val="32"/>
        </w:rPr>
        <w:t>%</w:t>
      </w:r>
      <w:r>
        <w:rPr>
          <w:rFonts w:hint="eastAsia" w:ascii="仿宋_GB2312" w:hAnsi="仿宋" w:eastAsia="仿宋_GB2312"/>
          <w:color w:val="000000"/>
          <w:sz w:val="32"/>
          <w:szCs w:val="32"/>
          <w:lang w:eastAsia="zh-CN"/>
        </w:rPr>
        <w:t>。</w:t>
      </w:r>
    </w:p>
    <w:p>
      <w:pPr>
        <w:pStyle w:val="28"/>
        <w:numPr>
          <w:ilvl w:val="0"/>
          <w:numId w:val="1"/>
        </w:numPr>
        <w:spacing w:line="600" w:lineRule="exact"/>
        <w:ind w:firstLineChars="0"/>
        <w:outlineLvl w:val="1"/>
        <w:rPr>
          <w:rStyle w:val="18"/>
          <w:rFonts w:ascii="宋体" w:hAnsi="Times New Roman"/>
        </w:rPr>
      </w:pPr>
      <w:bookmarkStart w:id="28" w:name="_Toc15377207"/>
      <w:bookmarkStart w:id="29" w:name="_Toc15396605"/>
      <w:r>
        <w:rPr>
          <w:rFonts w:hint="eastAsia" w:ascii="宋体" w:hAnsi="宋体"/>
          <w:color w:val="000000"/>
          <w:sz w:val="32"/>
          <w:szCs w:val="32"/>
        </w:rPr>
        <w:t>支</w:t>
      </w:r>
      <w:r>
        <w:rPr>
          <w:rStyle w:val="18"/>
          <w:rFonts w:hint="eastAsia" w:ascii="宋体" w:hAnsi="宋体"/>
        </w:rPr>
        <w:t>出决算情况说明</w:t>
      </w:r>
      <w:bookmarkEnd w:id="28"/>
      <w:bookmarkEnd w:id="29"/>
    </w:p>
    <w:p>
      <w:pPr>
        <w:spacing w:line="600" w:lineRule="exact"/>
        <w:ind w:firstLine="640"/>
        <w:rPr>
          <w:rFonts w:ascii="仿宋_GB2312" w:eastAsia="仿宋_GB2312"/>
          <w:color w:val="FF0000"/>
          <w:sz w:val="32"/>
          <w:szCs w:val="32"/>
        </w:rPr>
      </w:pPr>
      <w:r>
        <w:rPr>
          <w:rFonts w:ascii="仿宋_GB2312" w:hAnsi="仿宋" w:eastAsia="仿宋_GB2312"/>
          <w:color w:val="000000"/>
          <w:sz w:val="32"/>
          <w:szCs w:val="32"/>
        </w:rPr>
        <w:t>2018</w:t>
      </w:r>
      <w:r>
        <w:rPr>
          <w:rFonts w:hint="eastAsia" w:ascii="仿宋_GB2312" w:hAnsi="仿宋" w:eastAsia="仿宋_GB2312"/>
          <w:color w:val="000000"/>
          <w:sz w:val="32"/>
          <w:szCs w:val="32"/>
        </w:rPr>
        <w:t>年本年支出合计</w:t>
      </w:r>
      <w:r>
        <w:rPr>
          <w:rFonts w:ascii="仿宋_GB2312" w:hAnsi="仿宋" w:eastAsia="仿宋_GB2312"/>
          <w:color w:val="000000"/>
          <w:sz w:val="32"/>
          <w:szCs w:val="32"/>
        </w:rPr>
        <w:t>4678.28</w:t>
      </w:r>
      <w:r>
        <w:rPr>
          <w:rFonts w:hint="eastAsia" w:ascii="仿宋_GB2312" w:hAnsi="仿宋" w:eastAsia="仿宋_GB2312"/>
          <w:color w:val="000000"/>
          <w:sz w:val="32"/>
          <w:szCs w:val="32"/>
        </w:rPr>
        <w:t>万元，其中：基本支出</w:t>
      </w:r>
      <w:r>
        <w:rPr>
          <w:rFonts w:ascii="仿宋_GB2312" w:hAnsi="仿宋" w:eastAsia="仿宋_GB2312"/>
          <w:color w:val="000000"/>
          <w:sz w:val="32"/>
          <w:szCs w:val="32"/>
        </w:rPr>
        <w:t>3206.57</w:t>
      </w:r>
      <w:r>
        <w:rPr>
          <w:rFonts w:hint="eastAsia" w:ascii="仿宋_GB2312" w:hAnsi="仿宋" w:eastAsia="仿宋_GB2312"/>
          <w:color w:val="000000"/>
          <w:sz w:val="32"/>
          <w:szCs w:val="32"/>
        </w:rPr>
        <w:t>万元，占</w:t>
      </w:r>
      <w:r>
        <w:rPr>
          <w:rFonts w:ascii="仿宋_GB2312" w:hAnsi="仿宋" w:eastAsia="仿宋_GB2312"/>
          <w:color w:val="000000"/>
          <w:sz w:val="32"/>
          <w:szCs w:val="32"/>
        </w:rPr>
        <w:t>68.54%</w:t>
      </w:r>
      <w:r>
        <w:rPr>
          <w:rFonts w:hint="eastAsia" w:ascii="仿宋_GB2312" w:hAnsi="仿宋" w:eastAsia="仿宋_GB2312"/>
          <w:color w:val="000000"/>
          <w:sz w:val="32"/>
          <w:szCs w:val="32"/>
        </w:rPr>
        <w:t>；项目支出</w:t>
      </w:r>
      <w:r>
        <w:rPr>
          <w:rFonts w:ascii="仿宋_GB2312" w:hAnsi="仿宋" w:eastAsia="仿宋_GB2312"/>
          <w:color w:val="000000"/>
          <w:sz w:val="32"/>
          <w:szCs w:val="32"/>
        </w:rPr>
        <w:t>1471.72</w:t>
      </w:r>
      <w:r>
        <w:rPr>
          <w:rFonts w:hint="eastAsia" w:ascii="仿宋_GB2312" w:hAnsi="仿宋" w:eastAsia="仿宋_GB2312"/>
          <w:color w:val="000000"/>
          <w:sz w:val="32"/>
          <w:szCs w:val="32"/>
        </w:rPr>
        <w:t>万元，占</w:t>
      </w:r>
      <w:r>
        <w:rPr>
          <w:rFonts w:ascii="仿宋_GB2312" w:hAnsi="仿宋" w:eastAsia="仿宋_GB2312"/>
          <w:color w:val="000000"/>
          <w:sz w:val="32"/>
          <w:szCs w:val="32"/>
        </w:rPr>
        <w:t>31.46%</w:t>
      </w:r>
      <w:r>
        <w:rPr>
          <w:rFonts w:hint="eastAsia" w:ascii="仿宋_GB2312" w:hAnsi="仿宋" w:eastAsia="仿宋_GB2312"/>
          <w:color w:val="000000"/>
          <w:sz w:val="32"/>
          <w:szCs w:val="32"/>
        </w:rPr>
        <w:t>。</w:t>
      </w:r>
    </w:p>
    <w:p>
      <w:pPr>
        <w:spacing w:line="600" w:lineRule="exact"/>
        <w:ind w:firstLine="640" w:firstLineChars="200"/>
        <w:outlineLvl w:val="1"/>
        <w:rPr>
          <w:rStyle w:val="18"/>
          <w:rFonts w:ascii="宋体" w:hAnsi="Times New Roman"/>
          <w:b w:val="0"/>
        </w:rPr>
      </w:pPr>
      <w:bookmarkStart w:id="30" w:name="_Toc15377208"/>
      <w:bookmarkStart w:id="31" w:name="_Toc15396606"/>
      <w:r>
        <w:rPr>
          <w:rFonts w:hint="eastAsia" w:ascii="宋体" w:hAnsi="宋体"/>
          <w:color w:val="000000"/>
          <w:sz w:val="32"/>
          <w:szCs w:val="32"/>
        </w:rPr>
        <w:t>四、财</w:t>
      </w:r>
      <w:r>
        <w:rPr>
          <w:rStyle w:val="18"/>
          <w:rFonts w:hint="eastAsia" w:ascii="宋体" w:hAnsi="宋体"/>
          <w:b w:val="0"/>
        </w:rPr>
        <w:t>政拨款收入支出决算总体情况说明</w:t>
      </w:r>
      <w:bookmarkEnd w:id="30"/>
      <w:bookmarkEnd w:id="31"/>
    </w:p>
    <w:p>
      <w:pPr>
        <w:spacing w:line="600" w:lineRule="exact"/>
        <w:ind w:firstLine="640" w:firstLineChars="200"/>
        <w:rPr>
          <w:rFonts w:ascii="仿宋_GB2312" w:hAnsi="仿宋" w:eastAsia="仿宋_GB2312"/>
          <w:b/>
          <w:color w:val="00B050"/>
          <w:sz w:val="32"/>
          <w:szCs w:val="32"/>
        </w:rPr>
      </w:pPr>
      <w:r>
        <w:rPr>
          <w:rFonts w:ascii="仿宋_GB2312" w:hAnsi="仿宋" w:eastAsia="仿宋_GB2312"/>
          <w:color w:val="000000"/>
          <w:sz w:val="32"/>
          <w:szCs w:val="32"/>
        </w:rPr>
        <w:t>2018</w:t>
      </w:r>
      <w:r>
        <w:rPr>
          <w:rFonts w:hint="eastAsia" w:ascii="仿宋_GB2312" w:hAnsi="仿宋" w:eastAsia="仿宋_GB2312"/>
          <w:color w:val="000000"/>
          <w:sz w:val="32"/>
          <w:szCs w:val="32"/>
        </w:rPr>
        <w:t>年财政拨款收、支总计</w:t>
      </w:r>
      <w:r>
        <w:rPr>
          <w:rFonts w:ascii="仿宋_GB2312" w:hAnsi="仿宋" w:eastAsia="仿宋_GB2312"/>
          <w:color w:val="000000"/>
          <w:sz w:val="32"/>
          <w:szCs w:val="32"/>
        </w:rPr>
        <w:t>4619.06</w:t>
      </w:r>
      <w:r>
        <w:rPr>
          <w:rFonts w:hint="eastAsia" w:ascii="仿宋_GB2312" w:hAnsi="仿宋" w:eastAsia="仿宋_GB2312"/>
          <w:color w:val="000000"/>
          <w:sz w:val="32"/>
          <w:szCs w:val="32"/>
        </w:rPr>
        <w:t>万元。与</w:t>
      </w:r>
      <w:r>
        <w:rPr>
          <w:rFonts w:ascii="仿宋_GB2312" w:hAnsi="仿宋" w:eastAsia="仿宋_GB2312"/>
          <w:color w:val="000000"/>
          <w:sz w:val="32"/>
          <w:szCs w:val="32"/>
        </w:rPr>
        <w:t>2017</w:t>
      </w:r>
      <w:r>
        <w:rPr>
          <w:rFonts w:hint="eastAsia" w:ascii="仿宋_GB2312" w:hAnsi="仿宋" w:eastAsia="仿宋_GB2312"/>
          <w:color w:val="000000"/>
          <w:sz w:val="32"/>
          <w:szCs w:val="32"/>
        </w:rPr>
        <w:t>年相比，财政拨款收、支总计各减少</w:t>
      </w:r>
      <w:r>
        <w:rPr>
          <w:rFonts w:ascii="仿宋_GB2312" w:hAnsi="仿宋" w:eastAsia="仿宋_GB2312"/>
          <w:color w:val="000000"/>
          <w:sz w:val="32"/>
          <w:szCs w:val="32"/>
        </w:rPr>
        <w:t>3.17</w:t>
      </w:r>
      <w:r>
        <w:rPr>
          <w:rFonts w:hint="eastAsia" w:ascii="仿宋_GB2312" w:hAnsi="仿宋" w:eastAsia="仿宋_GB2312"/>
          <w:color w:val="000000"/>
          <w:sz w:val="32"/>
          <w:szCs w:val="32"/>
        </w:rPr>
        <w:t>万元，下降</w:t>
      </w:r>
      <w:r>
        <w:rPr>
          <w:rFonts w:ascii="仿宋_GB2312" w:hAnsi="仿宋" w:eastAsia="仿宋_GB2312"/>
          <w:color w:val="000000"/>
          <w:sz w:val="32"/>
          <w:szCs w:val="32"/>
        </w:rPr>
        <w:t>0.07%</w:t>
      </w:r>
      <w:r>
        <w:rPr>
          <w:rFonts w:hint="eastAsia" w:ascii="仿宋_GB2312" w:hAnsi="仿宋" w:eastAsia="仿宋_GB2312"/>
          <w:color w:val="000000"/>
          <w:sz w:val="32"/>
          <w:szCs w:val="32"/>
        </w:rPr>
        <w:t>。主要变动原因是人员经费变动（退休人员减少）。</w:t>
      </w:r>
    </w:p>
    <w:p>
      <w:pPr>
        <w:spacing w:line="600" w:lineRule="exact"/>
        <w:ind w:firstLine="640" w:firstLineChars="200"/>
        <w:outlineLvl w:val="1"/>
        <w:rPr>
          <w:rStyle w:val="18"/>
          <w:rFonts w:ascii="宋体" w:hAnsi="Times New Roman"/>
        </w:rPr>
      </w:pPr>
      <w:bookmarkStart w:id="32" w:name="_Toc15377209"/>
      <w:bookmarkStart w:id="33" w:name="_Toc15396607"/>
      <w:r>
        <w:rPr>
          <w:rFonts w:hint="eastAsia" w:ascii="宋体" w:hAnsi="宋体"/>
          <w:color w:val="000000"/>
          <w:sz w:val="32"/>
          <w:szCs w:val="32"/>
        </w:rPr>
        <w:t>五、一</w:t>
      </w:r>
      <w:r>
        <w:rPr>
          <w:rStyle w:val="18"/>
          <w:rFonts w:hint="eastAsia" w:ascii="宋体" w:hAnsi="宋体"/>
        </w:rPr>
        <w:t>般公共预算财政拨款支出决算情况说明</w:t>
      </w:r>
      <w:bookmarkEnd w:id="32"/>
      <w:bookmarkEnd w:id="33"/>
    </w:p>
    <w:p>
      <w:pPr>
        <w:spacing w:line="600" w:lineRule="exact"/>
        <w:ind w:firstLine="643" w:firstLineChars="200"/>
        <w:outlineLvl w:val="2"/>
        <w:rPr>
          <w:rFonts w:ascii="楷体_GB2312" w:hAnsi="仿宋" w:eastAsia="楷体_GB2312"/>
          <w:b/>
          <w:color w:val="000000"/>
          <w:sz w:val="32"/>
          <w:szCs w:val="32"/>
        </w:rPr>
      </w:pPr>
      <w:bookmarkStart w:id="34" w:name="_Toc15377210"/>
      <w:r>
        <w:rPr>
          <w:rFonts w:hint="eastAsia" w:ascii="楷体_GB2312" w:hAnsi="仿宋" w:eastAsia="楷体_GB2312"/>
          <w:b/>
          <w:color w:val="000000"/>
          <w:sz w:val="32"/>
          <w:szCs w:val="32"/>
        </w:rPr>
        <w:t>（一）一般公共预算财政拨款支出决算总体情况</w:t>
      </w:r>
      <w:bookmarkEnd w:id="34"/>
    </w:p>
    <w:p>
      <w:pPr>
        <w:spacing w:line="600" w:lineRule="exact"/>
        <w:ind w:firstLine="640" w:firstLineChars="200"/>
        <w:rPr>
          <w:rFonts w:ascii="仿宋_GB2312" w:hAnsi="仿宋" w:eastAsia="仿宋_GB2312"/>
          <w:color w:val="000000"/>
          <w:sz w:val="32"/>
          <w:szCs w:val="32"/>
        </w:rPr>
      </w:pPr>
      <w:r>
        <w:rPr>
          <w:rFonts w:ascii="仿宋_GB2312" w:hAnsi="仿宋" w:eastAsia="仿宋_GB2312"/>
          <w:color w:val="000000"/>
          <w:sz w:val="32"/>
          <w:szCs w:val="32"/>
        </w:rPr>
        <w:t>2018</w:t>
      </w:r>
      <w:r>
        <w:rPr>
          <w:rFonts w:hint="eastAsia" w:ascii="仿宋_GB2312" w:hAnsi="仿宋" w:eastAsia="仿宋_GB2312"/>
          <w:color w:val="000000"/>
          <w:sz w:val="32"/>
          <w:szCs w:val="32"/>
        </w:rPr>
        <w:t>年一般公共预算财政拨款支出</w:t>
      </w:r>
      <w:r>
        <w:rPr>
          <w:rFonts w:ascii="仿宋_GB2312" w:hAnsi="仿宋" w:eastAsia="仿宋_GB2312"/>
          <w:color w:val="000000"/>
          <w:sz w:val="32"/>
          <w:szCs w:val="32"/>
        </w:rPr>
        <w:t>4294.29</w:t>
      </w:r>
      <w:r>
        <w:rPr>
          <w:rFonts w:hint="eastAsia" w:ascii="仿宋_GB2312" w:hAnsi="仿宋" w:eastAsia="仿宋_GB2312"/>
          <w:color w:val="000000"/>
          <w:sz w:val="32"/>
          <w:szCs w:val="32"/>
        </w:rPr>
        <w:t>万元，占本年支出合计的</w:t>
      </w:r>
      <w:r>
        <w:rPr>
          <w:rFonts w:ascii="仿宋_GB2312" w:hAnsi="仿宋" w:eastAsia="仿宋_GB2312"/>
          <w:color w:val="000000"/>
          <w:sz w:val="32"/>
          <w:szCs w:val="32"/>
        </w:rPr>
        <w:t>91.78%</w:t>
      </w:r>
      <w:r>
        <w:rPr>
          <w:rFonts w:hint="eastAsia" w:ascii="仿宋_GB2312" w:hAnsi="仿宋" w:eastAsia="仿宋_GB2312"/>
          <w:color w:val="000000"/>
          <w:sz w:val="32"/>
          <w:szCs w:val="32"/>
        </w:rPr>
        <w:t>。与</w:t>
      </w:r>
      <w:r>
        <w:rPr>
          <w:rFonts w:ascii="仿宋_GB2312" w:hAnsi="仿宋" w:eastAsia="仿宋_GB2312"/>
          <w:color w:val="000000"/>
          <w:sz w:val="32"/>
          <w:szCs w:val="32"/>
        </w:rPr>
        <w:t>2017</w:t>
      </w:r>
      <w:r>
        <w:rPr>
          <w:rFonts w:hint="eastAsia" w:ascii="仿宋_GB2312" w:hAnsi="仿宋" w:eastAsia="仿宋_GB2312"/>
          <w:color w:val="000000"/>
          <w:sz w:val="32"/>
          <w:szCs w:val="32"/>
        </w:rPr>
        <w:t>年相比，一般公共预算财政拨款减少</w:t>
      </w:r>
      <w:r>
        <w:rPr>
          <w:rFonts w:ascii="仿宋_GB2312" w:hAnsi="仿宋" w:eastAsia="仿宋_GB2312"/>
          <w:color w:val="000000"/>
          <w:sz w:val="32"/>
          <w:szCs w:val="32"/>
        </w:rPr>
        <w:t>219.16</w:t>
      </w:r>
      <w:r>
        <w:rPr>
          <w:rFonts w:hint="eastAsia" w:ascii="仿宋_GB2312" w:hAnsi="仿宋" w:eastAsia="仿宋_GB2312"/>
          <w:color w:val="000000"/>
          <w:sz w:val="32"/>
          <w:szCs w:val="32"/>
        </w:rPr>
        <w:t>万元，下降</w:t>
      </w:r>
      <w:r>
        <w:rPr>
          <w:rFonts w:ascii="仿宋_GB2312" w:hAnsi="仿宋" w:eastAsia="仿宋_GB2312"/>
          <w:color w:val="000000"/>
          <w:sz w:val="32"/>
          <w:szCs w:val="32"/>
        </w:rPr>
        <w:t>4.68%</w:t>
      </w:r>
      <w:r>
        <w:rPr>
          <w:rFonts w:hint="eastAsia" w:ascii="仿宋_GB2312" w:hAnsi="仿宋" w:eastAsia="仿宋_GB2312"/>
          <w:color w:val="000000"/>
          <w:sz w:val="32"/>
          <w:szCs w:val="32"/>
        </w:rPr>
        <w:t>。主要变动原因是项目收入减少。</w:t>
      </w:r>
    </w:p>
    <w:p>
      <w:pPr>
        <w:spacing w:line="600" w:lineRule="exact"/>
        <w:ind w:firstLine="643" w:firstLineChars="200"/>
        <w:outlineLvl w:val="2"/>
        <w:rPr>
          <w:rFonts w:ascii="楷体_GB2312" w:hAnsi="仿宋" w:eastAsia="楷体_GB2312"/>
          <w:b/>
          <w:color w:val="000000"/>
          <w:sz w:val="32"/>
          <w:szCs w:val="32"/>
        </w:rPr>
      </w:pPr>
      <w:bookmarkStart w:id="35" w:name="_Toc15377211"/>
      <w:r>
        <w:rPr>
          <w:rFonts w:hint="eastAsia" w:ascii="楷体_GB2312" w:hAnsi="仿宋" w:eastAsia="楷体_GB2312"/>
          <w:b/>
          <w:color w:val="000000"/>
          <w:sz w:val="32"/>
          <w:szCs w:val="32"/>
        </w:rPr>
        <w:t>（二）一般公共预算财政拨款支出决算结构情况</w:t>
      </w:r>
      <w:bookmarkEnd w:id="35"/>
    </w:p>
    <w:p>
      <w:pPr>
        <w:spacing w:line="600" w:lineRule="exact"/>
        <w:ind w:firstLine="640"/>
        <w:rPr>
          <w:rFonts w:ascii="仿宋_GB2312" w:hAnsi="仿宋" w:eastAsia="仿宋_GB2312"/>
          <w:color w:val="000000"/>
          <w:sz w:val="32"/>
          <w:szCs w:val="32"/>
        </w:rPr>
      </w:pPr>
      <w:r>
        <w:rPr>
          <w:rFonts w:ascii="仿宋_GB2312" w:hAnsi="仿宋" w:eastAsia="仿宋_GB2312"/>
          <w:color w:val="000000"/>
          <w:sz w:val="32"/>
          <w:szCs w:val="32"/>
        </w:rPr>
        <w:t>2018</w:t>
      </w:r>
      <w:r>
        <w:rPr>
          <w:rFonts w:hint="eastAsia" w:ascii="仿宋_GB2312" w:hAnsi="仿宋" w:eastAsia="仿宋_GB2312"/>
          <w:color w:val="000000"/>
          <w:sz w:val="32"/>
          <w:szCs w:val="32"/>
        </w:rPr>
        <w:t>年一般公共预算财政拨款支出</w:t>
      </w:r>
      <w:r>
        <w:rPr>
          <w:rFonts w:ascii="仿宋_GB2312" w:hAnsi="仿宋" w:eastAsia="仿宋_GB2312"/>
          <w:color w:val="000000"/>
          <w:sz w:val="32"/>
          <w:szCs w:val="32"/>
        </w:rPr>
        <w:t>4294.29</w:t>
      </w:r>
      <w:r>
        <w:rPr>
          <w:rFonts w:hint="eastAsia" w:ascii="仿宋_GB2312" w:hAnsi="仿宋" w:eastAsia="仿宋_GB2312"/>
          <w:color w:val="000000"/>
          <w:sz w:val="32"/>
          <w:szCs w:val="32"/>
        </w:rPr>
        <w:t>万元，主要用于以下方面</w:t>
      </w:r>
      <w:r>
        <w:rPr>
          <w:rFonts w:ascii="仿宋_GB2312" w:hAnsi="仿宋" w:eastAsia="仿宋_GB2312"/>
          <w:color w:val="000000"/>
          <w:sz w:val="32"/>
          <w:szCs w:val="32"/>
        </w:rPr>
        <w:t>:</w:t>
      </w:r>
      <w:r>
        <w:rPr>
          <w:rFonts w:hint="eastAsia" w:ascii="仿宋_GB2312" w:hAnsi="仿宋" w:eastAsia="仿宋_GB2312"/>
          <w:b/>
          <w:color w:val="000000"/>
          <w:sz w:val="32"/>
          <w:szCs w:val="32"/>
        </w:rPr>
        <w:t>一般公共服务（类）</w:t>
      </w:r>
      <w:r>
        <w:rPr>
          <w:rFonts w:hint="eastAsia" w:ascii="仿宋_GB2312" w:hAnsi="仿宋" w:eastAsia="仿宋_GB2312"/>
          <w:color w:val="000000"/>
          <w:sz w:val="32"/>
          <w:szCs w:val="32"/>
        </w:rPr>
        <w:t>支出</w:t>
      </w:r>
      <w:r>
        <w:rPr>
          <w:rFonts w:ascii="仿宋_GB2312" w:hAnsi="仿宋" w:eastAsia="仿宋_GB2312"/>
          <w:color w:val="000000"/>
          <w:sz w:val="32"/>
          <w:szCs w:val="32"/>
        </w:rPr>
        <w:t>3725.60</w:t>
      </w:r>
      <w:r>
        <w:rPr>
          <w:rFonts w:hint="eastAsia" w:ascii="仿宋_GB2312" w:hAnsi="仿宋" w:eastAsia="仿宋_GB2312"/>
          <w:color w:val="000000"/>
          <w:sz w:val="32"/>
          <w:szCs w:val="32"/>
        </w:rPr>
        <w:t>万元，占</w:t>
      </w:r>
      <w:r>
        <w:rPr>
          <w:rFonts w:ascii="仿宋_GB2312" w:hAnsi="仿宋" w:eastAsia="仿宋_GB2312"/>
          <w:color w:val="000000"/>
          <w:sz w:val="32"/>
          <w:szCs w:val="32"/>
        </w:rPr>
        <w:t>86.76%</w:t>
      </w:r>
      <w:r>
        <w:rPr>
          <w:rFonts w:hint="eastAsia" w:ascii="仿宋_GB2312" w:hAnsi="仿宋" w:eastAsia="仿宋_GB2312"/>
          <w:color w:val="000000"/>
          <w:sz w:val="32"/>
          <w:szCs w:val="32"/>
        </w:rPr>
        <w:t>；</w:t>
      </w:r>
      <w:r>
        <w:rPr>
          <w:rFonts w:hint="eastAsia" w:ascii="仿宋_GB2312" w:hAnsi="仿宋" w:eastAsia="仿宋_GB2312"/>
          <w:b/>
          <w:color w:val="000000"/>
          <w:sz w:val="32"/>
          <w:szCs w:val="32"/>
        </w:rPr>
        <w:t>社会保障和就业（类）</w:t>
      </w:r>
      <w:r>
        <w:rPr>
          <w:rFonts w:hint="eastAsia" w:ascii="仿宋_GB2312" w:hAnsi="仿宋" w:eastAsia="仿宋_GB2312"/>
          <w:color w:val="000000"/>
          <w:sz w:val="32"/>
          <w:szCs w:val="32"/>
        </w:rPr>
        <w:t>支出</w:t>
      </w:r>
      <w:r>
        <w:rPr>
          <w:rFonts w:ascii="仿宋_GB2312" w:hAnsi="仿宋" w:eastAsia="仿宋_GB2312"/>
          <w:color w:val="000000"/>
          <w:sz w:val="32"/>
          <w:szCs w:val="32"/>
        </w:rPr>
        <w:t>265.39</w:t>
      </w:r>
      <w:r>
        <w:rPr>
          <w:rFonts w:hint="eastAsia" w:ascii="仿宋_GB2312" w:hAnsi="仿宋" w:eastAsia="仿宋_GB2312"/>
          <w:color w:val="000000"/>
          <w:sz w:val="32"/>
          <w:szCs w:val="32"/>
        </w:rPr>
        <w:t>万元，占</w:t>
      </w:r>
      <w:r>
        <w:rPr>
          <w:rFonts w:ascii="仿宋_GB2312" w:hAnsi="仿宋" w:eastAsia="仿宋_GB2312"/>
          <w:color w:val="000000"/>
          <w:sz w:val="32"/>
          <w:szCs w:val="32"/>
        </w:rPr>
        <w:t>6.18%</w:t>
      </w:r>
      <w:r>
        <w:rPr>
          <w:rFonts w:hint="eastAsia" w:ascii="仿宋_GB2312" w:hAnsi="仿宋" w:eastAsia="仿宋_GB2312"/>
          <w:color w:val="000000"/>
          <w:sz w:val="32"/>
          <w:szCs w:val="32"/>
        </w:rPr>
        <w:t>；</w:t>
      </w:r>
      <w:r>
        <w:rPr>
          <w:rFonts w:hint="eastAsia" w:ascii="仿宋_GB2312" w:hAnsi="仿宋" w:eastAsia="仿宋_GB2312"/>
          <w:b/>
          <w:bCs/>
          <w:color w:val="000000"/>
          <w:sz w:val="32"/>
          <w:szCs w:val="32"/>
        </w:rPr>
        <w:t>医疗卫生</w:t>
      </w:r>
      <w:r>
        <w:rPr>
          <w:rFonts w:hint="eastAsia" w:ascii="仿宋_GB2312" w:hAnsi="仿宋" w:eastAsia="仿宋_GB2312"/>
          <w:color w:val="000000"/>
          <w:sz w:val="32"/>
          <w:szCs w:val="32"/>
        </w:rPr>
        <w:t>支出</w:t>
      </w:r>
      <w:r>
        <w:rPr>
          <w:rFonts w:ascii="仿宋_GB2312" w:hAnsi="仿宋" w:eastAsia="仿宋_GB2312"/>
          <w:color w:val="000000"/>
          <w:sz w:val="32"/>
          <w:szCs w:val="32"/>
        </w:rPr>
        <w:t>88.86</w:t>
      </w:r>
      <w:r>
        <w:rPr>
          <w:rFonts w:hint="eastAsia" w:ascii="仿宋_GB2312" w:hAnsi="仿宋" w:eastAsia="仿宋_GB2312"/>
          <w:color w:val="000000"/>
          <w:sz w:val="32"/>
          <w:szCs w:val="32"/>
        </w:rPr>
        <w:t>万元，占</w:t>
      </w:r>
      <w:r>
        <w:rPr>
          <w:rFonts w:ascii="仿宋_GB2312" w:hAnsi="仿宋" w:eastAsia="仿宋_GB2312"/>
          <w:color w:val="000000"/>
          <w:sz w:val="32"/>
          <w:szCs w:val="32"/>
        </w:rPr>
        <w:t>2.07%</w:t>
      </w:r>
      <w:r>
        <w:rPr>
          <w:rFonts w:hint="eastAsia" w:ascii="仿宋_GB2312" w:hAnsi="仿宋" w:eastAsia="仿宋_GB2312"/>
          <w:color w:val="000000"/>
          <w:sz w:val="32"/>
          <w:szCs w:val="32"/>
        </w:rPr>
        <w:t>；</w:t>
      </w:r>
      <w:r>
        <w:rPr>
          <w:rFonts w:hint="eastAsia" w:ascii="仿宋_GB2312" w:hAnsi="仿宋" w:eastAsia="仿宋_GB2312"/>
          <w:b/>
          <w:bCs/>
          <w:color w:val="000000"/>
          <w:sz w:val="32"/>
          <w:szCs w:val="32"/>
        </w:rPr>
        <w:t>住房保障</w:t>
      </w:r>
      <w:r>
        <w:rPr>
          <w:rFonts w:hint="eastAsia" w:ascii="仿宋_GB2312" w:hAnsi="仿宋" w:eastAsia="仿宋_GB2312"/>
          <w:color w:val="000000"/>
          <w:sz w:val="32"/>
          <w:szCs w:val="32"/>
        </w:rPr>
        <w:t>支出</w:t>
      </w:r>
      <w:r>
        <w:rPr>
          <w:rFonts w:ascii="仿宋_GB2312" w:hAnsi="仿宋" w:eastAsia="仿宋_GB2312"/>
          <w:color w:val="000000"/>
          <w:sz w:val="32"/>
          <w:szCs w:val="32"/>
        </w:rPr>
        <w:t>192.45</w:t>
      </w:r>
      <w:r>
        <w:rPr>
          <w:rFonts w:hint="eastAsia" w:ascii="仿宋_GB2312" w:hAnsi="仿宋" w:eastAsia="仿宋_GB2312"/>
          <w:color w:val="000000"/>
          <w:sz w:val="32"/>
          <w:szCs w:val="32"/>
        </w:rPr>
        <w:t>万元，占</w:t>
      </w:r>
      <w:r>
        <w:rPr>
          <w:rFonts w:ascii="仿宋_GB2312" w:hAnsi="仿宋" w:eastAsia="仿宋_GB2312"/>
          <w:color w:val="000000"/>
          <w:sz w:val="32"/>
          <w:szCs w:val="32"/>
        </w:rPr>
        <w:t>4.48%</w:t>
      </w:r>
      <w:r>
        <w:rPr>
          <w:rFonts w:hint="eastAsia" w:ascii="仿宋_GB2312" w:hAnsi="仿宋" w:eastAsia="仿宋_GB2312"/>
          <w:color w:val="000000"/>
          <w:sz w:val="32"/>
          <w:szCs w:val="32"/>
        </w:rPr>
        <w:t>；</w:t>
      </w:r>
      <w:r>
        <w:rPr>
          <w:rFonts w:hint="eastAsia" w:ascii="仿宋_GB2312" w:hAnsi="仿宋" w:eastAsia="仿宋_GB2312"/>
          <w:b/>
          <w:bCs/>
          <w:color w:val="000000"/>
          <w:sz w:val="32"/>
          <w:szCs w:val="32"/>
        </w:rPr>
        <w:t>其他</w:t>
      </w:r>
      <w:r>
        <w:rPr>
          <w:rFonts w:hint="eastAsia" w:ascii="仿宋_GB2312" w:hAnsi="仿宋" w:eastAsia="仿宋_GB2312"/>
          <w:color w:val="000000"/>
          <w:sz w:val="32"/>
          <w:szCs w:val="32"/>
        </w:rPr>
        <w:t>支出</w:t>
      </w:r>
      <w:r>
        <w:rPr>
          <w:rFonts w:ascii="仿宋_GB2312" w:hAnsi="仿宋" w:eastAsia="仿宋_GB2312"/>
          <w:color w:val="000000"/>
          <w:sz w:val="32"/>
          <w:szCs w:val="32"/>
        </w:rPr>
        <w:t>22.00</w:t>
      </w:r>
      <w:r>
        <w:rPr>
          <w:rFonts w:hint="eastAsia" w:ascii="仿宋_GB2312" w:hAnsi="仿宋" w:eastAsia="仿宋_GB2312"/>
          <w:color w:val="000000"/>
          <w:sz w:val="32"/>
          <w:szCs w:val="32"/>
        </w:rPr>
        <w:t>万元，占</w:t>
      </w:r>
      <w:r>
        <w:rPr>
          <w:rFonts w:ascii="仿宋_GB2312" w:hAnsi="仿宋" w:eastAsia="仿宋_GB2312"/>
          <w:color w:val="000000"/>
          <w:sz w:val="32"/>
          <w:szCs w:val="32"/>
        </w:rPr>
        <w:t>0.51%</w:t>
      </w:r>
      <w:r>
        <w:rPr>
          <w:rFonts w:hint="eastAsia" w:ascii="仿宋_GB2312" w:hAnsi="仿宋" w:eastAsia="仿宋_GB2312"/>
          <w:color w:val="000000"/>
          <w:sz w:val="32"/>
          <w:szCs w:val="32"/>
        </w:rPr>
        <w:t>。</w:t>
      </w:r>
    </w:p>
    <w:p>
      <w:pPr>
        <w:spacing w:line="600" w:lineRule="exact"/>
        <w:ind w:firstLine="643" w:firstLineChars="200"/>
        <w:outlineLvl w:val="2"/>
        <w:rPr>
          <w:rFonts w:ascii="楷体_GB2312" w:hAnsi="仿宋" w:eastAsia="楷体_GB2312"/>
          <w:b/>
          <w:color w:val="000000"/>
          <w:sz w:val="32"/>
          <w:szCs w:val="32"/>
        </w:rPr>
      </w:pPr>
      <w:bookmarkStart w:id="36" w:name="_Toc15377212"/>
      <w:r>
        <w:rPr>
          <w:rFonts w:hint="eastAsia" w:ascii="楷体_GB2312" w:hAnsi="仿宋" w:eastAsia="楷体_GB2312"/>
          <w:b/>
          <w:color w:val="000000"/>
          <w:sz w:val="32"/>
          <w:szCs w:val="32"/>
        </w:rPr>
        <w:t>（三）一般公共预算财政拨款支出决算具体情况</w:t>
      </w:r>
      <w:bookmarkEnd w:id="36"/>
    </w:p>
    <w:p>
      <w:pPr>
        <w:spacing w:line="600" w:lineRule="exact"/>
        <w:ind w:firstLine="643" w:firstLineChars="200"/>
        <w:outlineLvl w:val="2"/>
        <w:rPr>
          <w:rFonts w:ascii="仿宋_GB2312" w:hAnsi="仿宋" w:eastAsia="仿宋_GB2312"/>
          <w:color w:val="FF0000"/>
          <w:sz w:val="32"/>
          <w:szCs w:val="32"/>
        </w:rPr>
      </w:pPr>
      <w:bookmarkStart w:id="37" w:name="_Toc15378460"/>
      <w:bookmarkStart w:id="38" w:name="_Toc15377213"/>
      <w:bookmarkStart w:id="39" w:name="_Toc15377444"/>
      <w:r>
        <w:rPr>
          <w:rFonts w:ascii="仿宋_GB2312" w:hAnsi="仿宋" w:eastAsia="仿宋_GB2312"/>
          <w:b/>
          <w:color w:val="000000"/>
          <w:sz w:val="32"/>
          <w:szCs w:val="32"/>
        </w:rPr>
        <w:t>2018</w:t>
      </w:r>
      <w:r>
        <w:rPr>
          <w:rFonts w:hint="eastAsia" w:ascii="仿宋_GB2312" w:hAnsi="仿宋" w:eastAsia="仿宋_GB2312"/>
          <w:b/>
          <w:color w:val="000000"/>
          <w:sz w:val="32"/>
          <w:szCs w:val="32"/>
        </w:rPr>
        <w:t>年一般公共预算支出决算数为</w:t>
      </w:r>
      <w:r>
        <w:rPr>
          <w:rFonts w:ascii="仿宋_GB2312" w:hAnsi="仿宋" w:eastAsia="仿宋_GB2312"/>
          <w:b/>
          <w:color w:val="000000"/>
          <w:sz w:val="32"/>
          <w:szCs w:val="32"/>
        </w:rPr>
        <w:t>4294.29</w:t>
      </w:r>
      <w:r>
        <w:rPr>
          <w:rFonts w:hint="eastAsia" w:ascii="仿宋_GB2312" w:hAnsi="仿宋" w:eastAsia="仿宋_GB2312"/>
          <w:b/>
          <w:color w:val="000000"/>
          <w:sz w:val="32"/>
          <w:szCs w:val="32"/>
        </w:rPr>
        <w:t>万元</w:t>
      </w:r>
      <w:r>
        <w:rPr>
          <w:rFonts w:hint="eastAsia" w:ascii="仿宋_GB2312" w:hAnsi="仿宋" w:eastAsia="仿宋_GB2312"/>
          <w:color w:val="000000"/>
          <w:sz w:val="32"/>
          <w:szCs w:val="32"/>
        </w:rPr>
        <w:t>，</w:t>
      </w:r>
      <w:r>
        <w:rPr>
          <w:rStyle w:val="13"/>
          <w:rFonts w:hint="eastAsia" w:ascii="仿宋_GB2312" w:hAnsi="仿宋" w:eastAsia="仿宋_GB2312"/>
          <w:bCs/>
          <w:color w:val="000000"/>
          <w:sz w:val="32"/>
          <w:szCs w:val="32"/>
        </w:rPr>
        <w:t>完成预算</w:t>
      </w:r>
      <w:r>
        <w:rPr>
          <w:rStyle w:val="13"/>
          <w:rFonts w:ascii="仿宋_GB2312" w:hAnsi="仿宋" w:eastAsia="仿宋_GB2312"/>
          <w:bCs/>
          <w:color w:val="000000"/>
          <w:sz w:val="32"/>
          <w:szCs w:val="32"/>
        </w:rPr>
        <w:t>91.50%</w:t>
      </w:r>
      <w:r>
        <w:rPr>
          <w:rStyle w:val="13"/>
          <w:rFonts w:hint="eastAsia" w:ascii="仿宋_GB2312" w:hAnsi="仿宋" w:eastAsia="仿宋_GB2312"/>
          <w:bCs/>
          <w:color w:val="000000"/>
          <w:sz w:val="32"/>
          <w:szCs w:val="32"/>
        </w:rPr>
        <w:t>。其中：</w:t>
      </w:r>
      <w:bookmarkEnd w:id="37"/>
      <w:bookmarkEnd w:id="38"/>
      <w:bookmarkEnd w:id="39"/>
    </w:p>
    <w:p>
      <w:pPr>
        <w:spacing w:line="600" w:lineRule="exact"/>
        <w:ind w:firstLine="640"/>
        <w:rPr>
          <w:rFonts w:ascii="仿宋_GB2312" w:hAnsi="仿宋" w:eastAsia="仿宋_GB2312"/>
          <w:b/>
          <w:bCs/>
          <w:color w:val="000000"/>
          <w:sz w:val="32"/>
          <w:szCs w:val="32"/>
        </w:rPr>
      </w:pPr>
      <w:r>
        <w:rPr>
          <w:rFonts w:ascii="仿宋_GB2312" w:hAnsi="仿宋" w:eastAsia="仿宋_GB2312"/>
          <w:b/>
          <w:bCs/>
          <w:color w:val="000000"/>
          <w:sz w:val="32"/>
          <w:szCs w:val="32"/>
        </w:rPr>
        <w:t>1.</w:t>
      </w:r>
      <w:r>
        <w:rPr>
          <w:rFonts w:hint="eastAsia" w:ascii="仿宋_GB2312" w:hAnsi="仿宋" w:eastAsia="仿宋_GB2312"/>
          <w:b/>
          <w:bCs/>
          <w:color w:val="000000"/>
          <w:sz w:val="32"/>
          <w:szCs w:val="32"/>
        </w:rPr>
        <w:t>一般公共服务（类）质量技术监督与检验检疫事务（款）。</w:t>
      </w:r>
    </w:p>
    <w:p>
      <w:pPr>
        <w:spacing w:line="600" w:lineRule="exact"/>
        <w:ind w:firstLine="640"/>
        <w:rPr>
          <w:rFonts w:ascii="仿宋_GB2312" w:hAnsi="仿宋" w:eastAsia="仿宋_GB2312"/>
          <w:color w:val="000000"/>
          <w:sz w:val="32"/>
          <w:szCs w:val="32"/>
        </w:rPr>
      </w:pPr>
      <w:r>
        <w:rPr>
          <w:rFonts w:hint="eastAsia" w:ascii="仿宋_GB2312" w:hAnsi="仿宋" w:eastAsia="仿宋_GB2312"/>
          <w:color w:val="000000"/>
          <w:sz w:val="32"/>
          <w:szCs w:val="32"/>
        </w:rPr>
        <w:t>（</w:t>
      </w:r>
      <w:r>
        <w:rPr>
          <w:rFonts w:ascii="仿宋_GB2312" w:hAnsi="仿宋" w:eastAsia="仿宋_GB2312"/>
          <w:color w:val="000000"/>
          <w:sz w:val="32"/>
          <w:szCs w:val="32"/>
        </w:rPr>
        <w:t>1</w:t>
      </w:r>
      <w:r>
        <w:rPr>
          <w:rFonts w:hint="eastAsia" w:ascii="仿宋_GB2312" w:hAnsi="仿宋" w:eastAsia="仿宋_GB2312"/>
          <w:color w:val="000000"/>
          <w:sz w:val="32"/>
          <w:szCs w:val="32"/>
        </w:rPr>
        <w:t>）行政运行</w:t>
      </w:r>
      <w:r>
        <w:rPr>
          <w:rFonts w:hint="eastAsia" w:ascii="仿宋_GB2312" w:hAnsi="仿宋" w:eastAsia="仿宋_GB2312"/>
          <w:b/>
          <w:bCs/>
          <w:color w:val="000000"/>
          <w:sz w:val="32"/>
          <w:szCs w:val="32"/>
        </w:rPr>
        <w:t>（项）</w:t>
      </w:r>
      <w:r>
        <w:rPr>
          <w:rFonts w:hint="eastAsia" w:ascii="仿宋_GB2312" w:hAnsi="仿宋" w:eastAsia="仿宋_GB2312"/>
          <w:color w:val="000000"/>
          <w:sz w:val="32"/>
          <w:szCs w:val="32"/>
        </w:rPr>
        <w:t>决算数为</w:t>
      </w:r>
      <w:r>
        <w:rPr>
          <w:rFonts w:ascii="仿宋_GB2312" w:hAnsi="仿宋" w:eastAsia="仿宋_GB2312"/>
          <w:color w:val="000000"/>
          <w:sz w:val="32"/>
          <w:szCs w:val="32"/>
        </w:rPr>
        <w:t>1467.21</w:t>
      </w:r>
      <w:r>
        <w:rPr>
          <w:rFonts w:hint="eastAsia" w:ascii="仿宋_GB2312" w:hAnsi="仿宋" w:eastAsia="仿宋_GB2312"/>
          <w:color w:val="000000"/>
          <w:sz w:val="32"/>
          <w:szCs w:val="32"/>
        </w:rPr>
        <w:t>万元，完成预算</w:t>
      </w:r>
      <w:r>
        <w:rPr>
          <w:rFonts w:ascii="仿宋_GB2312" w:hAnsi="仿宋" w:eastAsia="仿宋_GB2312"/>
          <w:color w:val="000000"/>
          <w:sz w:val="32"/>
          <w:szCs w:val="32"/>
        </w:rPr>
        <w:t>99.</w:t>
      </w:r>
      <w:r>
        <w:rPr>
          <w:rFonts w:hint="eastAsia" w:ascii="仿宋_GB2312" w:hAnsi="仿宋" w:eastAsia="仿宋_GB2312"/>
          <w:color w:val="000000"/>
          <w:sz w:val="32"/>
          <w:szCs w:val="32"/>
          <w:lang w:val="en-US" w:eastAsia="zh-CN"/>
        </w:rPr>
        <w:t>39</w:t>
      </w:r>
      <w:r>
        <w:rPr>
          <w:rFonts w:ascii="仿宋_GB2312" w:hAnsi="仿宋" w:eastAsia="仿宋_GB2312"/>
          <w:color w:val="000000"/>
          <w:sz w:val="32"/>
          <w:szCs w:val="32"/>
        </w:rPr>
        <w:t>%</w:t>
      </w:r>
      <w:r>
        <w:rPr>
          <w:rFonts w:hint="eastAsia" w:ascii="仿宋_GB2312" w:hAnsi="仿宋" w:eastAsia="仿宋_GB2312"/>
          <w:color w:val="000000"/>
          <w:sz w:val="32"/>
          <w:szCs w:val="32"/>
        </w:rPr>
        <w:t>；决算数小于预算数的原因一是朝天分局年终清算增加的人员经费尚未使用；二是研究生学费到账时间比较晚，未及时支付；</w:t>
      </w:r>
    </w:p>
    <w:p>
      <w:pPr>
        <w:spacing w:line="600" w:lineRule="exact"/>
        <w:ind w:firstLine="640"/>
        <w:rPr>
          <w:rFonts w:hint="eastAsia" w:ascii="仿宋_GB2312" w:hAnsi="仿宋" w:eastAsia="仿宋_GB2312"/>
          <w:color w:val="000000"/>
          <w:sz w:val="32"/>
          <w:szCs w:val="32"/>
          <w:lang w:eastAsia="zh-CN"/>
        </w:rPr>
      </w:pPr>
      <w:r>
        <w:rPr>
          <w:rFonts w:hint="eastAsia" w:ascii="仿宋_GB2312" w:hAnsi="仿宋" w:eastAsia="仿宋_GB2312"/>
          <w:color w:val="000000"/>
          <w:sz w:val="32"/>
          <w:szCs w:val="32"/>
        </w:rPr>
        <w:t>（</w:t>
      </w:r>
      <w:r>
        <w:rPr>
          <w:rFonts w:ascii="仿宋_GB2312" w:hAnsi="仿宋" w:eastAsia="仿宋_GB2312"/>
          <w:color w:val="000000"/>
          <w:sz w:val="32"/>
          <w:szCs w:val="32"/>
        </w:rPr>
        <w:t>2</w:t>
      </w:r>
      <w:r>
        <w:rPr>
          <w:rFonts w:hint="eastAsia" w:ascii="仿宋_GB2312" w:hAnsi="仿宋" w:eastAsia="仿宋_GB2312"/>
          <w:color w:val="000000"/>
          <w:sz w:val="32"/>
          <w:szCs w:val="32"/>
        </w:rPr>
        <w:t>）一般行政管理事务</w:t>
      </w:r>
      <w:r>
        <w:rPr>
          <w:rFonts w:hint="eastAsia" w:ascii="仿宋_GB2312" w:hAnsi="仿宋" w:eastAsia="仿宋_GB2312"/>
          <w:b/>
          <w:bCs/>
          <w:color w:val="000000"/>
          <w:sz w:val="32"/>
          <w:szCs w:val="32"/>
        </w:rPr>
        <w:t>（项）</w:t>
      </w:r>
      <w:r>
        <w:rPr>
          <w:rFonts w:ascii="仿宋_GB2312" w:hAnsi="仿宋" w:eastAsia="仿宋_GB2312"/>
          <w:color w:val="000000"/>
          <w:sz w:val="32"/>
          <w:szCs w:val="32"/>
        </w:rPr>
        <w:t>83.36</w:t>
      </w:r>
      <w:r>
        <w:rPr>
          <w:rFonts w:hint="eastAsia" w:ascii="仿宋_GB2312" w:hAnsi="仿宋" w:eastAsia="仿宋_GB2312"/>
          <w:color w:val="000000"/>
          <w:sz w:val="32"/>
          <w:szCs w:val="32"/>
        </w:rPr>
        <w:t>万元，完成预算</w:t>
      </w:r>
      <w:r>
        <w:rPr>
          <w:rFonts w:ascii="仿宋_GB2312" w:hAnsi="仿宋" w:eastAsia="仿宋_GB2312"/>
          <w:color w:val="000000"/>
          <w:sz w:val="32"/>
          <w:szCs w:val="32"/>
        </w:rPr>
        <w:t>98.8</w:t>
      </w:r>
      <w:r>
        <w:rPr>
          <w:rFonts w:hint="eastAsia" w:ascii="仿宋_GB2312" w:hAnsi="仿宋" w:eastAsia="仿宋_GB2312"/>
          <w:color w:val="000000"/>
          <w:sz w:val="32"/>
          <w:szCs w:val="32"/>
          <w:lang w:val="en-US" w:eastAsia="zh-CN"/>
        </w:rPr>
        <w:t>1</w:t>
      </w:r>
      <w:r>
        <w:rPr>
          <w:rFonts w:ascii="仿宋_GB2312" w:hAnsi="仿宋" w:eastAsia="仿宋_GB2312"/>
          <w:color w:val="000000"/>
          <w:sz w:val="32"/>
          <w:szCs w:val="32"/>
        </w:rPr>
        <w:t>%</w:t>
      </w:r>
      <w:r>
        <w:rPr>
          <w:rFonts w:hint="eastAsia" w:ascii="仿宋_GB2312" w:hAnsi="仿宋" w:eastAsia="仿宋_GB2312"/>
          <w:color w:val="000000"/>
          <w:sz w:val="32"/>
          <w:szCs w:val="32"/>
        </w:rPr>
        <w:t>，决算数小于预算数的原因是朝天分局和市质监局机关项目未实施完毕</w:t>
      </w:r>
      <w:r>
        <w:rPr>
          <w:rFonts w:hint="eastAsia" w:ascii="仿宋_GB2312" w:hAnsi="仿宋" w:eastAsia="仿宋_GB2312"/>
          <w:color w:val="000000"/>
          <w:sz w:val="32"/>
          <w:szCs w:val="32"/>
          <w:lang w:eastAsia="zh-CN"/>
        </w:rPr>
        <w:t>；</w:t>
      </w:r>
    </w:p>
    <w:p>
      <w:pPr>
        <w:spacing w:line="600" w:lineRule="exact"/>
        <w:ind w:firstLine="640"/>
        <w:rPr>
          <w:rFonts w:hint="eastAsia" w:ascii="仿宋_GB2312" w:hAnsi="仿宋" w:eastAsia="仿宋_GB2312"/>
          <w:color w:val="000000"/>
          <w:sz w:val="32"/>
          <w:szCs w:val="32"/>
          <w:lang w:eastAsia="zh-CN"/>
        </w:rPr>
      </w:pPr>
      <w:r>
        <w:rPr>
          <w:rFonts w:hint="eastAsia" w:ascii="仿宋_GB2312" w:hAnsi="仿宋" w:eastAsia="仿宋_GB2312"/>
          <w:color w:val="000000"/>
          <w:sz w:val="32"/>
          <w:szCs w:val="32"/>
        </w:rPr>
        <w:t>（</w:t>
      </w:r>
      <w:r>
        <w:rPr>
          <w:rFonts w:ascii="仿宋_GB2312" w:hAnsi="仿宋" w:eastAsia="仿宋_GB2312"/>
          <w:color w:val="000000"/>
          <w:sz w:val="32"/>
          <w:szCs w:val="32"/>
        </w:rPr>
        <w:t>3</w:t>
      </w:r>
      <w:r>
        <w:rPr>
          <w:rFonts w:hint="eastAsia" w:ascii="仿宋_GB2312" w:hAnsi="仿宋" w:eastAsia="仿宋_GB2312"/>
          <w:color w:val="000000"/>
          <w:sz w:val="32"/>
          <w:szCs w:val="32"/>
        </w:rPr>
        <w:t>）机关服务</w:t>
      </w:r>
      <w:r>
        <w:rPr>
          <w:rFonts w:hint="eastAsia" w:ascii="仿宋_GB2312" w:hAnsi="仿宋" w:eastAsia="仿宋_GB2312"/>
          <w:b/>
          <w:bCs/>
          <w:color w:val="000000"/>
          <w:sz w:val="32"/>
          <w:szCs w:val="32"/>
        </w:rPr>
        <w:t>（项）</w:t>
      </w:r>
      <w:r>
        <w:rPr>
          <w:rFonts w:ascii="仿宋_GB2312" w:hAnsi="仿宋" w:eastAsia="仿宋_GB2312"/>
          <w:color w:val="000000"/>
          <w:sz w:val="32"/>
          <w:szCs w:val="32"/>
        </w:rPr>
        <w:t>36.14</w:t>
      </w:r>
      <w:r>
        <w:rPr>
          <w:rFonts w:hint="eastAsia" w:ascii="仿宋_GB2312" w:hAnsi="仿宋" w:eastAsia="仿宋_GB2312"/>
          <w:color w:val="000000"/>
          <w:sz w:val="32"/>
          <w:szCs w:val="32"/>
        </w:rPr>
        <w:t>万元，完成预算</w:t>
      </w:r>
      <w:r>
        <w:rPr>
          <w:rFonts w:ascii="仿宋_GB2312" w:hAnsi="仿宋" w:eastAsia="仿宋_GB2312"/>
          <w:color w:val="000000"/>
          <w:sz w:val="32"/>
          <w:szCs w:val="32"/>
        </w:rPr>
        <w:t>73.46%</w:t>
      </w:r>
      <w:r>
        <w:rPr>
          <w:rFonts w:hint="eastAsia" w:ascii="仿宋_GB2312" w:hAnsi="仿宋" w:eastAsia="仿宋_GB2312"/>
          <w:color w:val="000000"/>
          <w:sz w:val="32"/>
          <w:szCs w:val="32"/>
        </w:rPr>
        <w:t>。局机关因机改干部档案数字化和政府采购未执行</w:t>
      </w:r>
      <w:r>
        <w:rPr>
          <w:rFonts w:hint="eastAsia" w:ascii="仿宋_GB2312" w:hAnsi="仿宋" w:eastAsia="仿宋_GB2312"/>
          <w:color w:val="000000"/>
          <w:sz w:val="32"/>
          <w:szCs w:val="32"/>
          <w:lang w:eastAsia="zh-CN"/>
        </w:rPr>
        <w:t>；</w:t>
      </w:r>
    </w:p>
    <w:p>
      <w:pPr>
        <w:spacing w:line="600" w:lineRule="exact"/>
        <w:ind w:firstLine="640"/>
        <w:rPr>
          <w:rFonts w:hint="eastAsia" w:ascii="仿宋_GB2312" w:hAnsi="仿宋" w:eastAsia="仿宋_GB2312"/>
          <w:color w:val="000000"/>
          <w:sz w:val="32"/>
          <w:szCs w:val="32"/>
          <w:lang w:eastAsia="zh-CN"/>
        </w:rPr>
      </w:pPr>
      <w:r>
        <w:rPr>
          <w:rFonts w:hint="eastAsia" w:ascii="仿宋_GB2312" w:hAnsi="仿宋" w:eastAsia="仿宋_GB2312"/>
          <w:color w:val="000000"/>
          <w:sz w:val="32"/>
          <w:szCs w:val="32"/>
        </w:rPr>
        <w:t>（</w:t>
      </w:r>
      <w:r>
        <w:rPr>
          <w:rFonts w:ascii="仿宋_GB2312" w:hAnsi="仿宋" w:eastAsia="仿宋_GB2312"/>
          <w:color w:val="000000"/>
          <w:sz w:val="32"/>
          <w:szCs w:val="32"/>
        </w:rPr>
        <w:t>4</w:t>
      </w:r>
      <w:r>
        <w:rPr>
          <w:rFonts w:hint="eastAsia" w:ascii="仿宋_GB2312" w:hAnsi="仿宋" w:eastAsia="仿宋_GB2312"/>
          <w:color w:val="000000"/>
          <w:sz w:val="32"/>
          <w:szCs w:val="32"/>
        </w:rPr>
        <w:t>）质量技术监督行政执法及业务管理</w:t>
      </w:r>
      <w:r>
        <w:rPr>
          <w:rFonts w:hint="eastAsia" w:ascii="仿宋_GB2312" w:hAnsi="仿宋" w:eastAsia="仿宋_GB2312"/>
          <w:b/>
          <w:bCs/>
          <w:color w:val="000000"/>
          <w:sz w:val="32"/>
          <w:szCs w:val="32"/>
        </w:rPr>
        <w:t>（项）</w:t>
      </w:r>
      <w:r>
        <w:rPr>
          <w:rFonts w:ascii="仿宋_GB2312" w:hAnsi="仿宋" w:eastAsia="仿宋_GB2312"/>
          <w:color w:val="000000"/>
          <w:sz w:val="32"/>
          <w:szCs w:val="32"/>
        </w:rPr>
        <w:t>242.93</w:t>
      </w:r>
      <w:r>
        <w:rPr>
          <w:rFonts w:hint="eastAsia" w:ascii="仿宋_GB2312" w:hAnsi="仿宋" w:eastAsia="仿宋_GB2312"/>
          <w:color w:val="000000"/>
          <w:sz w:val="32"/>
          <w:szCs w:val="32"/>
        </w:rPr>
        <w:t>万元，完成预算</w:t>
      </w:r>
      <w:r>
        <w:rPr>
          <w:rFonts w:ascii="仿宋_GB2312" w:hAnsi="仿宋" w:eastAsia="仿宋_GB2312"/>
          <w:color w:val="000000"/>
          <w:sz w:val="32"/>
          <w:szCs w:val="32"/>
        </w:rPr>
        <w:t>96.63%</w:t>
      </w:r>
      <w:r>
        <w:rPr>
          <w:rFonts w:hint="eastAsia" w:ascii="仿宋_GB2312" w:hAnsi="仿宋" w:eastAsia="仿宋_GB2312"/>
          <w:color w:val="000000"/>
          <w:sz w:val="32"/>
          <w:szCs w:val="32"/>
        </w:rPr>
        <w:t>。决算数小于预算数的原因一是局机关省级监督抽查经费未用完；二是利州局龙潭创建有机产品工作未完成</w:t>
      </w:r>
      <w:r>
        <w:rPr>
          <w:rFonts w:hint="eastAsia" w:ascii="仿宋_GB2312" w:hAnsi="仿宋" w:eastAsia="仿宋_GB2312"/>
          <w:color w:val="000000"/>
          <w:sz w:val="32"/>
          <w:szCs w:val="32"/>
          <w:lang w:eastAsia="zh-CN"/>
        </w:rPr>
        <w:t>；</w:t>
      </w:r>
    </w:p>
    <w:p>
      <w:pPr>
        <w:spacing w:line="600" w:lineRule="exact"/>
        <w:ind w:firstLine="640"/>
        <w:rPr>
          <w:rFonts w:ascii="仿宋_GB2312" w:hAnsi="仿宋" w:eastAsia="仿宋_GB2312"/>
          <w:color w:val="000000"/>
          <w:sz w:val="32"/>
          <w:szCs w:val="32"/>
        </w:rPr>
      </w:pPr>
      <w:r>
        <w:rPr>
          <w:rFonts w:hint="eastAsia" w:ascii="仿宋_GB2312" w:hAnsi="仿宋" w:eastAsia="仿宋_GB2312"/>
          <w:color w:val="000000"/>
          <w:sz w:val="32"/>
          <w:szCs w:val="32"/>
        </w:rPr>
        <w:t>（</w:t>
      </w:r>
      <w:r>
        <w:rPr>
          <w:rFonts w:ascii="仿宋_GB2312" w:hAnsi="仿宋" w:eastAsia="仿宋_GB2312"/>
          <w:color w:val="000000"/>
          <w:sz w:val="32"/>
          <w:szCs w:val="32"/>
        </w:rPr>
        <w:t>5</w:t>
      </w:r>
      <w:r>
        <w:rPr>
          <w:rFonts w:hint="eastAsia" w:ascii="仿宋_GB2312" w:hAnsi="仿宋" w:eastAsia="仿宋_GB2312"/>
          <w:color w:val="000000"/>
          <w:sz w:val="32"/>
          <w:szCs w:val="32"/>
        </w:rPr>
        <w:t>）质量技术监督支持</w:t>
      </w:r>
      <w:r>
        <w:rPr>
          <w:rFonts w:hint="eastAsia" w:ascii="仿宋_GB2312" w:hAnsi="仿宋" w:eastAsia="仿宋_GB2312"/>
          <w:b/>
          <w:bCs/>
          <w:color w:val="000000"/>
          <w:sz w:val="32"/>
          <w:szCs w:val="32"/>
        </w:rPr>
        <w:t>（项）</w:t>
      </w:r>
      <w:r>
        <w:rPr>
          <w:rFonts w:ascii="仿宋_GB2312" w:hAnsi="仿宋" w:eastAsia="仿宋_GB2312"/>
          <w:color w:val="000000"/>
          <w:sz w:val="32"/>
          <w:szCs w:val="32"/>
        </w:rPr>
        <w:t>873.73</w:t>
      </w:r>
      <w:r>
        <w:rPr>
          <w:rFonts w:hint="eastAsia" w:ascii="仿宋_GB2312" w:hAnsi="仿宋" w:eastAsia="仿宋_GB2312"/>
          <w:color w:val="000000"/>
          <w:sz w:val="32"/>
          <w:szCs w:val="32"/>
        </w:rPr>
        <w:t>万元，完成预算</w:t>
      </w:r>
      <w:r>
        <w:rPr>
          <w:rFonts w:ascii="仿宋_GB2312" w:hAnsi="仿宋" w:eastAsia="仿宋_GB2312"/>
          <w:color w:val="000000"/>
          <w:sz w:val="32"/>
          <w:szCs w:val="32"/>
        </w:rPr>
        <w:t>80.19%</w:t>
      </w:r>
      <w:r>
        <w:rPr>
          <w:rFonts w:hint="eastAsia" w:ascii="仿宋_GB2312" w:hAnsi="仿宋" w:eastAsia="仿宋_GB2312"/>
          <w:color w:val="000000"/>
          <w:sz w:val="32"/>
          <w:szCs w:val="32"/>
        </w:rPr>
        <w:t>，决算数小于预算数的原因是市特种设备监督检验所设备采购项目未完成。</w:t>
      </w:r>
    </w:p>
    <w:p>
      <w:pPr>
        <w:spacing w:line="600" w:lineRule="exact"/>
        <w:ind w:firstLine="640"/>
        <w:rPr>
          <w:rFonts w:hint="eastAsia" w:ascii="仿宋_GB2312" w:hAnsi="仿宋" w:eastAsia="仿宋_GB2312"/>
          <w:color w:val="000000"/>
          <w:sz w:val="32"/>
          <w:szCs w:val="32"/>
          <w:lang w:eastAsia="zh-CN"/>
        </w:rPr>
      </w:pPr>
      <w:r>
        <w:rPr>
          <w:rFonts w:hint="eastAsia" w:ascii="仿宋_GB2312" w:hAnsi="仿宋" w:eastAsia="仿宋_GB2312"/>
          <w:color w:val="000000"/>
          <w:sz w:val="32"/>
          <w:szCs w:val="32"/>
        </w:rPr>
        <w:t>（</w:t>
      </w:r>
      <w:r>
        <w:rPr>
          <w:rFonts w:ascii="仿宋_GB2312" w:hAnsi="仿宋" w:eastAsia="仿宋_GB2312"/>
          <w:color w:val="000000"/>
          <w:sz w:val="32"/>
          <w:szCs w:val="32"/>
        </w:rPr>
        <w:t>6</w:t>
      </w:r>
      <w:r>
        <w:rPr>
          <w:rFonts w:hint="eastAsia" w:ascii="仿宋_GB2312" w:hAnsi="仿宋" w:eastAsia="仿宋_GB2312"/>
          <w:color w:val="000000"/>
          <w:sz w:val="32"/>
          <w:szCs w:val="32"/>
        </w:rPr>
        <w:t>）标准化管理</w:t>
      </w:r>
      <w:r>
        <w:rPr>
          <w:rFonts w:hint="eastAsia" w:ascii="仿宋_GB2312" w:hAnsi="仿宋" w:eastAsia="仿宋_GB2312"/>
          <w:b/>
          <w:bCs/>
          <w:color w:val="000000"/>
          <w:sz w:val="32"/>
          <w:szCs w:val="32"/>
        </w:rPr>
        <w:t>（项）</w:t>
      </w:r>
      <w:r>
        <w:rPr>
          <w:rFonts w:ascii="仿宋_GB2312" w:hAnsi="仿宋" w:eastAsia="仿宋_GB2312"/>
          <w:color w:val="000000"/>
          <w:sz w:val="32"/>
          <w:szCs w:val="32"/>
        </w:rPr>
        <w:t>40</w:t>
      </w:r>
      <w:r>
        <w:rPr>
          <w:rFonts w:hint="eastAsia" w:ascii="仿宋_GB2312" w:hAnsi="仿宋" w:eastAsia="仿宋_GB2312"/>
          <w:color w:val="000000"/>
          <w:sz w:val="32"/>
          <w:szCs w:val="32"/>
        </w:rPr>
        <w:t>万元，完成预算</w:t>
      </w:r>
      <w:r>
        <w:rPr>
          <w:rFonts w:ascii="仿宋_GB2312" w:hAnsi="仿宋" w:eastAsia="仿宋_GB2312"/>
          <w:color w:val="000000"/>
          <w:sz w:val="32"/>
          <w:szCs w:val="32"/>
        </w:rPr>
        <w:t>100%</w:t>
      </w:r>
      <w:r>
        <w:rPr>
          <w:rFonts w:hint="eastAsia" w:ascii="仿宋_GB2312" w:hAnsi="仿宋" w:eastAsia="仿宋_GB2312"/>
          <w:color w:val="000000"/>
          <w:sz w:val="32"/>
          <w:szCs w:val="32"/>
          <w:lang w:eastAsia="zh-CN"/>
        </w:rPr>
        <w:t>；</w:t>
      </w:r>
    </w:p>
    <w:p>
      <w:pPr>
        <w:spacing w:line="600" w:lineRule="exact"/>
        <w:ind w:firstLine="640"/>
        <w:rPr>
          <w:rFonts w:hint="eastAsia" w:ascii="仿宋_GB2312" w:hAnsi="仿宋" w:eastAsia="仿宋_GB2312"/>
          <w:color w:val="000000"/>
          <w:sz w:val="32"/>
          <w:szCs w:val="32"/>
          <w:lang w:eastAsia="zh-CN"/>
        </w:rPr>
      </w:pPr>
      <w:r>
        <w:rPr>
          <w:rFonts w:hint="eastAsia" w:ascii="仿宋_GB2312" w:hAnsi="仿宋" w:eastAsia="仿宋_GB2312"/>
          <w:color w:val="000000"/>
          <w:sz w:val="32"/>
          <w:szCs w:val="32"/>
        </w:rPr>
        <w:t>（</w:t>
      </w:r>
      <w:r>
        <w:rPr>
          <w:rFonts w:hint="eastAsia" w:ascii="仿宋_GB2312" w:hAnsi="仿宋" w:eastAsia="仿宋_GB2312"/>
          <w:color w:val="000000"/>
          <w:sz w:val="32"/>
          <w:szCs w:val="32"/>
          <w:lang w:val="en-US" w:eastAsia="zh-CN"/>
        </w:rPr>
        <w:t>7</w:t>
      </w:r>
      <w:r>
        <w:rPr>
          <w:rFonts w:hint="eastAsia" w:ascii="仿宋_GB2312" w:hAnsi="仿宋" w:eastAsia="仿宋_GB2312"/>
          <w:color w:val="000000"/>
          <w:sz w:val="32"/>
          <w:szCs w:val="32"/>
        </w:rPr>
        <w:t>）事业运行</w:t>
      </w:r>
      <w:r>
        <w:rPr>
          <w:rFonts w:hint="eastAsia" w:ascii="仿宋_GB2312" w:hAnsi="仿宋" w:eastAsia="仿宋_GB2312"/>
          <w:b/>
          <w:bCs/>
          <w:color w:val="000000"/>
          <w:sz w:val="32"/>
          <w:szCs w:val="32"/>
        </w:rPr>
        <w:t>（项）</w:t>
      </w:r>
      <w:r>
        <w:rPr>
          <w:rFonts w:ascii="仿宋_GB2312" w:hAnsi="仿宋" w:eastAsia="仿宋_GB2312"/>
          <w:color w:val="000000"/>
          <w:sz w:val="32"/>
          <w:szCs w:val="32"/>
        </w:rPr>
        <w:t>881.59</w:t>
      </w:r>
      <w:r>
        <w:rPr>
          <w:rFonts w:hint="eastAsia" w:ascii="仿宋_GB2312" w:hAnsi="仿宋" w:eastAsia="仿宋_GB2312"/>
          <w:color w:val="000000"/>
          <w:sz w:val="32"/>
          <w:szCs w:val="32"/>
        </w:rPr>
        <w:t>万元，完成预算</w:t>
      </w:r>
      <w:r>
        <w:rPr>
          <w:rFonts w:ascii="仿宋_GB2312" w:hAnsi="仿宋" w:eastAsia="仿宋_GB2312"/>
          <w:color w:val="000000"/>
          <w:sz w:val="32"/>
          <w:szCs w:val="32"/>
        </w:rPr>
        <w:t>99.15%</w:t>
      </w:r>
      <w:r>
        <w:rPr>
          <w:rFonts w:hint="eastAsia" w:ascii="仿宋_GB2312" w:hAnsi="仿宋" w:eastAsia="仿宋_GB2312"/>
          <w:color w:val="000000"/>
          <w:sz w:val="32"/>
          <w:szCs w:val="32"/>
        </w:rPr>
        <w:t>，决算数小于预算数的原因是计量检定测试所退休人员资金未支付</w:t>
      </w:r>
      <w:r>
        <w:rPr>
          <w:rFonts w:hint="eastAsia" w:ascii="仿宋_GB2312" w:hAnsi="仿宋" w:eastAsia="仿宋_GB2312"/>
          <w:color w:val="000000"/>
          <w:sz w:val="32"/>
          <w:szCs w:val="32"/>
          <w:lang w:eastAsia="zh-CN"/>
        </w:rPr>
        <w:t>；</w:t>
      </w:r>
    </w:p>
    <w:p>
      <w:pPr>
        <w:spacing w:line="600" w:lineRule="exact"/>
        <w:ind w:firstLine="640"/>
        <w:rPr>
          <w:rFonts w:ascii="仿宋_GB2312" w:hAnsi="仿宋" w:eastAsia="仿宋_GB2312"/>
          <w:color w:val="000000"/>
          <w:sz w:val="32"/>
          <w:szCs w:val="32"/>
        </w:rPr>
      </w:pPr>
      <w:r>
        <w:rPr>
          <w:rFonts w:hint="eastAsia" w:ascii="仿宋_GB2312" w:hAnsi="仿宋" w:eastAsia="仿宋_GB2312"/>
          <w:color w:val="000000"/>
          <w:sz w:val="32"/>
          <w:szCs w:val="32"/>
        </w:rPr>
        <w:t>（</w:t>
      </w:r>
      <w:r>
        <w:rPr>
          <w:rFonts w:hint="eastAsia" w:ascii="仿宋_GB2312" w:hAnsi="仿宋" w:eastAsia="仿宋_GB2312"/>
          <w:color w:val="000000"/>
          <w:sz w:val="32"/>
          <w:szCs w:val="32"/>
          <w:lang w:val="en-US" w:eastAsia="zh-CN"/>
        </w:rPr>
        <w:t>8</w:t>
      </w:r>
      <w:r>
        <w:rPr>
          <w:rFonts w:hint="eastAsia" w:ascii="仿宋_GB2312" w:hAnsi="仿宋" w:eastAsia="仿宋_GB2312"/>
          <w:color w:val="000000"/>
          <w:sz w:val="32"/>
          <w:szCs w:val="32"/>
        </w:rPr>
        <w:t>）其他质量监督与检验检疫事务支出</w:t>
      </w:r>
      <w:r>
        <w:rPr>
          <w:rFonts w:hint="eastAsia" w:ascii="仿宋_GB2312" w:hAnsi="仿宋" w:eastAsia="仿宋_GB2312"/>
          <w:b/>
          <w:bCs/>
          <w:color w:val="000000"/>
          <w:sz w:val="32"/>
          <w:szCs w:val="32"/>
        </w:rPr>
        <w:t>（项）</w:t>
      </w:r>
      <w:r>
        <w:rPr>
          <w:rFonts w:ascii="仿宋_GB2312" w:hAnsi="仿宋" w:eastAsia="仿宋_GB2312"/>
          <w:color w:val="000000"/>
          <w:sz w:val="32"/>
          <w:szCs w:val="32"/>
        </w:rPr>
        <w:t>100.64</w:t>
      </w:r>
      <w:r>
        <w:rPr>
          <w:rFonts w:hint="eastAsia" w:ascii="仿宋_GB2312" w:hAnsi="仿宋" w:eastAsia="仿宋_GB2312"/>
          <w:color w:val="000000"/>
          <w:sz w:val="32"/>
          <w:szCs w:val="32"/>
        </w:rPr>
        <w:t>万元，完成预算</w:t>
      </w:r>
      <w:r>
        <w:rPr>
          <w:rFonts w:ascii="仿宋_GB2312" w:hAnsi="仿宋" w:eastAsia="仿宋_GB2312"/>
          <w:color w:val="000000"/>
          <w:sz w:val="32"/>
          <w:szCs w:val="32"/>
        </w:rPr>
        <w:t>57.3%</w:t>
      </w:r>
      <w:r>
        <w:rPr>
          <w:rFonts w:hint="eastAsia" w:ascii="仿宋_GB2312" w:hAnsi="仿宋" w:eastAsia="仿宋_GB2312"/>
          <w:color w:val="000000"/>
          <w:sz w:val="32"/>
          <w:szCs w:val="32"/>
        </w:rPr>
        <w:t>，决算数小于预算数的原因是质检所设备购置未完成。</w:t>
      </w:r>
    </w:p>
    <w:p>
      <w:pPr>
        <w:spacing w:line="600" w:lineRule="exact"/>
        <w:ind w:firstLine="643" w:firstLineChars="200"/>
        <w:rPr>
          <w:rFonts w:hint="eastAsia" w:ascii="仿宋_GB2312" w:hAnsi="仿宋" w:eastAsia="仿宋_GB2312"/>
          <w:b/>
          <w:bCs/>
          <w:color w:val="000000"/>
          <w:sz w:val="32"/>
          <w:szCs w:val="32"/>
          <w:lang w:eastAsia="zh-CN"/>
        </w:rPr>
      </w:pPr>
      <w:r>
        <w:rPr>
          <w:rFonts w:ascii="仿宋_GB2312" w:hAnsi="仿宋" w:eastAsia="仿宋_GB2312"/>
          <w:b/>
          <w:bCs/>
          <w:color w:val="000000"/>
          <w:sz w:val="32"/>
          <w:szCs w:val="32"/>
        </w:rPr>
        <w:t>2.</w:t>
      </w:r>
      <w:r>
        <w:rPr>
          <w:rFonts w:hint="eastAsia" w:ascii="仿宋_GB2312" w:hAnsi="仿宋" w:eastAsia="仿宋_GB2312"/>
          <w:b/>
          <w:bCs/>
          <w:color w:val="000000"/>
          <w:sz w:val="32"/>
          <w:szCs w:val="32"/>
        </w:rPr>
        <w:t>社会保障和就业支出</w:t>
      </w:r>
      <w:r>
        <w:rPr>
          <w:rFonts w:hint="eastAsia" w:ascii="仿宋_GB2312" w:hAnsi="仿宋" w:eastAsia="仿宋_GB2312"/>
          <w:b/>
          <w:bCs/>
          <w:color w:val="000000"/>
          <w:sz w:val="32"/>
          <w:szCs w:val="32"/>
          <w:lang w:eastAsia="zh-CN"/>
        </w:rPr>
        <w:t>（类）</w:t>
      </w:r>
      <w:r>
        <w:rPr>
          <w:rFonts w:hint="eastAsia" w:ascii="仿宋_GB2312" w:hAnsi="仿宋" w:eastAsia="仿宋_GB2312"/>
          <w:b/>
          <w:bCs/>
          <w:color w:val="000000"/>
          <w:sz w:val="32"/>
          <w:szCs w:val="32"/>
        </w:rPr>
        <w:t>行政事业单位离退休</w:t>
      </w:r>
      <w:r>
        <w:rPr>
          <w:rFonts w:hint="eastAsia" w:ascii="仿宋_GB2312" w:hAnsi="仿宋" w:eastAsia="仿宋_GB2312"/>
          <w:b/>
          <w:bCs/>
          <w:color w:val="000000"/>
          <w:sz w:val="32"/>
          <w:szCs w:val="32"/>
          <w:lang w:eastAsia="zh-CN"/>
        </w:rPr>
        <w:t>（款）</w:t>
      </w:r>
    </w:p>
    <w:p>
      <w:pPr>
        <w:spacing w:line="600" w:lineRule="exact"/>
        <w:ind w:firstLine="640" w:firstLineChars="200"/>
        <w:rPr>
          <w:rFonts w:hint="eastAsia" w:ascii="仿宋_GB2312" w:hAnsi="仿宋" w:eastAsia="仿宋_GB2312"/>
          <w:color w:val="000000"/>
          <w:sz w:val="32"/>
          <w:szCs w:val="32"/>
        </w:rPr>
      </w:pPr>
      <w:r>
        <w:rPr>
          <w:rFonts w:hint="eastAsia" w:ascii="仿宋_GB2312" w:hAnsi="仿宋" w:eastAsia="仿宋_GB2312"/>
          <w:b w:val="0"/>
          <w:bCs w:val="0"/>
          <w:color w:val="000000"/>
          <w:sz w:val="32"/>
          <w:szCs w:val="32"/>
          <w:lang w:eastAsia="zh-CN"/>
        </w:rPr>
        <w:t>（</w:t>
      </w:r>
      <w:r>
        <w:rPr>
          <w:rFonts w:hint="eastAsia" w:ascii="仿宋_GB2312" w:hAnsi="仿宋" w:eastAsia="仿宋_GB2312"/>
          <w:b w:val="0"/>
          <w:bCs w:val="0"/>
          <w:color w:val="000000"/>
          <w:sz w:val="32"/>
          <w:szCs w:val="32"/>
          <w:lang w:val="en-US" w:eastAsia="zh-CN"/>
        </w:rPr>
        <w:t>1）</w:t>
      </w:r>
      <w:r>
        <w:rPr>
          <w:rFonts w:hint="eastAsia" w:ascii="仿宋_GB2312" w:hAnsi="仿宋" w:eastAsia="仿宋_GB2312"/>
          <w:color w:val="000000"/>
          <w:sz w:val="32"/>
          <w:szCs w:val="32"/>
        </w:rPr>
        <w:t>机关事业单位基本养老保险缴费支出</w:t>
      </w:r>
      <w:r>
        <w:rPr>
          <w:rFonts w:hint="eastAsia" w:ascii="仿宋_GB2312" w:hAnsi="仿宋" w:eastAsia="仿宋_GB2312"/>
          <w:b/>
          <w:bCs/>
          <w:color w:val="000000"/>
          <w:sz w:val="32"/>
          <w:szCs w:val="32"/>
        </w:rPr>
        <w:t>（项）</w:t>
      </w:r>
      <w:r>
        <w:rPr>
          <w:rFonts w:ascii="仿宋_GB2312" w:hAnsi="仿宋" w:eastAsia="仿宋_GB2312"/>
          <w:color w:val="000000"/>
          <w:sz w:val="32"/>
          <w:szCs w:val="32"/>
        </w:rPr>
        <w:t>2018</w:t>
      </w:r>
      <w:r>
        <w:rPr>
          <w:rFonts w:hint="eastAsia" w:ascii="仿宋_GB2312" w:hAnsi="仿宋" w:eastAsia="仿宋_GB2312"/>
          <w:color w:val="000000"/>
          <w:sz w:val="32"/>
          <w:szCs w:val="32"/>
        </w:rPr>
        <w:t>年决算数为</w:t>
      </w:r>
      <w:r>
        <w:rPr>
          <w:rFonts w:ascii="仿宋_GB2312" w:hAnsi="仿宋" w:eastAsia="仿宋_GB2312"/>
          <w:color w:val="000000"/>
          <w:sz w:val="32"/>
          <w:szCs w:val="32"/>
        </w:rPr>
        <w:t>226.20</w:t>
      </w:r>
      <w:r>
        <w:rPr>
          <w:rFonts w:hint="eastAsia" w:ascii="仿宋_GB2312" w:hAnsi="仿宋" w:eastAsia="仿宋_GB2312"/>
          <w:color w:val="000000"/>
          <w:sz w:val="32"/>
          <w:szCs w:val="32"/>
        </w:rPr>
        <w:t>万元，完成预算</w:t>
      </w:r>
      <w:r>
        <w:rPr>
          <w:rFonts w:ascii="仿宋_GB2312" w:hAnsi="仿宋" w:eastAsia="仿宋_GB2312"/>
          <w:color w:val="000000"/>
          <w:sz w:val="32"/>
          <w:szCs w:val="32"/>
        </w:rPr>
        <w:t>100%</w:t>
      </w:r>
      <w:r>
        <w:rPr>
          <w:rFonts w:hint="eastAsia" w:ascii="仿宋_GB2312" w:hAnsi="仿宋" w:eastAsia="仿宋_GB2312"/>
          <w:color w:val="000000"/>
          <w:sz w:val="32"/>
          <w:szCs w:val="32"/>
        </w:rPr>
        <w:t>；</w:t>
      </w:r>
    </w:p>
    <w:p>
      <w:pPr>
        <w:spacing w:line="60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lang w:eastAsia="zh-CN"/>
        </w:rPr>
        <w:t>（</w:t>
      </w:r>
      <w:r>
        <w:rPr>
          <w:rFonts w:hint="eastAsia" w:ascii="仿宋_GB2312" w:hAnsi="仿宋" w:eastAsia="仿宋_GB2312"/>
          <w:color w:val="000000"/>
          <w:sz w:val="32"/>
          <w:szCs w:val="32"/>
          <w:lang w:val="en-US" w:eastAsia="zh-CN"/>
        </w:rPr>
        <w:t>2）</w:t>
      </w:r>
      <w:r>
        <w:rPr>
          <w:rFonts w:hint="eastAsia" w:ascii="仿宋_GB2312" w:hAnsi="仿宋" w:eastAsia="仿宋_GB2312"/>
          <w:color w:val="000000"/>
          <w:sz w:val="32"/>
          <w:szCs w:val="32"/>
        </w:rPr>
        <w:t>机关事业单位职业年金缴费支出</w:t>
      </w:r>
      <w:r>
        <w:rPr>
          <w:rFonts w:hint="eastAsia" w:ascii="仿宋_GB2312" w:hAnsi="仿宋" w:eastAsia="仿宋_GB2312"/>
          <w:b/>
          <w:bCs/>
          <w:color w:val="000000"/>
          <w:sz w:val="32"/>
          <w:szCs w:val="32"/>
        </w:rPr>
        <w:t>（项）</w:t>
      </w:r>
      <w:r>
        <w:rPr>
          <w:rFonts w:ascii="仿宋_GB2312" w:hAnsi="仿宋" w:eastAsia="仿宋_GB2312"/>
          <w:color w:val="000000"/>
          <w:sz w:val="32"/>
          <w:szCs w:val="32"/>
        </w:rPr>
        <w:t>39.19</w:t>
      </w:r>
      <w:r>
        <w:rPr>
          <w:rFonts w:hint="eastAsia" w:ascii="仿宋_GB2312" w:hAnsi="仿宋" w:eastAsia="仿宋_GB2312"/>
          <w:color w:val="000000"/>
          <w:sz w:val="32"/>
          <w:szCs w:val="32"/>
        </w:rPr>
        <w:t>万元，完成预算</w:t>
      </w:r>
      <w:r>
        <w:rPr>
          <w:rFonts w:ascii="仿宋_GB2312" w:hAnsi="仿宋" w:eastAsia="仿宋_GB2312"/>
          <w:color w:val="000000"/>
          <w:sz w:val="32"/>
          <w:szCs w:val="32"/>
        </w:rPr>
        <w:t>100%</w:t>
      </w:r>
      <w:r>
        <w:rPr>
          <w:rFonts w:hint="eastAsia" w:ascii="仿宋_GB2312" w:hAnsi="仿宋" w:eastAsia="仿宋_GB2312"/>
          <w:color w:val="000000"/>
          <w:sz w:val="32"/>
          <w:szCs w:val="32"/>
        </w:rPr>
        <w:t>。</w:t>
      </w:r>
    </w:p>
    <w:p>
      <w:pPr>
        <w:spacing w:line="600" w:lineRule="exact"/>
        <w:ind w:firstLine="640"/>
        <w:rPr>
          <w:rFonts w:hint="eastAsia" w:ascii="仿宋_GB2312" w:hAnsi="仿宋" w:eastAsia="仿宋_GB2312"/>
          <w:b/>
          <w:bCs/>
          <w:color w:val="000000"/>
          <w:sz w:val="32"/>
          <w:szCs w:val="32"/>
          <w:lang w:eastAsia="zh-CN"/>
        </w:rPr>
      </w:pPr>
      <w:r>
        <w:rPr>
          <w:rFonts w:ascii="仿宋_GB2312" w:hAnsi="仿宋" w:eastAsia="仿宋_GB2312"/>
          <w:b/>
          <w:bCs/>
          <w:color w:val="000000"/>
          <w:sz w:val="32"/>
          <w:szCs w:val="32"/>
        </w:rPr>
        <w:t>3.</w:t>
      </w:r>
      <w:r>
        <w:rPr>
          <w:rFonts w:hint="eastAsia" w:ascii="仿宋_GB2312" w:hAnsi="仿宋" w:eastAsia="仿宋_GB2312"/>
          <w:b/>
          <w:bCs/>
          <w:color w:val="000000"/>
          <w:sz w:val="32"/>
          <w:szCs w:val="32"/>
        </w:rPr>
        <w:t>医疗卫生与计划生育支出</w:t>
      </w:r>
      <w:r>
        <w:rPr>
          <w:rFonts w:hint="eastAsia" w:ascii="仿宋_GB2312" w:hAnsi="仿宋" w:eastAsia="仿宋_GB2312"/>
          <w:b/>
          <w:bCs/>
          <w:color w:val="000000"/>
          <w:sz w:val="32"/>
          <w:szCs w:val="32"/>
          <w:lang w:eastAsia="zh-CN"/>
        </w:rPr>
        <w:t>（类）行政事业单位医疗（款）</w:t>
      </w:r>
    </w:p>
    <w:p>
      <w:pPr>
        <w:spacing w:line="600" w:lineRule="exact"/>
        <w:ind w:firstLine="640"/>
        <w:rPr>
          <w:rFonts w:hint="eastAsia" w:ascii="仿宋_GB2312" w:hAnsi="仿宋" w:eastAsia="仿宋_GB2312"/>
          <w:color w:val="000000"/>
          <w:sz w:val="32"/>
          <w:szCs w:val="32"/>
        </w:rPr>
      </w:pPr>
      <w:r>
        <w:rPr>
          <w:rFonts w:hint="eastAsia" w:ascii="仿宋_GB2312" w:hAnsi="仿宋" w:eastAsia="仿宋_GB2312"/>
          <w:color w:val="000000"/>
          <w:sz w:val="32"/>
          <w:szCs w:val="32"/>
        </w:rPr>
        <w:t>行政单位医疗</w:t>
      </w:r>
      <w:r>
        <w:rPr>
          <w:rFonts w:hint="eastAsia" w:ascii="仿宋_GB2312" w:hAnsi="仿宋" w:eastAsia="仿宋_GB2312"/>
          <w:b/>
          <w:bCs/>
          <w:color w:val="000000"/>
          <w:sz w:val="32"/>
          <w:szCs w:val="32"/>
          <w:lang w:eastAsia="zh-CN"/>
        </w:rPr>
        <w:t>（项）</w:t>
      </w:r>
      <w:r>
        <w:rPr>
          <w:rFonts w:ascii="仿宋_GB2312" w:hAnsi="仿宋" w:eastAsia="仿宋_GB2312"/>
          <w:color w:val="000000"/>
          <w:sz w:val="32"/>
          <w:szCs w:val="32"/>
        </w:rPr>
        <w:t>2018</w:t>
      </w:r>
      <w:r>
        <w:rPr>
          <w:rFonts w:hint="eastAsia" w:ascii="仿宋_GB2312" w:hAnsi="仿宋" w:eastAsia="仿宋_GB2312"/>
          <w:color w:val="000000"/>
          <w:sz w:val="32"/>
          <w:szCs w:val="32"/>
        </w:rPr>
        <w:t>年决算数为</w:t>
      </w:r>
      <w:r>
        <w:rPr>
          <w:rFonts w:ascii="仿宋_GB2312" w:hAnsi="仿宋" w:eastAsia="仿宋_GB2312"/>
          <w:color w:val="000000"/>
          <w:sz w:val="32"/>
          <w:szCs w:val="32"/>
        </w:rPr>
        <w:t>57.34</w:t>
      </w:r>
      <w:r>
        <w:rPr>
          <w:rFonts w:hint="eastAsia" w:ascii="仿宋_GB2312" w:hAnsi="仿宋" w:eastAsia="仿宋_GB2312"/>
          <w:color w:val="000000"/>
          <w:sz w:val="32"/>
          <w:szCs w:val="32"/>
        </w:rPr>
        <w:t>万元，完成预算</w:t>
      </w:r>
      <w:r>
        <w:rPr>
          <w:rFonts w:ascii="仿宋_GB2312" w:hAnsi="仿宋" w:eastAsia="仿宋_GB2312"/>
          <w:color w:val="000000"/>
          <w:sz w:val="32"/>
          <w:szCs w:val="32"/>
        </w:rPr>
        <w:t>100%</w:t>
      </w:r>
      <w:r>
        <w:rPr>
          <w:rFonts w:hint="eastAsia" w:ascii="仿宋_GB2312" w:hAnsi="仿宋" w:eastAsia="仿宋_GB2312"/>
          <w:color w:val="000000"/>
          <w:sz w:val="32"/>
          <w:szCs w:val="32"/>
        </w:rPr>
        <w:t>；</w:t>
      </w:r>
    </w:p>
    <w:p>
      <w:pPr>
        <w:spacing w:line="600" w:lineRule="exact"/>
        <w:ind w:firstLine="640"/>
        <w:rPr>
          <w:rFonts w:ascii="仿宋_GB2312" w:hAnsi="仿宋" w:eastAsia="仿宋_GB2312"/>
          <w:color w:val="000000"/>
          <w:sz w:val="32"/>
          <w:szCs w:val="32"/>
        </w:rPr>
      </w:pPr>
      <w:r>
        <w:rPr>
          <w:rFonts w:hint="eastAsia" w:ascii="仿宋_GB2312" w:hAnsi="仿宋" w:eastAsia="仿宋_GB2312"/>
          <w:color w:val="000000"/>
          <w:sz w:val="32"/>
          <w:szCs w:val="32"/>
        </w:rPr>
        <w:t>事业单位医疗</w:t>
      </w:r>
      <w:r>
        <w:rPr>
          <w:rFonts w:hint="eastAsia" w:ascii="仿宋_GB2312" w:hAnsi="仿宋" w:eastAsia="仿宋_GB2312"/>
          <w:b/>
          <w:bCs/>
          <w:color w:val="000000"/>
          <w:sz w:val="32"/>
          <w:szCs w:val="32"/>
          <w:lang w:eastAsia="zh-CN"/>
        </w:rPr>
        <w:t>（项）</w:t>
      </w:r>
      <w:r>
        <w:rPr>
          <w:rFonts w:ascii="仿宋_GB2312" w:hAnsi="仿宋" w:eastAsia="仿宋_GB2312"/>
          <w:color w:val="000000"/>
          <w:sz w:val="32"/>
          <w:szCs w:val="32"/>
        </w:rPr>
        <w:t>2018</w:t>
      </w:r>
      <w:r>
        <w:rPr>
          <w:rFonts w:hint="eastAsia" w:ascii="仿宋_GB2312" w:hAnsi="仿宋" w:eastAsia="仿宋_GB2312"/>
          <w:color w:val="000000"/>
          <w:sz w:val="32"/>
          <w:szCs w:val="32"/>
        </w:rPr>
        <w:t>年决算数为</w:t>
      </w:r>
      <w:r>
        <w:rPr>
          <w:rFonts w:ascii="仿宋_GB2312" w:hAnsi="仿宋" w:eastAsia="仿宋_GB2312"/>
          <w:color w:val="000000"/>
          <w:sz w:val="32"/>
          <w:szCs w:val="32"/>
        </w:rPr>
        <w:t>31.52</w:t>
      </w:r>
      <w:r>
        <w:rPr>
          <w:rFonts w:hint="eastAsia" w:ascii="仿宋_GB2312" w:hAnsi="仿宋" w:eastAsia="仿宋_GB2312"/>
          <w:color w:val="000000"/>
          <w:sz w:val="32"/>
          <w:szCs w:val="32"/>
        </w:rPr>
        <w:t>万元，完成预算</w:t>
      </w:r>
      <w:r>
        <w:rPr>
          <w:rFonts w:ascii="仿宋_GB2312" w:hAnsi="仿宋" w:eastAsia="仿宋_GB2312"/>
          <w:color w:val="000000"/>
          <w:sz w:val="32"/>
          <w:szCs w:val="32"/>
        </w:rPr>
        <w:t>100%</w:t>
      </w:r>
      <w:r>
        <w:rPr>
          <w:rFonts w:hint="eastAsia" w:ascii="仿宋_GB2312" w:hAnsi="仿宋" w:eastAsia="仿宋_GB2312"/>
          <w:color w:val="000000"/>
          <w:sz w:val="32"/>
          <w:szCs w:val="32"/>
        </w:rPr>
        <w:t>。</w:t>
      </w:r>
    </w:p>
    <w:p>
      <w:pPr>
        <w:spacing w:line="600" w:lineRule="exact"/>
        <w:ind w:firstLine="640"/>
        <w:rPr>
          <w:rFonts w:hint="eastAsia" w:ascii="仿宋_GB2312" w:hAnsi="仿宋" w:eastAsia="仿宋_GB2312"/>
          <w:b/>
          <w:bCs/>
          <w:color w:val="000000"/>
          <w:sz w:val="32"/>
          <w:szCs w:val="32"/>
          <w:lang w:eastAsia="zh-CN"/>
        </w:rPr>
      </w:pPr>
      <w:r>
        <w:rPr>
          <w:rFonts w:ascii="仿宋_GB2312" w:hAnsi="仿宋" w:eastAsia="仿宋_GB2312"/>
          <w:b/>
          <w:bCs/>
          <w:color w:val="000000"/>
          <w:sz w:val="32"/>
          <w:szCs w:val="32"/>
        </w:rPr>
        <w:t>4.</w:t>
      </w:r>
      <w:r>
        <w:rPr>
          <w:rFonts w:hint="eastAsia" w:ascii="仿宋_GB2312" w:hAnsi="仿宋" w:eastAsia="仿宋_GB2312"/>
          <w:b/>
          <w:bCs/>
          <w:color w:val="000000"/>
          <w:sz w:val="32"/>
          <w:szCs w:val="32"/>
        </w:rPr>
        <w:t>住房保障支出</w:t>
      </w:r>
      <w:r>
        <w:rPr>
          <w:rFonts w:hint="eastAsia" w:ascii="仿宋_GB2312" w:hAnsi="仿宋" w:eastAsia="仿宋_GB2312"/>
          <w:b/>
          <w:bCs/>
          <w:color w:val="000000"/>
          <w:sz w:val="32"/>
          <w:szCs w:val="32"/>
          <w:lang w:eastAsia="zh-CN"/>
        </w:rPr>
        <w:t>（类）</w:t>
      </w:r>
      <w:r>
        <w:rPr>
          <w:rFonts w:hint="eastAsia" w:ascii="仿宋_GB2312" w:hAnsi="仿宋" w:eastAsia="仿宋_GB2312"/>
          <w:b/>
          <w:bCs/>
          <w:color w:val="000000"/>
          <w:sz w:val="32"/>
          <w:szCs w:val="32"/>
        </w:rPr>
        <w:t>住房改革支出</w:t>
      </w:r>
      <w:r>
        <w:rPr>
          <w:rFonts w:hint="eastAsia" w:ascii="仿宋_GB2312" w:hAnsi="仿宋" w:eastAsia="仿宋_GB2312"/>
          <w:b/>
          <w:bCs/>
          <w:color w:val="000000"/>
          <w:sz w:val="32"/>
          <w:szCs w:val="32"/>
          <w:lang w:eastAsia="zh-CN"/>
        </w:rPr>
        <w:t>（款）</w:t>
      </w:r>
    </w:p>
    <w:p>
      <w:pPr>
        <w:spacing w:line="600" w:lineRule="exact"/>
        <w:ind w:firstLine="640"/>
        <w:rPr>
          <w:rFonts w:ascii="仿宋_GB2312" w:hAnsi="仿宋" w:eastAsia="仿宋_GB2312"/>
          <w:color w:val="000000"/>
          <w:sz w:val="32"/>
          <w:szCs w:val="32"/>
        </w:rPr>
      </w:pPr>
      <w:r>
        <w:rPr>
          <w:rFonts w:hint="eastAsia" w:ascii="仿宋_GB2312" w:hAnsi="仿宋" w:eastAsia="仿宋_GB2312"/>
          <w:color w:val="000000"/>
          <w:sz w:val="32"/>
          <w:szCs w:val="32"/>
        </w:rPr>
        <w:t>住房公积金</w:t>
      </w:r>
      <w:r>
        <w:rPr>
          <w:rFonts w:hint="eastAsia" w:ascii="仿宋_GB2312" w:hAnsi="仿宋" w:eastAsia="仿宋_GB2312"/>
          <w:b/>
          <w:bCs/>
          <w:color w:val="000000"/>
          <w:sz w:val="32"/>
          <w:szCs w:val="32"/>
          <w:lang w:eastAsia="zh-CN"/>
        </w:rPr>
        <w:t>（项）</w:t>
      </w:r>
      <w:r>
        <w:rPr>
          <w:rFonts w:ascii="仿宋_GB2312" w:hAnsi="仿宋" w:eastAsia="仿宋_GB2312"/>
          <w:color w:val="000000"/>
          <w:sz w:val="32"/>
          <w:szCs w:val="32"/>
        </w:rPr>
        <w:t>2018</w:t>
      </w:r>
      <w:r>
        <w:rPr>
          <w:rFonts w:hint="eastAsia" w:ascii="仿宋_GB2312" w:hAnsi="仿宋" w:eastAsia="仿宋_GB2312"/>
          <w:color w:val="000000"/>
          <w:sz w:val="32"/>
          <w:szCs w:val="32"/>
        </w:rPr>
        <w:t>年决算数为</w:t>
      </w:r>
      <w:r>
        <w:rPr>
          <w:rFonts w:ascii="仿宋_GB2312" w:hAnsi="仿宋" w:eastAsia="仿宋_GB2312"/>
          <w:color w:val="000000"/>
          <w:sz w:val="32"/>
          <w:szCs w:val="32"/>
        </w:rPr>
        <w:t>192.45</w:t>
      </w:r>
      <w:r>
        <w:rPr>
          <w:rFonts w:hint="eastAsia" w:ascii="仿宋_GB2312" w:hAnsi="仿宋" w:eastAsia="仿宋_GB2312"/>
          <w:color w:val="000000"/>
          <w:sz w:val="32"/>
          <w:szCs w:val="32"/>
        </w:rPr>
        <w:t>万元，完成预算</w:t>
      </w:r>
      <w:r>
        <w:rPr>
          <w:rFonts w:ascii="仿宋_GB2312" w:hAnsi="仿宋" w:eastAsia="仿宋_GB2312"/>
          <w:color w:val="000000"/>
          <w:sz w:val="32"/>
          <w:szCs w:val="32"/>
        </w:rPr>
        <w:t>100%</w:t>
      </w:r>
      <w:r>
        <w:rPr>
          <w:rFonts w:hint="eastAsia" w:ascii="仿宋_GB2312" w:hAnsi="仿宋" w:eastAsia="仿宋_GB2312"/>
          <w:color w:val="000000"/>
          <w:sz w:val="32"/>
          <w:szCs w:val="32"/>
        </w:rPr>
        <w:t>。</w:t>
      </w:r>
    </w:p>
    <w:p>
      <w:pPr>
        <w:spacing w:line="600" w:lineRule="exact"/>
        <w:ind w:firstLine="640"/>
        <w:rPr>
          <w:rFonts w:hint="eastAsia" w:ascii="仿宋_GB2312" w:hAnsi="仿宋" w:eastAsia="仿宋_GB2312"/>
          <w:b/>
          <w:bCs/>
          <w:color w:val="000000"/>
          <w:sz w:val="32"/>
          <w:szCs w:val="32"/>
          <w:lang w:eastAsia="zh-CN"/>
        </w:rPr>
      </w:pPr>
      <w:r>
        <w:rPr>
          <w:rFonts w:ascii="仿宋_GB2312" w:hAnsi="仿宋" w:eastAsia="仿宋_GB2312"/>
          <w:b/>
          <w:bCs/>
          <w:color w:val="000000"/>
          <w:sz w:val="32"/>
          <w:szCs w:val="32"/>
        </w:rPr>
        <w:t>5.</w:t>
      </w:r>
      <w:r>
        <w:rPr>
          <w:rFonts w:hint="eastAsia" w:ascii="仿宋_GB2312" w:hAnsi="仿宋" w:eastAsia="仿宋_GB2312"/>
          <w:b/>
          <w:bCs/>
          <w:color w:val="000000"/>
          <w:sz w:val="32"/>
          <w:szCs w:val="32"/>
        </w:rPr>
        <w:t>其他支出</w:t>
      </w:r>
      <w:r>
        <w:rPr>
          <w:rFonts w:hint="eastAsia" w:ascii="仿宋_GB2312" w:hAnsi="仿宋" w:eastAsia="仿宋_GB2312"/>
          <w:b/>
          <w:bCs/>
          <w:color w:val="000000"/>
          <w:sz w:val="32"/>
          <w:szCs w:val="32"/>
          <w:lang w:eastAsia="zh-CN"/>
        </w:rPr>
        <w:t>（类）</w:t>
      </w:r>
      <w:r>
        <w:rPr>
          <w:rFonts w:hint="eastAsia" w:ascii="仿宋_GB2312" w:hAnsi="仿宋" w:eastAsia="仿宋_GB2312"/>
          <w:b/>
          <w:bCs/>
          <w:color w:val="000000"/>
          <w:sz w:val="32"/>
          <w:szCs w:val="32"/>
        </w:rPr>
        <w:t>其他支出</w:t>
      </w:r>
      <w:r>
        <w:rPr>
          <w:rFonts w:hint="eastAsia" w:ascii="仿宋_GB2312" w:hAnsi="仿宋" w:eastAsia="仿宋_GB2312"/>
          <w:b/>
          <w:bCs/>
          <w:color w:val="000000"/>
          <w:sz w:val="32"/>
          <w:szCs w:val="32"/>
          <w:lang w:eastAsia="zh-CN"/>
        </w:rPr>
        <w:t>（款）</w:t>
      </w:r>
    </w:p>
    <w:p>
      <w:pPr>
        <w:spacing w:line="600" w:lineRule="exact"/>
        <w:ind w:firstLine="640"/>
        <w:rPr>
          <w:rFonts w:ascii="仿宋_GB2312" w:hAnsi="仿宋" w:eastAsia="仿宋_GB2312"/>
          <w:b/>
          <w:color w:val="000000"/>
          <w:sz w:val="32"/>
          <w:szCs w:val="32"/>
        </w:rPr>
      </w:pPr>
      <w:r>
        <w:rPr>
          <w:rFonts w:hint="eastAsia" w:ascii="仿宋_GB2312" w:hAnsi="仿宋" w:eastAsia="仿宋_GB2312"/>
          <w:color w:val="000000"/>
          <w:sz w:val="32"/>
          <w:szCs w:val="32"/>
        </w:rPr>
        <w:t>其他支出</w:t>
      </w:r>
      <w:r>
        <w:rPr>
          <w:rFonts w:hint="eastAsia" w:ascii="仿宋_GB2312" w:hAnsi="仿宋" w:eastAsia="仿宋_GB2312"/>
          <w:color w:val="000000"/>
          <w:sz w:val="32"/>
          <w:szCs w:val="32"/>
          <w:lang w:eastAsia="zh-CN"/>
        </w:rPr>
        <w:t>（项）</w:t>
      </w:r>
      <w:r>
        <w:rPr>
          <w:rFonts w:ascii="仿宋_GB2312" w:hAnsi="仿宋" w:eastAsia="仿宋_GB2312"/>
          <w:color w:val="000000"/>
          <w:sz w:val="32"/>
          <w:szCs w:val="32"/>
        </w:rPr>
        <w:t>2018</w:t>
      </w:r>
      <w:r>
        <w:rPr>
          <w:rFonts w:hint="eastAsia" w:ascii="仿宋_GB2312" w:hAnsi="仿宋" w:eastAsia="仿宋_GB2312"/>
          <w:color w:val="000000"/>
          <w:sz w:val="32"/>
          <w:szCs w:val="32"/>
        </w:rPr>
        <w:t>年决算数为</w:t>
      </w:r>
      <w:r>
        <w:rPr>
          <w:rFonts w:ascii="仿宋_GB2312" w:hAnsi="仿宋" w:eastAsia="仿宋_GB2312"/>
          <w:color w:val="000000"/>
          <w:sz w:val="32"/>
          <w:szCs w:val="32"/>
        </w:rPr>
        <w:t>22</w:t>
      </w:r>
      <w:r>
        <w:rPr>
          <w:rFonts w:hint="eastAsia" w:ascii="仿宋_GB2312" w:hAnsi="仿宋" w:eastAsia="仿宋_GB2312"/>
          <w:color w:val="000000"/>
          <w:sz w:val="32"/>
          <w:szCs w:val="32"/>
        </w:rPr>
        <w:t>万元，完成预算</w:t>
      </w:r>
      <w:r>
        <w:rPr>
          <w:rFonts w:ascii="仿宋_GB2312" w:hAnsi="仿宋" w:eastAsia="仿宋_GB2312"/>
          <w:color w:val="000000"/>
          <w:sz w:val="32"/>
          <w:szCs w:val="32"/>
        </w:rPr>
        <w:t>100%</w:t>
      </w:r>
      <w:r>
        <w:rPr>
          <w:rFonts w:hint="eastAsia" w:ascii="仿宋_GB2312" w:hAnsi="仿宋" w:eastAsia="仿宋_GB2312"/>
          <w:color w:val="000000"/>
          <w:sz w:val="32"/>
          <w:szCs w:val="32"/>
        </w:rPr>
        <w:t>。</w:t>
      </w:r>
    </w:p>
    <w:p>
      <w:pPr>
        <w:tabs>
          <w:tab w:val="right" w:pos="8306"/>
        </w:tabs>
        <w:spacing w:line="600" w:lineRule="exact"/>
        <w:ind w:firstLine="640"/>
        <w:outlineLvl w:val="1"/>
        <w:rPr>
          <w:rStyle w:val="18"/>
          <w:rFonts w:ascii="仿宋_GB2312" w:eastAsia="仿宋_GB2312"/>
          <w:b w:val="0"/>
        </w:rPr>
      </w:pPr>
      <w:bookmarkStart w:id="40" w:name="_Toc15377214"/>
      <w:bookmarkStart w:id="41" w:name="_Toc15396608"/>
      <w:r>
        <w:rPr>
          <w:rFonts w:hint="eastAsia" w:ascii="仿宋_GB2312" w:eastAsia="仿宋_GB2312"/>
          <w:b/>
          <w:color w:val="000000"/>
          <w:sz w:val="32"/>
          <w:szCs w:val="32"/>
        </w:rPr>
        <w:t>六、</w:t>
      </w:r>
      <w:r>
        <w:rPr>
          <w:rFonts w:hint="eastAsia" w:ascii="仿宋_GB2312" w:hAnsi="黑体" w:eastAsia="仿宋_GB2312"/>
          <w:color w:val="000000"/>
          <w:sz w:val="32"/>
          <w:szCs w:val="32"/>
        </w:rPr>
        <w:t>一</w:t>
      </w:r>
      <w:r>
        <w:rPr>
          <w:rStyle w:val="18"/>
          <w:rFonts w:hint="eastAsia" w:ascii="仿宋_GB2312" w:hAnsi="黑体" w:eastAsia="仿宋_GB2312"/>
        </w:rPr>
        <w:t>般公共预算财政拨款基本支出决算情况说明</w:t>
      </w:r>
      <w:bookmarkEnd w:id="40"/>
      <w:bookmarkEnd w:id="41"/>
      <w:r>
        <w:rPr>
          <w:rStyle w:val="18"/>
          <w:rFonts w:ascii="仿宋_GB2312" w:hAnsi="黑体" w:eastAsia="仿宋_GB2312"/>
          <w:b w:val="0"/>
        </w:rPr>
        <w:tab/>
      </w:r>
    </w:p>
    <w:p>
      <w:pPr>
        <w:spacing w:line="600" w:lineRule="exact"/>
        <w:ind w:firstLine="645"/>
        <w:rPr>
          <w:rFonts w:ascii="仿宋_GB2312" w:hAnsi="仿宋" w:eastAsia="仿宋_GB2312"/>
          <w:color w:val="000000"/>
          <w:sz w:val="32"/>
          <w:szCs w:val="32"/>
        </w:rPr>
      </w:pPr>
      <w:r>
        <w:rPr>
          <w:rFonts w:ascii="仿宋_GB2312" w:hAnsi="仿宋" w:eastAsia="仿宋_GB2312"/>
          <w:color w:val="000000"/>
          <w:sz w:val="32"/>
          <w:szCs w:val="32"/>
        </w:rPr>
        <w:t>2018</w:t>
      </w:r>
      <w:r>
        <w:rPr>
          <w:rFonts w:hint="eastAsia" w:ascii="仿宋_GB2312" w:hAnsi="仿宋" w:eastAsia="仿宋_GB2312"/>
          <w:color w:val="000000"/>
          <w:sz w:val="32"/>
          <w:szCs w:val="32"/>
        </w:rPr>
        <w:t>年一般公共预算财政拨款基本支出</w:t>
      </w:r>
      <w:r>
        <w:rPr>
          <w:rFonts w:ascii="仿宋_GB2312" w:hAnsi="仿宋" w:eastAsia="仿宋_GB2312"/>
          <w:color w:val="000000"/>
          <w:sz w:val="32"/>
          <w:szCs w:val="32"/>
        </w:rPr>
        <w:t>2917.49</w:t>
      </w:r>
      <w:r>
        <w:rPr>
          <w:rFonts w:hint="eastAsia" w:ascii="仿宋_GB2312" w:hAnsi="仿宋" w:eastAsia="仿宋_GB2312"/>
          <w:color w:val="000000"/>
          <w:sz w:val="32"/>
          <w:szCs w:val="32"/>
        </w:rPr>
        <w:t>万元，其中：</w:t>
      </w:r>
    </w:p>
    <w:p>
      <w:pPr>
        <w:spacing w:line="600" w:lineRule="exact"/>
        <w:ind w:firstLine="645"/>
        <w:rPr>
          <w:rFonts w:ascii="仿宋_GB2312" w:hAnsi="仿宋" w:eastAsia="仿宋_GB2312"/>
          <w:b/>
          <w:color w:val="FF0000"/>
          <w:sz w:val="32"/>
          <w:szCs w:val="32"/>
        </w:rPr>
      </w:pPr>
      <w:r>
        <w:rPr>
          <w:rFonts w:hint="eastAsia" w:ascii="仿宋_GB2312" w:hAnsi="仿宋" w:eastAsia="仿宋_GB2312"/>
          <w:color w:val="000000"/>
          <w:sz w:val="32"/>
          <w:szCs w:val="32"/>
        </w:rPr>
        <w:t>人员经费</w:t>
      </w:r>
      <w:r>
        <w:rPr>
          <w:rFonts w:ascii="仿宋_GB2312" w:hAnsi="仿宋" w:eastAsia="仿宋_GB2312"/>
          <w:color w:val="000000"/>
          <w:sz w:val="32"/>
          <w:szCs w:val="32"/>
        </w:rPr>
        <w:t>2449.22</w:t>
      </w:r>
      <w:r>
        <w:rPr>
          <w:rFonts w:hint="eastAsia" w:ascii="仿宋_GB2312" w:hAnsi="仿宋" w:eastAsia="仿宋_GB2312"/>
          <w:color w:val="000000"/>
          <w:sz w:val="32"/>
          <w:szCs w:val="32"/>
        </w:rPr>
        <w:t>万元，主要包括：基本工资、津贴补贴、绩效工资、机关事业单位基本养老保险缴费、职业年金缴费、其他社会保障缴费、其他工资福利支出、离休费、退休费、抚恤金、生活补助、医疗费、奖励金、住房公积金、提租补贴、购房补贴、其他对个人和家庭的补助支出等。</w:t>
      </w:r>
      <w:r>
        <w:rPr>
          <w:rFonts w:ascii="仿宋_GB2312" w:hAnsi="仿宋" w:eastAsia="仿宋_GB2312"/>
          <w:color w:val="000000"/>
          <w:sz w:val="32"/>
          <w:szCs w:val="32"/>
        </w:rPr>
        <w:br w:type="textWrapping"/>
      </w:r>
      <w:r>
        <w:rPr>
          <w:rFonts w:hint="eastAsia" w:ascii="仿宋_GB2312" w:hAnsi="仿宋" w:eastAsia="仿宋_GB2312"/>
          <w:color w:val="000000"/>
          <w:sz w:val="32"/>
          <w:szCs w:val="32"/>
        </w:rPr>
        <w:t>　　公用经费</w:t>
      </w:r>
      <w:r>
        <w:rPr>
          <w:rFonts w:ascii="仿宋_GB2312" w:hAnsi="仿宋" w:eastAsia="仿宋_GB2312"/>
          <w:color w:val="000000"/>
          <w:sz w:val="32"/>
          <w:szCs w:val="32"/>
        </w:rPr>
        <w:t>468.27</w:t>
      </w:r>
      <w:r>
        <w:rPr>
          <w:rFonts w:hint="eastAsia" w:ascii="仿宋_GB2312" w:hAnsi="仿宋" w:eastAsia="仿宋_GB2312"/>
          <w:color w:val="000000"/>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600" w:lineRule="exact"/>
        <w:ind w:firstLine="640"/>
        <w:outlineLvl w:val="1"/>
        <w:rPr>
          <w:rStyle w:val="18"/>
          <w:rFonts w:ascii="宋体" w:hAnsi="Times New Roman"/>
        </w:rPr>
      </w:pPr>
      <w:bookmarkStart w:id="42" w:name="_Toc15396609"/>
      <w:bookmarkStart w:id="43" w:name="_Toc15377215"/>
      <w:r>
        <w:rPr>
          <w:rFonts w:hint="eastAsia" w:ascii="宋体" w:hAnsi="宋体"/>
          <w:b/>
          <w:color w:val="000000"/>
          <w:sz w:val="32"/>
          <w:szCs w:val="32"/>
        </w:rPr>
        <w:t>七、</w:t>
      </w:r>
      <w:r>
        <w:rPr>
          <w:rStyle w:val="18"/>
          <w:rFonts w:hint="eastAsia" w:ascii="宋体" w:hAnsi="宋体"/>
        </w:rPr>
        <w:t>“三公”经费财政拨款支出决算情况说明</w:t>
      </w:r>
      <w:bookmarkEnd w:id="42"/>
      <w:bookmarkEnd w:id="43"/>
    </w:p>
    <w:p>
      <w:pPr>
        <w:spacing w:line="600" w:lineRule="exact"/>
        <w:ind w:firstLine="640"/>
        <w:outlineLvl w:val="2"/>
        <w:rPr>
          <w:rFonts w:ascii="楷体_GB2312" w:hAnsi="仿宋" w:eastAsia="楷体_GB2312"/>
          <w:b/>
          <w:color w:val="000000"/>
          <w:sz w:val="32"/>
          <w:szCs w:val="32"/>
        </w:rPr>
      </w:pPr>
      <w:bookmarkStart w:id="44" w:name="_Toc15377216"/>
      <w:r>
        <w:rPr>
          <w:rFonts w:hint="eastAsia" w:ascii="楷体_GB2312" w:hAnsi="仿宋" w:eastAsia="楷体_GB2312"/>
          <w:b/>
          <w:color w:val="000000"/>
          <w:sz w:val="32"/>
          <w:szCs w:val="32"/>
        </w:rPr>
        <w:t>（一）“三公”经费财政拨款支出决算总体情况说明</w:t>
      </w:r>
      <w:bookmarkEnd w:id="44"/>
    </w:p>
    <w:p>
      <w:pPr>
        <w:spacing w:line="600" w:lineRule="exact"/>
        <w:ind w:firstLine="640"/>
        <w:rPr>
          <w:rFonts w:ascii="仿宋_GB2312" w:hAnsi="仿宋" w:eastAsia="仿宋_GB2312"/>
          <w:color w:val="000000"/>
          <w:sz w:val="32"/>
          <w:szCs w:val="32"/>
        </w:rPr>
      </w:pPr>
      <w:r>
        <w:rPr>
          <w:rFonts w:ascii="仿宋_GB2312" w:hAnsi="仿宋" w:eastAsia="仿宋_GB2312"/>
          <w:color w:val="000000"/>
          <w:sz w:val="32"/>
          <w:szCs w:val="32"/>
        </w:rPr>
        <w:t>2018</w:t>
      </w:r>
      <w:r>
        <w:rPr>
          <w:rFonts w:hint="eastAsia" w:ascii="仿宋_GB2312" w:hAnsi="仿宋" w:eastAsia="仿宋_GB2312"/>
          <w:color w:val="000000"/>
          <w:sz w:val="32"/>
          <w:szCs w:val="32"/>
        </w:rPr>
        <w:t>年“三公”经费财政拨款支出决算为</w:t>
      </w:r>
      <w:r>
        <w:rPr>
          <w:rFonts w:ascii="仿宋_GB2312" w:hAnsi="仿宋" w:eastAsia="仿宋_GB2312"/>
          <w:color w:val="000000"/>
          <w:sz w:val="32"/>
          <w:szCs w:val="32"/>
        </w:rPr>
        <w:t>70.12</w:t>
      </w:r>
      <w:r>
        <w:rPr>
          <w:rFonts w:hint="eastAsia" w:ascii="仿宋_GB2312" w:hAnsi="仿宋" w:eastAsia="仿宋_GB2312"/>
          <w:color w:val="000000"/>
          <w:sz w:val="32"/>
          <w:szCs w:val="32"/>
        </w:rPr>
        <w:t>万元，完成预算</w:t>
      </w:r>
      <w:r>
        <w:rPr>
          <w:rFonts w:ascii="仿宋_GB2312" w:hAnsi="仿宋" w:eastAsia="仿宋_GB2312"/>
          <w:color w:val="000000"/>
          <w:sz w:val="32"/>
          <w:szCs w:val="32"/>
        </w:rPr>
        <w:t>89.15%</w:t>
      </w:r>
      <w:r>
        <w:rPr>
          <w:rFonts w:hint="eastAsia" w:ascii="仿宋_GB2312" w:hAnsi="仿宋" w:eastAsia="仿宋_GB2312"/>
          <w:color w:val="000000"/>
          <w:sz w:val="32"/>
          <w:szCs w:val="32"/>
        </w:rPr>
        <w:t>，决算数小于预算数的主要原因是严格执行八项规定。</w:t>
      </w:r>
    </w:p>
    <w:p>
      <w:pPr>
        <w:spacing w:line="600" w:lineRule="exact"/>
        <w:ind w:firstLine="640"/>
        <w:outlineLvl w:val="2"/>
        <w:rPr>
          <w:rFonts w:ascii="楷体_GB2312" w:hAnsi="仿宋" w:eastAsia="楷体_GB2312"/>
          <w:b/>
          <w:color w:val="000000"/>
          <w:sz w:val="32"/>
          <w:szCs w:val="32"/>
        </w:rPr>
      </w:pPr>
      <w:bookmarkStart w:id="45" w:name="_Toc15377217"/>
      <w:r>
        <w:rPr>
          <w:rFonts w:hint="eastAsia" w:ascii="楷体_GB2312" w:hAnsi="仿宋" w:eastAsia="楷体_GB2312"/>
          <w:b/>
          <w:color w:val="000000"/>
          <w:sz w:val="32"/>
          <w:szCs w:val="32"/>
        </w:rPr>
        <w:t>（二）“三公”经费财政拨款支出决算具体情况说明</w:t>
      </w:r>
      <w:bookmarkEnd w:id="45"/>
    </w:p>
    <w:p>
      <w:pPr>
        <w:spacing w:line="600" w:lineRule="exact"/>
        <w:ind w:firstLine="640"/>
        <w:rPr>
          <w:rFonts w:ascii="仿宋_GB2312" w:hAnsi="仿宋" w:eastAsia="仿宋_GB2312"/>
          <w:color w:val="000000"/>
          <w:sz w:val="32"/>
          <w:szCs w:val="32"/>
        </w:rPr>
      </w:pPr>
      <w:r>
        <w:rPr>
          <w:rFonts w:ascii="仿宋_GB2312" w:hAnsi="仿宋" w:eastAsia="仿宋_GB2312"/>
          <w:color w:val="000000"/>
          <w:sz w:val="32"/>
          <w:szCs w:val="32"/>
        </w:rPr>
        <w:t>2018</w:t>
      </w:r>
      <w:r>
        <w:rPr>
          <w:rFonts w:hint="eastAsia" w:ascii="仿宋_GB2312" w:hAnsi="仿宋" w:eastAsia="仿宋_GB2312"/>
          <w:color w:val="000000"/>
          <w:sz w:val="32"/>
          <w:szCs w:val="32"/>
        </w:rPr>
        <w:t>年“三公”经费财政拨款支出决算中，因公出国（境）费支出决算</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；公务用车购置及运行维护费支出决算</w:t>
      </w:r>
      <w:r>
        <w:rPr>
          <w:rFonts w:ascii="仿宋_GB2312" w:hAnsi="仿宋" w:eastAsia="仿宋_GB2312"/>
          <w:color w:val="000000"/>
          <w:sz w:val="32"/>
          <w:szCs w:val="32"/>
        </w:rPr>
        <w:t>59.59</w:t>
      </w:r>
      <w:r>
        <w:rPr>
          <w:rFonts w:hint="eastAsia" w:ascii="仿宋_GB2312" w:hAnsi="仿宋" w:eastAsia="仿宋_GB2312"/>
          <w:color w:val="000000"/>
          <w:sz w:val="32"/>
          <w:szCs w:val="32"/>
        </w:rPr>
        <w:t>万元，占</w:t>
      </w:r>
      <w:r>
        <w:rPr>
          <w:rFonts w:ascii="仿宋_GB2312" w:hAnsi="仿宋" w:eastAsia="仿宋_GB2312"/>
          <w:color w:val="000000"/>
          <w:sz w:val="32"/>
          <w:szCs w:val="32"/>
        </w:rPr>
        <w:t>84.98%</w:t>
      </w:r>
      <w:r>
        <w:rPr>
          <w:rFonts w:hint="eastAsia" w:ascii="仿宋_GB2312" w:hAnsi="仿宋" w:eastAsia="仿宋_GB2312"/>
          <w:color w:val="000000"/>
          <w:sz w:val="32"/>
          <w:szCs w:val="32"/>
        </w:rPr>
        <w:t>；公务接待费支出决算</w:t>
      </w:r>
      <w:r>
        <w:rPr>
          <w:rFonts w:ascii="仿宋_GB2312" w:hAnsi="仿宋" w:eastAsia="仿宋_GB2312"/>
          <w:color w:val="000000"/>
          <w:sz w:val="32"/>
          <w:szCs w:val="32"/>
        </w:rPr>
        <w:t>10.53</w:t>
      </w:r>
      <w:r>
        <w:rPr>
          <w:rFonts w:hint="eastAsia" w:ascii="仿宋_GB2312" w:hAnsi="仿宋" w:eastAsia="仿宋_GB2312"/>
          <w:color w:val="000000"/>
          <w:sz w:val="32"/>
          <w:szCs w:val="32"/>
        </w:rPr>
        <w:t>万元，占</w:t>
      </w:r>
      <w:r>
        <w:rPr>
          <w:rFonts w:ascii="仿宋_GB2312" w:hAnsi="仿宋" w:eastAsia="仿宋_GB2312"/>
          <w:color w:val="000000"/>
          <w:sz w:val="32"/>
          <w:szCs w:val="32"/>
        </w:rPr>
        <w:t>15.02%</w:t>
      </w:r>
      <w:r>
        <w:rPr>
          <w:rFonts w:hint="eastAsia" w:ascii="仿宋_GB2312" w:hAnsi="仿宋" w:eastAsia="仿宋_GB2312"/>
          <w:color w:val="000000"/>
          <w:sz w:val="32"/>
          <w:szCs w:val="32"/>
        </w:rPr>
        <w:t>。具体情况如下：</w:t>
      </w:r>
    </w:p>
    <w:p>
      <w:pPr>
        <w:spacing w:line="600" w:lineRule="exact"/>
        <w:ind w:firstLine="640"/>
        <w:rPr>
          <w:rFonts w:hint="eastAsia" w:ascii="仿宋_GB2312" w:eastAsia="仿宋_GB2312"/>
          <w:b/>
          <w:color w:val="000000"/>
          <w:sz w:val="32"/>
          <w:szCs w:val="32"/>
          <w:lang w:eastAsia="zh-CN"/>
        </w:rPr>
      </w:pPr>
      <w:r>
        <w:rPr>
          <w:rFonts w:ascii="仿宋_GB2312" w:eastAsia="仿宋_GB2312"/>
          <w:b/>
          <w:color w:val="000000"/>
          <w:sz w:val="32"/>
          <w:szCs w:val="32"/>
        </w:rPr>
        <w:t>1.</w:t>
      </w:r>
      <w:r>
        <w:rPr>
          <w:rFonts w:hint="eastAsia" w:ascii="仿宋_GB2312" w:eastAsia="仿宋_GB2312"/>
          <w:b/>
          <w:color w:val="000000"/>
          <w:sz w:val="32"/>
          <w:szCs w:val="32"/>
        </w:rPr>
        <w:t>因公出国（境）经费支出</w:t>
      </w:r>
      <w:r>
        <w:rPr>
          <w:rFonts w:ascii="仿宋_GB2312" w:eastAsia="仿宋_GB2312"/>
          <w:b/>
          <w:color w:val="000000"/>
          <w:sz w:val="32"/>
          <w:szCs w:val="32"/>
        </w:rPr>
        <w:t>0</w:t>
      </w:r>
      <w:r>
        <w:rPr>
          <w:rFonts w:hint="eastAsia" w:ascii="仿宋_GB2312" w:eastAsia="仿宋_GB2312"/>
          <w:color w:val="000000"/>
          <w:sz w:val="32"/>
          <w:szCs w:val="32"/>
        </w:rPr>
        <w:t>万元，</w:t>
      </w:r>
      <w:r>
        <w:rPr>
          <w:rStyle w:val="13"/>
          <w:rFonts w:hint="eastAsia" w:ascii="仿宋_GB2312" w:hAnsi="仿宋" w:eastAsia="仿宋_GB2312"/>
          <w:b w:val="0"/>
          <w:bCs/>
          <w:color w:val="000000"/>
          <w:sz w:val="32"/>
          <w:szCs w:val="32"/>
        </w:rPr>
        <w:t>完成预算</w:t>
      </w:r>
      <w:r>
        <w:rPr>
          <w:rStyle w:val="13"/>
          <w:rFonts w:ascii="仿宋_GB2312" w:hAnsi="仿宋" w:eastAsia="仿宋_GB2312"/>
          <w:b w:val="0"/>
          <w:bCs/>
          <w:color w:val="000000"/>
          <w:sz w:val="32"/>
          <w:szCs w:val="32"/>
        </w:rPr>
        <w:t>0%</w:t>
      </w:r>
      <w:r>
        <w:rPr>
          <w:rStyle w:val="13"/>
          <w:rFonts w:hint="eastAsia" w:ascii="仿宋_GB2312" w:hAnsi="仿宋" w:eastAsia="仿宋_GB2312"/>
          <w:b w:val="0"/>
          <w:bCs/>
          <w:color w:val="000000"/>
          <w:sz w:val="32"/>
          <w:szCs w:val="32"/>
        </w:rPr>
        <w:t>。</w:t>
      </w:r>
      <w:r>
        <w:rPr>
          <w:rFonts w:hint="eastAsia" w:ascii="仿宋_GB2312" w:eastAsia="仿宋_GB2312"/>
          <w:color w:val="000000"/>
          <w:sz w:val="32"/>
          <w:szCs w:val="32"/>
        </w:rPr>
        <w:t>因公出国（境）支出决算比</w:t>
      </w:r>
      <w:r>
        <w:rPr>
          <w:rFonts w:ascii="仿宋_GB2312" w:eastAsia="仿宋_GB2312"/>
          <w:color w:val="000000"/>
          <w:sz w:val="32"/>
          <w:szCs w:val="32"/>
        </w:rPr>
        <w:t>2017</w:t>
      </w:r>
      <w:r>
        <w:rPr>
          <w:rFonts w:hint="eastAsia" w:ascii="仿宋_GB2312" w:eastAsia="仿宋_GB2312"/>
          <w:color w:val="000000"/>
          <w:sz w:val="32"/>
          <w:szCs w:val="32"/>
        </w:rPr>
        <w:t>年持平</w:t>
      </w:r>
      <w:r>
        <w:rPr>
          <w:rFonts w:hint="eastAsia" w:ascii="仿宋_GB2312" w:eastAsia="仿宋_GB2312"/>
          <w:color w:val="000000"/>
          <w:sz w:val="32"/>
          <w:szCs w:val="32"/>
          <w:lang w:eastAsia="zh-CN"/>
        </w:rPr>
        <w:t>；</w:t>
      </w:r>
    </w:p>
    <w:p>
      <w:pPr>
        <w:spacing w:line="600" w:lineRule="exact"/>
        <w:ind w:firstLine="640"/>
        <w:rPr>
          <w:rFonts w:hint="eastAsia" w:ascii="仿宋_GB2312" w:eastAsia="仿宋_GB2312"/>
          <w:b/>
          <w:color w:val="000000"/>
          <w:sz w:val="32"/>
          <w:szCs w:val="32"/>
          <w:lang w:eastAsia="zh-CN"/>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公务用车购置及运行维护费支出</w:t>
      </w:r>
      <w:r>
        <w:rPr>
          <w:rFonts w:ascii="仿宋_GB2312" w:eastAsia="仿宋_GB2312"/>
          <w:b/>
          <w:color w:val="000000"/>
          <w:sz w:val="32"/>
          <w:szCs w:val="32"/>
        </w:rPr>
        <w:t>59.59</w:t>
      </w:r>
      <w:r>
        <w:rPr>
          <w:rFonts w:hint="eastAsia" w:ascii="仿宋_GB2312" w:eastAsia="仿宋_GB2312"/>
          <w:color w:val="000000"/>
          <w:sz w:val="32"/>
          <w:szCs w:val="32"/>
        </w:rPr>
        <w:t>万元</w:t>
      </w:r>
      <w:r>
        <w:rPr>
          <w:rFonts w:ascii="仿宋_GB2312" w:eastAsia="仿宋_GB2312"/>
          <w:color w:val="000000"/>
          <w:sz w:val="32"/>
          <w:szCs w:val="32"/>
        </w:rPr>
        <w:t>,</w:t>
      </w:r>
      <w:r>
        <w:rPr>
          <w:rStyle w:val="13"/>
          <w:rFonts w:hint="eastAsia" w:ascii="仿宋_GB2312" w:hAnsi="仿宋" w:eastAsia="仿宋_GB2312"/>
          <w:b w:val="0"/>
          <w:bCs/>
          <w:color w:val="000000"/>
          <w:sz w:val="32"/>
          <w:szCs w:val="32"/>
        </w:rPr>
        <w:t>完成预算</w:t>
      </w:r>
      <w:r>
        <w:rPr>
          <w:rStyle w:val="13"/>
          <w:rFonts w:ascii="仿宋_GB2312" w:hAnsi="仿宋" w:eastAsia="仿宋_GB2312"/>
          <w:b w:val="0"/>
          <w:bCs/>
          <w:color w:val="000000"/>
          <w:sz w:val="32"/>
          <w:szCs w:val="32"/>
        </w:rPr>
        <w:t>72.74%</w:t>
      </w:r>
      <w:r>
        <w:rPr>
          <w:rStyle w:val="13"/>
          <w:rFonts w:hint="eastAsia" w:ascii="仿宋_GB2312" w:hAnsi="仿宋" w:eastAsia="仿宋_GB2312"/>
          <w:b w:val="0"/>
          <w:bCs/>
          <w:color w:val="000000"/>
          <w:sz w:val="32"/>
          <w:szCs w:val="32"/>
        </w:rPr>
        <w:t>。</w:t>
      </w:r>
      <w:r>
        <w:rPr>
          <w:rFonts w:hint="eastAsia" w:ascii="仿宋_GB2312" w:eastAsia="仿宋_GB2312"/>
          <w:color w:val="000000"/>
          <w:sz w:val="32"/>
          <w:szCs w:val="32"/>
        </w:rPr>
        <w:t>公务用车购置及运行维护费支出决算比</w:t>
      </w:r>
      <w:r>
        <w:rPr>
          <w:rFonts w:ascii="仿宋_GB2312" w:eastAsia="仿宋_GB2312"/>
          <w:color w:val="000000"/>
          <w:sz w:val="32"/>
          <w:szCs w:val="32"/>
        </w:rPr>
        <w:t>2017</w:t>
      </w:r>
      <w:r>
        <w:rPr>
          <w:rFonts w:hint="eastAsia" w:ascii="仿宋_GB2312" w:eastAsia="仿宋_GB2312"/>
          <w:color w:val="000000"/>
          <w:sz w:val="32"/>
          <w:szCs w:val="32"/>
        </w:rPr>
        <w:t>年减少</w:t>
      </w:r>
      <w:r>
        <w:rPr>
          <w:rFonts w:ascii="仿宋_GB2312" w:eastAsia="仿宋_GB2312"/>
          <w:color w:val="000000"/>
          <w:sz w:val="32"/>
          <w:szCs w:val="32"/>
        </w:rPr>
        <w:t>22.34</w:t>
      </w:r>
      <w:r>
        <w:rPr>
          <w:rFonts w:hint="eastAsia" w:ascii="仿宋_GB2312" w:eastAsia="仿宋_GB2312"/>
          <w:color w:val="000000"/>
          <w:sz w:val="32"/>
          <w:szCs w:val="32"/>
        </w:rPr>
        <w:t>万元，下降</w:t>
      </w:r>
      <w:r>
        <w:rPr>
          <w:rFonts w:ascii="仿宋_GB2312" w:eastAsia="仿宋_GB2312"/>
          <w:color w:val="000000"/>
          <w:sz w:val="32"/>
          <w:szCs w:val="32"/>
        </w:rPr>
        <w:t>27.27%</w:t>
      </w:r>
      <w:r>
        <w:rPr>
          <w:rFonts w:hint="eastAsia" w:ascii="仿宋_GB2312" w:eastAsia="仿宋_GB2312"/>
          <w:color w:val="000000"/>
          <w:sz w:val="32"/>
          <w:szCs w:val="32"/>
        </w:rPr>
        <w:t>。主要原因是市局机关、昭化分局、利州分局和朝天分局四个行政单位进行了公务车辆改革</w:t>
      </w:r>
      <w:r>
        <w:rPr>
          <w:rFonts w:hint="eastAsia" w:ascii="仿宋_GB2312" w:eastAsia="仿宋_GB2312"/>
          <w:color w:val="000000"/>
          <w:sz w:val="32"/>
          <w:szCs w:val="32"/>
          <w:lang w:eastAsia="zh-CN"/>
        </w:rPr>
        <w:t>；</w:t>
      </w:r>
    </w:p>
    <w:p>
      <w:pPr>
        <w:spacing w:line="560" w:lineRule="exact"/>
        <w:ind w:firstLine="640" w:firstLineChars="200"/>
        <w:rPr>
          <w:rFonts w:ascii="仿宋_GB2312" w:eastAsia="仿宋_GB2312"/>
          <w:b/>
          <w:color w:val="000000"/>
          <w:sz w:val="32"/>
          <w:szCs w:val="32"/>
        </w:rPr>
      </w:pPr>
      <w:r>
        <w:rPr>
          <w:rFonts w:hint="eastAsia" w:ascii="仿宋_GB2312" w:eastAsia="仿宋_GB2312"/>
          <w:color w:val="000000"/>
          <w:sz w:val="32"/>
          <w:szCs w:val="32"/>
        </w:rPr>
        <w:t>其中：</w:t>
      </w:r>
      <w:r>
        <w:rPr>
          <w:rFonts w:hint="eastAsia" w:ascii="仿宋_GB2312" w:eastAsia="仿宋_GB2312"/>
          <w:b/>
          <w:bCs/>
          <w:color w:val="000000"/>
          <w:sz w:val="32"/>
          <w:szCs w:val="32"/>
        </w:rPr>
        <w:t>公务用车购置支出</w:t>
      </w:r>
      <w:r>
        <w:rPr>
          <w:rFonts w:ascii="仿宋_GB2312" w:eastAsia="仿宋_GB2312"/>
          <w:color w:val="000000"/>
          <w:sz w:val="32"/>
          <w:szCs w:val="32"/>
        </w:rPr>
        <w:t>0</w:t>
      </w:r>
      <w:bookmarkStart w:id="74" w:name="_GoBack"/>
      <w:bookmarkEnd w:id="74"/>
      <w:r>
        <w:rPr>
          <w:rFonts w:hint="eastAsia" w:ascii="仿宋_GB2312" w:eastAsia="仿宋_GB2312"/>
          <w:color w:val="000000"/>
          <w:sz w:val="32"/>
          <w:szCs w:val="32"/>
        </w:rPr>
        <w:t>万元。全年按规定更新购置公务用车</w:t>
      </w:r>
      <w:r>
        <w:rPr>
          <w:rFonts w:ascii="仿宋_GB2312" w:eastAsia="仿宋_GB2312"/>
          <w:color w:val="000000"/>
          <w:sz w:val="32"/>
          <w:szCs w:val="32"/>
        </w:rPr>
        <w:t>0</w:t>
      </w:r>
      <w:r>
        <w:rPr>
          <w:rFonts w:hint="eastAsia" w:ascii="仿宋_GB2312" w:eastAsia="仿宋_GB2312"/>
          <w:color w:val="000000"/>
          <w:sz w:val="32"/>
          <w:szCs w:val="32"/>
        </w:rPr>
        <w:t>辆，截至</w:t>
      </w:r>
      <w:r>
        <w:rPr>
          <w:rFonts w:ascii="仿宋_GB2312" w:eastAsia="仿宋_GB2312"/>
          <w:color w:val="000000"/>
          <w:sz w:val="32"/>
          <w:szCs w:val="32"/>
        </w:rPr>
        <w:t>201</w:t>
      </w:r>
      <w:r>
        <w:rPr>
          <w:rFonts w:hint="eastAsia" w:ascii="仿宋_GB2312" w:eastAsia="仿宋_GB2312"/>
          <w:color w:val="000000"/>
          <w:sz w:val="32"/>
          <w:szCs w:val="32"/>
          <w:lang w:val="en-US" w:eastAsia="zh-CN"/>
        </w:rPr>
        <w:t>8</w:t>
      </w:r>
      <w:r>
        <w:rPr>
          <w:rFonts w:hint="eastAsia" w:ascii="仿宋_GB2312" w:eastAsia="仿宋_GB2312"/>
          <w:color w:val="000000"/>
          <w:sz w:val="32"/>
          <w:szCs w:val="32"/>
        </w:rPr>
        <w:t>年</w:t>
      </w:r>
      <w:r>
        <w:rPr>
          <w:rFonts w:ascii="仿宋_GB2312" w:eastAsia="仿宋_GB2312"/>
          <w:color w:val="000000"/>
          <w:sz w:val="32"/>
          <w:szCs w:val="32"/>
        </w:rPr>
        <w:t>12</w:t>
      </w:r>
      <w:r>
        <w:rPr>
          <w:rFonts w:hint="eastAsia" w:ascii="仿宋_GB2312" w:eastAsia="仿宋_GB2312"/>
          <w:color w:val="000000"/>
          <w:sz w:val="32"/>
          <w:szCs w:val="32"/>
        </w:rPr>
        <w:t>月底，单位共有公务用车</w:t>
      </w:r>
      <w:r>
        <w:rPr>
          <w:rFonts w:ascii="仿宋_GB2312" w:eastAsia="仿宋_GB2312"/>
          <w:color w:val="000000"/>
          <w:sz w:val="32"/>
          <w:szCs w:val="32"/>
        </w:rPr>
        <w:t>1</w:t>
      </w:r>
      <w:r>
        <w:rPr>
          <w:rFonts w:hint="eastAsia" w:ascii="仿宋_GB2312" w:eastAsia="仿宋_GB2312"/>
          <w:color w:val="000000"/>
          <w:sz w:val="32"/>
          <w:szCs w:val="32"/>
          <w:lang w:val="en-US" w:eastAsia="zh-CN"/>
        </w:rPr>
        <w:t>3</w:t>
      </w:r>
      <w:r>
        <w:rPr>
          <w:rFonts w:hint="eastAsia" w:ascii="仿宋_GB2312" w:eastAsia="仿宋_GB2312"/>
          <w:color w:val="000000"/>
          <w:sz w:val="32"/>
          <w:szCs w:val="32"/>
        </w:rPr>
        <w:t>辆，其中：轿车</w:t>
      </w:r>
      <w:r>
        <w:rPr>
          <w:rFonts w:hint="eastAsia" w:ascii="仿宋_GB2312" w:eastAsia="仿宋_GB2312"/>
          <w:color w:val="000000"/>
          <w:sz w:val="32"/>
          <w:szCs w:val="32"/>
          <w:lang w:val="en-US" w:eastAsia="zh-CN"/>
        </w:rPr>
        <w:t>5</w:t>
      </w:r>
      <w:r>
        <w:rPr>
          <w:rFonts w:hint="eastAsia" w:ascii="仿宋_GB2312" w:eastAsia="仿宋_GB2312"/>
          <w:color w:val="000000"/>
          <w:sz w:val="32"/>
          <w:szCs w:val="32"/>
        </w:rPr>
        <w:t>辆、越野车</w:t>
      </w:r>
      <w:r>
        <w:rPr>
          <w:rFonts w:ascii="仿宋_GB2312" w:eastAsia="仿宋_GB2312"/>
          <w:color w:val="000000"/>
          <w:sz w:val="32"/>
          <w:szCs w:val="32"/>
        </w:rPr>
        <w:t>3</w:t>
      </w:r>
      <w:r>
        <w:rPr>
          <w:rFonts w:hint="eastAsia" w:ascii="仿宋_GB2312" w:eastAsia="仿宋_GB2312"/>
          <w:color w:val="000000"/>
          <w:sz w:val="32"/>
          <w:szCs w:val="32"/>
        </w:rPr>
        <w:t>辆、其他车</w:t>
      </w:r>
      <w:r>
        <w:rPr>
          <w:rFonts w:hint="eastAsia" w:ascii="仿宋_GB2312" w:eastAsia="仿宋_GB2312"/>
          <w:color w:val="000000"/>
          <w:sz w:val="32"/>
          <w:szCs w:val="32"/>
          <w:lang w:val="en-US" w:eastAsia="zh-CN"/>
        </w:rPr>
        <w:t>5</w:t>
      </w:r>
      <w:r>
        <w:rPr>
          <w:rFonts w:hint="eastAsia" w:ascii="仿宋_GB2312" w:eastAsia="仿宋_GB2312"/>
          <w:color w:val="000000"/>
          <w:sz w:val="32"/>
          <w:szCs w:val="32"/>
        </w:rPr>
        <w:t>辆。</w:t>
      </w:r>
    </w:p>
    <w:p>
      <w:pPr>
        <w:spacing w:line="600" w:lineRule="exact"/>
        <w:ind w:firstLine="640"/>
        <w:rPr>
          <w:rFonts w:ascii="仿宋_GB2312" w:eastAsia="仿宋_GB2312"/>
          <w:color w:val="000000"/>
          <w:sz w:val="32"/>
          <w:szCs w:val="32"/>
        </w:rPr>
      </w:pPr>
      <w:r>
        <w:rPr>
          <w:rFonts w:hint="eastAsia" w:ascii="仿宋_GB2312" w:eastAsia="仿宋_GB2312"/>
          <w:b/>
          <w:color w:val="000000"/>
          <w:sz w:val="32"/>
          <w:szCs w:val="32"/>
        </w:rPr>
        <w:t>公务用车运行维护费支出</w:t>
      </w:r>
      <w:r>
        <w:rPr>
          <w:rFonts w:ascii="仿宋_GB2312" w:eastAsia="仿宋_GB2312"/>
          <w:color w:val="000000"/>
          <w:sz w:val="32"/>
          <w:szCs w:val="32"/>
        </w:rPr>
        <w:t>59.59</w:t>
      </w:r>
      <w:r>
        <w:rPr>
          <w:rFonts w:hint="eastAsia" w:ascii="仿宋_GB2312" w:eastAsia="仿宋_GB2312"/>
          <w:color w:val="000000"/>
          <w:sz w:val="32"/>
          <w:szCs w:val="32"/>
        </w:rPr>
        <w:t>万元。主要用于质量技术监督行政执法、认证认可、国家地理标志保护产品创建、农业标准化、特种设备安全管理及监察、质量监督管理及品牌创建、有机产品认证、产品质量监督抽查检验、计量检定、特种设备监督检验等质监业务工作所需的公务用车燃料费、维修费、过路过桥费、保险费支出。</w:t>
      </w:r>
    </w:p>
    <w:p>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公务接待费支出</w:t>
      </w:r>
      <w:r>
        <w:rPr>
          <w:rFonts w:ascii="仿宋_GB2312" w:eastAsia="仿宋_GB2312"/>
          <w:b/>
          <w:color w:val="000000"/>
          <w:sz w:val="32"/>
          <w:szCs w:val="32"/>
        </w:rPr>
        <w:t>10.53</w:t>
      </w:r>
      <w:r>
        <w:rPr>
          <w:rFonts w:hint="eastAsia" w:ascii="仿宋_GB2312" w:eastAsia="仿宋_GB2312"/>
          <w:color w:val="000000"/>
          <w:sz w:val="32"/>
          <w:szCs w:val="32"/>
        </w:rPr>
        <w:t>万元，</w:t>
      </w:r>
      <w:r>
        <w:rPr>
          <w:rStyle w:val="13"/>
          <w:rFonts w:hint="eastAsia" w:ascii="仿宋_GB2312" w:hAnsi="仿宋" w:eastAsia="仿宋_GB2312"/>
          <w:b w:val="0"/>
          <w:bCs/>
          <w:color w:val="000000"/>
          <w:sz w:val="32"/>
          <w:szCs w:val="32"/>
        </w:rPr>
        <w:t>完成预算</w:t>
      </w:r>
      <w:r>
        <w:rPr>
          <w:rStyle w:val="13"/>
          <w:rFonts w:ascii="仿宋_GB2312" w:hAnsi="仿宋" w:eastAsia="仿宋_GB2312"/>
          <w:b w:val="0"/>
          <w:bCs/>
          <w:color w:val="000000"/>
          <w:sz w:val="32"/>
          <w:szCs w:val="32"/>
        </w:rPr>
        <w:t>89.24%</w:t>
      </w:r>
      <w:r>
        <w:rPr>
          <w:rStyle w:val="13"/>
          <w:rFonts w:hint="eastAsia" w:ascii="仿宋_GB2312" w:hAnsi="仿宋" w:eastAsia="仿宋_GB2312"/>
          <w:b w:val="0"/>
          <w:bCs/>
          <w:color w:val="000000"/>
          <w:sz w:val="32"/>
          <w:szCs w:val="32"/>
        </w:rPr>
        <w:t>。</w:t>
      </w:r>
      <w:r>
        <w:rPr>
          <w:rFonts w:hint="eastAsia" w:ascii="仿宋_GB2312" w:eastAsia="仿宋_GB2312"/>
          <w:color w:val="000000"/>
          <w:sz w:val="32"/>
          <w:szCs w:val="32"/>
        </w:rPr>
        <w:t>公务接待费支出决算比</w:t>
      </w:r>
      <w:r>
        <w:rPr>
          <w:rFonts w:ascii="仿宋_GB2312" w:eastAsia="仿宋_GB2312"/>
          <w:color w:val="000000"/>
          <w:sz w:val="32"/>
          <w:szCs w:val="32"/>
        </w:rPr>
        <w:t>2017</w:t>
      </w:r>
      <w:r>
        <w:rPr>
          <w:rFonts w:hint="eastAsia" w:ascii="仿宋_GB2312" w:eastAsia="仿宋_GB2312"/>
          <w:color w:val="000000"/>
          <w:sz w:val="32"/>
          <w:szCs w:val="32"/>
        </w:rPr>
        <w:t>年减少</w:t>
      </w:r>
      <w:r>
        <w:rPr>
          <w:rFonts w:ascii="仿宋_GB2312" w:eastAsia="仿宋_GB2312"/>
          <w:color w:val="000000"/>
          <w:sz w:val="32"/>
          <w:szCs w:val="32"/>
        </w:rPr>
        <w:t>1.28</w:t>
      </w:r>
      <w:r>
        <w:rPr>
          <w:rFonts w:hint="eastAsia" w:ascii="仿宋_GB2312" w:eastAsia="仿宋_GB2312"/>
          <w:color w:val="000000"/>
          <w:sz w:val="32"/>
          <w:szCs w:val="32"/>
        </w:rPr>
        <w:t>万元，下降</w:t>
      </w:r>
      <w:r>
        <w:rPr>
          <w:rFonts w:ascii="仿宋_GB2312" w:eastAsia="仿宋_GB2312"/>
          <w:color w:val="000000"/>
          <w:sz w:val="32"/>
          <w:szCs w:val="32"/>
        </w:rPr>
        <w:t>10.85%</w:t>
      </w:r>
      <w:r>
        <w:rPr>
          <w:rFonts w:hint="eastAsia" w:ascii="仿宋_GB2312" w:eastAsia="仿宋_GB2312"/>
          <w:color w:val="000000"/>
          <w:sz w:val="32"/>
          <w:szCs w:val="32"/>
        </w:rPr>
        <w:t>。主要原因是严格公务接待范围和开支标准。</w:t>
      </w:r>
    </w:p>
    <w:p>
      <w:pPr>
        <w:spacing w:line="60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主要用于执行公务、开展业务活动开支的交通费、住宿费、用餐费等。国内公务接待</w:t>
      </w:r>
      <w:r>
        <w:rPr>
          <w:rFonts w:ascii="仿宋_GB2312" w:eastAsia="仿宋_GB2312"/>
          <w:color w:val="000000"/>
          <w:sz w:val="32"/>
          <w:szCs w:val="32"/>
        </w:rPr>
        <w:t>141</w:t>
      </w:r>
      <w:r>
        <w:rPr>
          <w:rFonts w:hint="eastAsia" w:ascii="仿宋_GB2312" w:eastAsia="仿宋_GB2312"/>
          <w:color w:val="000000"/>
          <w:sz w:val="32"/>
          <w:szCs w:val="32"/>
        </w:rPr>
        <w:t>批次，</w:t>
      </w:r>
      <w:r>
        <w:rPr>
          <w:rFonts w:ascii="仿宋_GB2312" w:eastAsia="仿宋_GB2312"/>
          <w:color w:val="000000"/>
          <w:sz w:val="32"/>
          <w:szCs w:val="32"/>
        </w:rPr>
        <w:t>1178</w:t>
      </w:r>
      <w:r>
        <w:rPr>
          <w:rFonts w:hint="eastAsia" w:ascii="仿宋_GB2312" w:eastAsia="仿宋_GB2312"/>
          <w:color w:val="000000"/>
          <w:sz w:val="32"/>
          <w:szCs w:val="32"/>
        </w:rPr>
        <w:t>人次（不包括陪同人员），共计支出</w:t>
      </w:r>
      <w:r>
        <w:rPr>
          <w:rFonts w:ascii="仿宋_GB2312" w:eastAsia="仿宋_GB2312"/>
          <w:color w:val="000000"/>
          <w:sz w:val="32"/>
          <w:szCs w:val="32"/>
        </w:rPr>
        <w:t>10.53</w:t>
      </w:r>
      <w:r>
        <w:rPr>
          <w:rFonts w:hint="eastAsia" w:ascii="仿宋_GB2312" w:eastAsia="仿宋_GB2312"/>
          <w:color w:val="000000"/>
          <w:sz w:val="32"/>
          <w:szCs w:val="32"/>
        </w:rPr>
        <w:t>万元，具体开支内容包省际交流合作、国家地理标志保护产品创建、有机产品认证创建、农业标准化创建、技术机构建标验收及相关业务活动开支的交通费、住宿费、用餐费等。</w:t>
      </w:r>
      <w:bookmarkStart w:id="46" w:name="_Toc15396610"/>
      <w:bookmarkStart w:id="47" w:name="_Toc15377218"/>
    </w:p>
    <w:p>
      <w:pPr>
        <w:spacing w:line="600" w:lineRule="exact"/>
        <w:ind w:firstLine="640"/>
        <w:outlineLvl w:val="1"/>
        <w:rPr>
          <w:rStyle w:val="18"/>
          <w:rFonts w:ascii="宋体" w:hAnsi="Times New Roman"/>
        </w:rPr>
      </w:pPr>
      <w:r>
        <w:rPr>
          <w:rFonts w:hint="eastAsia" w:ascii="宋体" w:hAnsi="宋体"/>
          <w:b/>
          <w:color w:val="000000"/>
          <w:sz w:val="32"/>
          <w:szCs w:val="32"/>
        </w:rPr>
        <w:t>八、</w:t>
      </w:r>
      <w:r>
        <w:rPr>
          <w:rStyle w:val="18"/>
          <w:rFonts w:hint="eastAsia" w:ascii="宋体" w:hAnsi="宋体"/>
        </w:rPr>
        <w:t>政府性基金预算支出决算情况说明</w:t>
      </w:r>
      <w:bookmarkEnd w:id="46"/>
      <w:bookmarkEnd w:id="47"/>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年政府性基金预算拨款支出</w:t>
      </w:r>
      <w:r>
        <w:rPr>
          <w:rFonts w:ascii="仿宋_GB2312" w:eastAsia="仿宋_GB2312"/>
          <w:color w:val="000000"/>
          <w:sz w:val="32"/>
          <w:szCs w:val="32"/>
        </w:rPr>
        <w:t>0</w:t>
      </w:r>
      <w:r>
        <w:rPr>
          <w:rFonts w:hint="eastAsia" w:ascii="仿宋_GB2312" w:eastAsia="仿宋_GB2312"/>
          <w:color w:val="000000"/>
          <w:sz w:val="32"/>
          <w:szCs w:val="32"/>
        </w:rPr>
        <w:t>万元。</w:t>
      </w:r>
    </w:p>
    <w:p>
      <w:pPr>
        <w:numPr>
          <w:ilvl w:val="0"/>
          <w:numId w:val="2"/>
        </w:numPr>
        <w:spacing w:line="600" w:lineRule="exact"/>
        <w:ind w:firstLine="640"/>
        <w:outlineLvl w:val="1"/>
        <w:rPr>
          <w:rStyle w:val="18"/>
          <w:rFonts w:ascii="宋体" w:hAnsi="Times New Roman"/>
        </w:rPr>
      </w:pPr>
      <w:bookmarkStart w:id="48" w:name="_Toc15396611"/>
      <w:bookmarkStart w:id="49" w:name="_Toc15377219"/>
      <w:r>
        <w:rPr>
          <w:rStyle w:val="18"/>
          <w:rFonts w:hint="eastAsia" w:ascii="宋体" w:hAnsi="宋体"/>
        </w:rPr>
        <w:t>国有资本经营预算支出决算情况说明</w:t>
      </w:r>
      <w:bookmarkEnd w:id="48"/>
      <w:bookmarkEnd w:id="49"/>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年国有资本经营预算拨款支出</w:t>
      </w:r>
      <w:r>
        <w:rPr>
          <w:rFonts w:ascii="仿宋_GB2312" w:eastAsia="仿宋_GB2312"/>
          <w:color w:val="000000"/>
          <w:sz w:val="32"/>
          <w:szCs w:val="32"/>
        </w:rPr>
        <w:t>0</w:t>
      </w:r>
      <w:r>
        <w:rPr>
          <w:rFonts w:hint="eastAsia" w:ascii="仿宋_GB2312" w:eastAsia="仿宋_GB2312"/>
          <w:color w:val="000000"/>
          <w:sz w:val="32"/>
          <w:szCs w:val="32"/>
        </w:rPr>
        <w:t>万元。</w:t>
      </w:r>
    </w:p>
    <w:p>
      <w:pPr>
        <w:pStyle w:val="28"/>
        <w:numPr>
          <w:ilvl w:val="0"/>
          <w:numId w:val="3"/>
        </w:numPr>
        <w:spacing w:line="580" w:lineRule="exact"/>
        <w:ind w:firstLineChars="0"/>
        <w:rPr>
          <w:rStyle w:val="18"/>
          <w:rFonts w:ascii="宋体" w:hAnsi="Times New Roman"/>
        </w:rPr>
      </w:pPr>
      <w:r>
        <w:rPr>
          <w:rStyle w:val="18"/>
          <w:rFonts w:hint="eastAsia" w:ascii="宋体" w:hAnsi="宋体"/>
        </w:rPr>
        <w:t>预算绩效情况说明</w:t>
      </w:r>
    </w:p>
    <w:p>
      <w:pPr>
        <w:numPr>
          <w:ilvl w:val="0"/>
          <w:numId w:val="4"/>
        </w:numPr>
        <w:spacing w:line="580" w:lineRule="exact"/>
        <w:ind w:firstLine="643" w:firstLineChars="200"/>
        <w:rPr>
          <w:rFonts w:ascii="楷体_GB2312" w:hAnsi="仿宋" w:eastAsia="楷体_GB2312" w:cs="楷体_GB2312"/>
          <w:b/>
          <w:bCs/>
          <w:sz w:val="32"/>
          <w:szCs w:val="32"/>
        </w:rPr>
      </w:pPr>
      <w:r>
        <w:rPr>
          <w:rFonts w:hint="eastAsia" w:ascii="楷体_GB2312" w:hAnsi="仿宋" w:eastAsia="楷体_GB2312" w:cs="楷体_GB2312"/>
          <w:b/>
          <w:bCs/>
          <w:sz w:val="32"/>
          <w:szCs w:val="32"/>
        </w:rPr>
        <w:t>预算绩效管理工作开展情况。</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根据预算绩效管理要求，本部门在年初预算编制阶段，对</w:t>
      </w:r>
      <w:r>
        <w:rPr>
          <w:rFonts w:ascii="仿宋_GB2312" w:eastAsia="仿宋_GB2312"/>
          <w:color w:val="000000"/>
          <w:sz w:val="32"/>
          <w:szCs w:val="32"/>
        </w:rPr>
        <w:t xml:space="preserve"> 5 </w:t>
      </w:r>
      <w:r>
        <w:rPr>
          <w:rFonts w:hint="eastAsia" w:ascii="仿宋_GB2312" w:eastAsia="仿宋_GB2312"/>
          <w:color w:val="000000"/>
          <w:sz w:val="32"/>
          <w:szCs w:val="32"/>
        </w:rPr>
        <w:t>个项目编制了绩效目标，预算执行过程中，选取了</w:t>
      </w:r>
      <w:r>
        <w:rPr>
          <w:rFonts w:ascii="仿宋_GB2312" w:eastAsia="仿宋_GB2312"/>
          <w:color w:val="000000"/>
          <w:sz w:val="32"/>
          <w:szCs w:val="32"/>
        </w:rPr>
        <w:t>5</w:t>
      </w:r>
      <w:r>
        <w:rPr>
          <w:rFonts w:hint="eastAsia" w:ascii="仿宋_GB2312" w:eastAsia="仿宋_GB2312"/>
          <w:color w:val="000000"/>
          <w:sz w:val="32"/>
          <w:szCs w:val="32"/>
        </w:rPr>
        <w:t>个项目开展了绩效监控，年终执行完毕后，对</w:t>
      </w:r>
      <w:r>
        <w:rPr>
          <w:rFonts w:ascii="仿宋_GB2312" w:eastAsia="仿宋_GB2312"/>
          <w:color w:val="000000"/>
          <w:sz w:val="32"/>
          <w:szCs w:val="32"/>
        </w:rPr>
        <w:t>5</w:t>
      </w:r>
      <w:r>
        <w:rPr>
          <w:rFonts w:hint="eastAsia" w:ascii="仿宋_GB2312" w:eastAsia="仿宋_GB2312"/>
          <w:color w:val="000000"/>
          <w:sz w:val="32"/>
          <w:szCs w:val="32"/>
        </w:rPr>
        <w:t>个项目开展了绩效目标完成情况自评。</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本部门按要求对</w:t>
      </w:r>
      <w:r>
        <w:rPr>
          <w:rFonts w:ascii="仿宋_GB2312" w:eastAsia="仿宋_GB2312"/>
          <w:color w:val="000000"/>
          <w:sz w:val="32"/>
          <w:szCs w:val="32"/>
        </w:rPr>
        <w:t>2018</w:t>
      </w:r>
      <w:r>
        <w:rPr>
          <w:rFonts w:hint="eastAsia" w:ascii="仿宋_GB2312" w:eastAsia="仿宋_GB2312"/>
          <w:color w:val="000000"/>
          <w:sz w:val="32"/>
          <w:szCs w:val="32"/>
        </w:rPr>
        <w:t>年部门整体支出开展绩效自评，从评价情况来看：一是质量提升绘出了路线图；二是有机示范趟出了黄金路；三是品质革命实现了大突破；四是安全监管突出了新模式。本部门还自行组织了</w:t>
      </w:r>
      <w:r>
        <w:rPr>
          <w:rFonts w:ascii="仿宋_GB2312" w:eastAsia="仿宋_GB2312"/>
          <w:color w:val="000000"/>
          <w:sz w:val="32"/>
          <w:szCs w:val="32"/>
        </w:rPr>
        <w:t>5</w:t>
      </w:r>
      <w:r>
        <w:rPr>
          <w:rFonts w:hint="eastAsia" w:ascii="仿宋_GB2312" w:eastAsia="仿宋_GB2312"/>
          <w:color w:val="000000"/>
          <w:sz w:val="32"/>
          <w:szCs w:val="32"/>
        </w:rPr>
        <w:t>个项目绩效评价，从评价情况来看，</w:t>
      </w:r>
      <w:r>
        <w:rPr>
          <w:rFonts w:ascii="仿宋_GB2312" w:eastAsia="仿宋_GB2312"/>
          <w:color w:val="000000"/>
          <w:sz w:val="32"/>
          <w:szCs w:val="32"/>
        </w:rPr>
        <w:t>5</w:t>
      </w:r>
      <w:r>
        <w:rPr>
          <w:rFonts w:hint="eastAsia" w:ascii="仿宋_GB2312" w:eastAsia="仿宋_GB2312"/>
          <w:color w:val="000000"/>
          <w:sz w:val="32"/>
          <w:szCs w:val="32"/>
        </w:rPr>
        <w:t>个项目均完成了预期的绩效目标，并取得了良好的社会效益。</w:t>
      </w:r>
    </w:p>
    <w:p>
      <w:pPr>
        <w:numPr>
          <w:ilvl w:val="0"/>
          <w:numId w:val="4"/>
        </w:numPr>
        <w:spacing w:line="600" w:lineRule="exact"/>
        <w:ind w:firstLine="643" w:firstLineChars="200"/>
        <w:rPr>
          <w:rFonts w:ascii="楷体_GB2312" w:hAnsi="仿宋" w:eastAsia="楷体_GB2312" w:cs="楷体_GB2312"/>
          <w:b/>
          <w:bCs/>
          <w:sz w:val="32"/>
          <w:szCs w:val="32"/>
        </w:rPr>
      </w:pPr>
      <w:r>
        <w:rPr>
          <w:rFonts w:hint="eastAsia" w:ascii="楷体_GB2312" w:hAnsi="仿宋" w:eastAsia="楷体_GB2312" w:cs="楷体_GB2312"/>
          <w:b/>
          <w:bCs/>
          <w:sz w:val="32"/>
          <w:szCs w:val="32"/>
        </w:rPr>
        <w:t>项目绩效目标完成情况。</w:t>
      </w:r>
    </w:p>
    <w:p>
      <w:pPr>
        <w:spacing w:line="600" w:lineRule="exact"/>
        <w:ind w:firstLine="640" w:firstLineChars="200"/>
        <w:rPr>
          <w:rFonts w:hint="eastAsia" w:ascii="仿宋_GB2312" w:hAnsi="楷体_GB2312" w:eastAsia="仿宋_GB2312" w:cs="楷体_GB2312"/>
          <w:sz w:val="32"/>
          <w:szCs w:val="32"/>
        </w:rPr>
      </w:pPr>
      <w:r>
        <w:rPr>
          <w:rFonts w:hint="eastAsia" w:ascii="仿宋_GB2312" w:hAnsi="楷体_GB2312" w:eastAsia="仿宋_GB2312" w:cs="楷体_GB2312"/>
          <w:sz w:val="32"/>
          <w:szCs w:val="32"/>
        </w:rPr>
        <w:t>本部门在</w:t>
      </w:r>
      <w:r>
        <w:rPr>
          <w:rFonts w:ascii="仿宋_GB2312" w:hAnsi="楷体_GB2312" w:eastAsia="仿宋_GB2312" w:cs="楷体_GB2312"/>
          <w:sz w:val="32"/>
          <w:szCs w:val="32"/>
        </w:rPr>
        <w:t>2018</w:t>
      </w:r>
      <w:r>
        <w:rPr>
          <w:rFonts w:hint="eastAsia" w:ascii="仿宋_GB2312" w:hAnsi="楷体_GB2312" w:eastAsia="仿宋_GB2312" w:cs="楷体_GB2312"/>
          <w:sz w:val="32"/>
          <w:szCs w:val="32"/>
        </w:rPr>
        <w:t>年度部门决算报表中反映质</w:t>
      </w:r>
      <w:r>
        <w:rPr>
          <w:rFonts w:hint="eastAsia" w:ascii="仿宋" w:hAnsi="仿宋" w:eastAsia="仿宋" w:cs="仿宋"/>
          <w:sz w:val="32"/>
          <w:szCs w:val="32"/>
        </w:rPr>
        <w:t>监运行经费、</w:t>
      </w:r>
      <w:r>
        <w:rPr>
          <w:rFonts w:hint="eastAsia" w:ascii="仿宋" w:hAnsi="仿宋" w:eastAsia="仿宋" w:cs="仿宋"/>
          <w:color w:val="000000"/>
          <w:sz w:val="32"/>
          <w:szCs w:val="32"/>
        </w:rPr>
        <w:t>产品质量监督抽查经费</w:t>
      </w:r>
      <w:r>
        <w:rPr>
          <w:rFonts w:hint="eastAsia" w:ascii="仿宋" w:hAnsi="仿宋" w:eastAsia="仿宋" w:cs="仿宋"/>
          <w:sz w:val="32"/>
          <w:szCs w:val="32"/>
        </w:rPr>
        <w:t>、</w:t>
      </w:r>
      <w:r>
        <w:rPr>
          <w:rFonts w:hint="eastAsia" w:ascii="仿宋" w:hAnsi="仿宋" w:eastAsia="仿宋" w:cs="仿宋"/>
          <w:color w:val="000000"/>
          <w:sz w:val="32"/>
          <w:szCs w:val="32"/>
        </w:rPr>
        <w:t>工业产品（含食品相关产品）风险监测</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地标产品监督抽查工作</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定量及过度包装商品监督抽查</w:t>
      </w:r>
      <w:r>
        <w:rPr>
          <w:rFonts w:hint="eastAsia" w:ascii="仿宋" w:hAnsi="仿宋" w:eastAsia="仿宋" w:cs="仿宋"/>
          <w:sz w:val="32"/>
          <w:szCs w:val="32"/>
          <w:lang w:val="en-US" w:eastAsia="zh-CN"/>
        </w:rPr>
        <w:t>5</w:t>
      </w:r>
      <w:r>
        <w:rPr>
          <w:rFonts w:hint="eastAsia" w:ascii="仿宋" w:hAnsi="仿宋" w:eastAsia="仿宋" w:cs="仿宋"/>
          <w:sz w:val="32"/>
          <w:szCs w:val="32"/>
        </w:rPr>
        <w:t>个项目绩效目标实际完成情况</w:t>
      </w:r>
      <w:r>
        <w:rPr>
          <w:rFonts w:hint="eastAsia" w:ascii="仿宋_GB2312" w:hAnsi="楷体_GB2312" w:eastAsia="仿宋_GB2312" w:cs="楷体_GB2312"/>
          <w:sz w:val="32"/>
          <w:szCs w:val="32"/>
        </w:rPr>
        <w:t>。</w:t>
      </w:r>
    </w:p>
    <w:p>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leftChars="0"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质监运行经费项目。项目全年预算数31.6万元，执行数为31.6万元，完成预算的100%。通过项目实施，保障了质量、计量、认证认可、特种特备、标准化管理及行政执法工作，促进了广元产品的质量提高，提高了企业和农民经济效益的增加，发现的主要问题是广元市的工业产品生产质量还有待进一步提高，下一步改进措施：加大对企业管理人员及其技术人员的培训力度，提高企业的产品质量。</w:t>
      </w:r>
    </w:p>
    <w:p>
      <w:pPr>
        <w:spacing w:line="580" w:lineRule="exact"/>
        <w:ind w:firstLine="640" w:firstLineChars="200"/>
        <w:rPr>
          <w:rFonts w:hint="eastAsia" w:ascii="仿宋" w:hAnsi="仿宋" w:eastAsia="仿宋" w:cs="??_GB2312"/>
          <w:sz w:val="32"/>
          <w:szCs w:val="32"/>
          <w:lang w:eastAsia="zh-CN"/>
        </w:rPr>
      </w:pPr>
      <w:r>
        <w:rPr>
          <w:rFonts w:hint="eastAsia" w:ascii="仿宋" w:hAnsi="仿宋" w:eastAsia="仿宋" w:cs="??_GB2312"/>
          <w:sz w:val="32"/>
          <w:szCs w:val="32"/>
          <w:lang w:val="en-US" w:eastAsia="zh-CN"/>
        </w:rPr>
        <w:t>2、</w:t>
      </w:r>
      <w:r>
        <w:rPr>
          <w:rFonts w:hint="eastAsia" w:ascii="仿宋" w:hAnsi="仿宋" w:eastAsia="仿宋" w:cs="??_GB2312"/>
          <w:sz w:val="32"/>
          <w:szCs w:val="32"/>
        </w:rPr>
        <w:t>产品质量监督抽查经费</w:t>
      </w:r>
      <w:r>
        <w:rPr>
          <w:rFonts w:hint="eastAsia" w:ascii="仿宋" w:hAnsi="仿宋" w:eastAsia="仿宋" w:cs="??_GB2312"/>
          <w:sz w:val="32"/>
          <w:szCs w:val="32"/>
          <w:lang w:eastAsia="zh-CN"/>
        </w:rPr>
        <w:t>项目。</w:t>
      </w:r>
      <w:r>
        <w:rPr>
          <w:rFonts w:hint="eastAsia" w:ascii="仿宋" w:hAnsi="仿宋" w:eastAsia="仿宋" w:cs="仿宋"/>
          <w:b w:val="0"/>
          <w:bCs w:val="0"/>
          <w:sz w:val="32"/>
          <w:szCs w:val="32"/>
          <w:lang w:val="en-US" w:eastAsia="zh-CN"/>
        </w:rPr>
        <w:t>项目全年预算数64.00万元，执行数为64.00万元，完成预算的100%。通过项目实施对</w:t>
      </w:r>
      <w:r>
        <w:rPr>
          <w:rFonts w:hint="eastAsia" w:ascii="仿宋" w:hAnsi="仿宋" w:eastAsia="仿宋" w:cs="??_GB2312"/>
          <w:sz w:val="32"/>
          <w:szCs w:val="32"/>
        </w:rPr>
        <w:t>2018年广元市市级产品质量专项监督抽查</w:t>
      </w:r>
      <w:r>
        <w:rPr>
          <w:rFonts w:hint="eastAsia" w:ascii="仿宋" w:hAnsi="仿宋" w:eastAsia="仿宋" w:cs="??_GB2312"/>
          <w:sz w:val="32"/>
          <w:szCs w:val="32"/>
          <w:lang w:eastAsia="zh-CN"/>
        </w:rPr>
        <w:t>，</w:t>
      </w:r>
      <w:r>
        <w:rPr>
          <w:rFonts w:hint="eastAsia" w:ascii="仿宋" w:hAnsi="仿宋" w:eastAsia="仿宋" w:cs="??_GB2312"/>
          <w:sz w:val="32"/>
          <w:szCs w:val="32"/>
        </w:rPr>
        <w:t>全面地了解我市9类产品的质量现状，为企业产品质量的提升以及区域产业的发展提供有效的数据支撑，保护了消费者的合法权益。为企业发展进步提供有效技术帮扶，为企业发展提供良好的市场环境。</w:t>
      </w:r>
      <w:r>
        <w:rPr>
          <w:rFonts w:hint="eastAsia" w:ascii="仿宋" w:hAnsi="仿宋" w:eastAsia="仿宋" w:cs="仿宋"/>
          <w:b w:val="0"/>
          <w:bCs w:val="0"/>
          <w:sz w:val="32"/>
          <w:szCs w:val="32"/>
          <w:lang w:val="en-US" w:eastAsia="zh-CN"/>
        </w:rPr>
        <w:t>下一步改进措施：</w:t>
      </w:r>
      <w:r>
        <w:rPr>
          <w:rFonts w:hint="eastAsia" w:ascii="仿宋" w:hAnsi="仿宋" w:eastAsia="仿宋" w:cs="??_GB2312"/>
          <w:sz w:val="32"/>
          <w:szCs w:val="32"/>
        </w:rPr>
        <w:t>长期开展市级产品质量监督抽查，营造高质量发展的市场环境，促进企业升级转型</w:t>
      </w:r>
      <w:r>
        <w:rPr>
          <w:rFonts w:hint="eastAsia" w:ascii="仿宋" w:hAnsi="仿宋" w:eastAsia="仿宋" w:cs="??_GB2312"/>
          <w:sz w:val="32"/>
          <w:szCs w:val="32"/>
          <w:lang w:eastAsia="zh-CN"/>
        </w:rPr>
        <w:t>；</w:t>
      </w:r>
      <w:r>
        <w:rPr>
          <w:rFonts w:hint="eastAsia" w:ascii="仿宋" w:hAnsi="仿宋" w:eastAsia="仿宋" w:cs="??_GB2312"/>
          <w:sz w:val="32"/>
          <w:szCs w:val="32"/>
        </w:rPr>
        <w:t>针对某类产品进行专项监督抽查，从产业发展的角度，进行全产业链的分析，保障产业健康优良发展。</w:t>
      </w:r>
    </w:p>
    <w:p>
      <w:pPr>
        <w:ind w:firstLine="640" w:firstLineChars="200"/>
        <w:rPr>
          <w:rFonts w:hint="eastAsia" w:ascii="仿宋" w:hAnsi="仿宋" w:eastAsia="仿宋" w:cs="仿宋"/>
          <w:sz w:val="32"/>
          <w:szCs w:val="32"/>
          <w:lang w:eastAsia="zh-CN"/>
        </w:rPr>
      </w:pP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工业产品（含食品相关产品）风险监测</w:t>
      </w:r>
      <w:r>
        <w:rPr>
          <w:rFonts w:hint="eastAsia" w:ascii="仿宋" w:hAnsi="仿宋" w:eastAsia="仿宋" w:cs="仿宋"/>
          <w:color w:val="000000"/>
          <w:sz w:val="32"/>
          <w:szCs w:val="32"/>
          <w:lang w:eastAsia="zh-CN"/>
        </w:rPr>
        <w:t>项目。</w:t>
      </w:r>
      <w:r>
        <w:rPr>
          <w:rFonts w:hint="eastAsia" w:ascii="仿宋" w:hAnsi="仿宋" w:eastAsia="仿宋" w:cs="仿宋"/>
          <w:b w:val="0"/>
          <w:bCs w:val="0"/>
          <w:sz w:val="32"/>
          <w:szCs w:val="32"/>
          <w:lang w:val="en-US" w:eastAsia="zh-CN"/>
        </w:rPr>
        <w:t>项目全年预算数41.40万元，执行数为41.40万元，完成预算的100%。通过项目实施：</w:t>
      </w:r>
      <w:r>
        <w:rPr>
          <w:rFonts w:hint="eastAsia" w:ascii="仿宋" w:hAnsi="仿宋" w:eastAsia="仿宋" w:cs="仿宋"/>
          <w:sz w:val="32"/>
          <w:szCs w:val="32"/>
        </w:rPr>
        <w:t>较为全面地掌握了其产品质量安全风险状况，及时发布预警信息，提高消费者的产品质量安全意识，降低了产品质量安全风险对消费者的危害程度。</w:t>
      </w:r>
      <w:r>
        <w:rPr>
          <w:rFonts w:hint="eastAsia" w:ascii="仿宋" w:hAnsi="仿宋" w:eastAsia="仿宋" w:cs="仿宋"/>
          <w:b w:val="0"/>
          <w:bCs w:val="0"/>
          <w:sz w:val="32"/>
          <w:szCs w:val="32"/>
          <w:lang w:val="en-US" w:eastAsia="zh-CN"/>
        </w:rPr>
        <w:t>下一步改进措施：</w:t>
      </w:r>
      <w:r>
        <w:rPr>
          <w:rFonts w:hint="eastAsia" w:ascii="仿宋" w:hAnsi="仿宋" w:eastAsia="仿宋" w:cs="仿宋"/>
          <w:sz w:val="32"/>
          <w:szCs w:val="32"/>
        </w:rPr>
        <w:t>建立科研体系，对重点产品进行长期监测</w:t>
      </w:r>
      <w:r>
        <w:rPr>
          <w:rFonts w:hint="eastAsia" w:ascii="仿宋" w:hAnsi="仿宋" w:eastAsia="仿宋" w:cs="仿宋"/>
          <w:sz w:val="32"/>
          <w:szCs w:val="32"/>
          <w:lang w:eastAsia="zh-CN"/>
        </w:rPr>
        <w:t>；</w:t>
      </w:r>
      <w:r>
        <w:rPr>
          <w:rFonts w:hint="eastAsia" w:ascii="仿宋" w:hAnsi="仿宋" w:eastAsia="仿宋" w:cs="仿宋"/>
          <w:sz w:val="32"/>
          <w:szCs w:val="32"/>
        </w:rPr>
        <w:t>及时发布预警信息，保障消费者合法权益</w:t>
      </w:r>
      <w:r>
        <w:rPr>
          <w:rFonts w:hint="eastAsia" w:ascii="仿宋" w:hAnsi="仿宋" w:eastAsia="仿宋" w:cs="仿宋"/>
          <w:sz w:val="32"/>
          <w:szCs w:val="32"/>
          <w:lang w:eastAsia="zh-CN"/>
        </w:rPr>
        <w:t>；</w:t>
      </w:r>
      <w:r>
        <w:rPr>
          <w:rFonts w:hint="eastAsia" w:ascii="仿宋" w:hAnsi="仿宋" w:eastAsia="仿宋" w:cs="仿宋"/>
          <w:sz w:val="32"/>
          <w:szCs w:val="32"/>
        </w:rPr>
        <w:t>深入调研，了解研究产品存在的潜在风险点</w:t>
      </w:r>
      <w:r>
        <w:rPr>
          <w:rFonts w:hint="eastAsia" w:ascii="仿宋" w:hAnsi="仿宋" w:eastAsia="仿宋" w:cs="仿宋"/>
          <w:sz w:val="32"/>
          <w:szCs w:val="32"/>
          <w:lang w:eastAsia="zh-CN"/>
        </w:rPr>
        <w:t>。</w:t>
      </w:r>
    </w:p>
    <w:p>
      <w:pPr>
        <w:ind w:firstLine="640" w:firstLineChars="200"/>
        <w:rPr>
          <w:rFonts w:hint="eastAsia" w:ascii="仿宋" w:hAnsi="仿宋" w:eastAsia="仿宋" w:cs="??_GB2312"/>
          <w:sz w:val="32"/>
          <w:szCs w:val="32"/>
          <w:lang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rPr>
        <w:t>地标产品监督抽查工作</w:t>
      </w:r>
      <w:r>
        <w:rPr>
          <w:rFonts w:hint="eastAsia" w:ascii="仿宋" w:hAnsi="仿宋" w:eastAsia="仿宋" w:cs="仿宋"/>
          <w:sz w:val="32"/>
          <w:szCs w:val="32"/>
          <w:lang w:eastAsia="zh-CN"/>
        </w:rPr>
        <w:t>项目。</w:t>
      </w:r>
      <w:r>
        <w:rPr>
          <w:rFonts w:hint="eastAsia" w:ascii="仿宋" w:hAnsi="仿宋" w:eastAsia="仿宋" w:cs="仿宋"/>
          <w:sz w:val="32"/>
          <w:szCs w:val="32"/>
          <w:lang w:val="en-US" w:eastAsia="zh-CN"/>
        </w:rPr>
        <w:t>项目全年预算数33.6万元，执行数为33.60万元，完成预算的100%。通过项目实施：</w:t>
      </w:r>
      <w:r>
        <w:rPr>
          <w:rFonts w:hint="eastAsia" w:ascii="仿宋" w:hAnsi="仿宋" w:eastAsia="仿宋" w:cs="仿宋"/>
          <w:sz w:val="32"/>
          <w:szCs w:val="32"/>
        </w:rPr>
        <w:t>我</w:t>
      </w:r>
      <w:r>
        <w:rPr>
          <w:rFonts w:hint="eastAsia" w:ascii="仿宋" w:hAnsi="仿宋" w:eastAsia="仿宋" w:cs="仿宋"/>
          <w:sz w:val="32"/>
          <w:szCs w:val="32"/>
          <w:lang w:eastAsia="zh-CN"/>
        </w:rPr>
        <w:t>局</w:t>
      </w:r>
      <w:r>
        <w:rPr>
          <w:rFonts w:hint="eastAsia" w:ascii="仿宋" w:hAnsi="仿宋" w:eastAsia="仿宋" w:cs="仿宋"/>
          <w:sz w:val="32"/>
          <w:szCs w:val="32"/>
        </w:rPr>
        <w:t>制定了《2018年广元市地理标志保护产品省级专项抽查实施方案》（以下简称《方案》），明确产品种类、抽检批次、检测指标以及其它相关工作事宜，有效保障了广元市辖区内获批的18类192批次地理标志保护产品抽检任务顺利完成。通过对检测数据的分析，我市地理标志保护产品各项指标均符合原国家质检总局公告相关质量技术要求，产品质量合格率为100%，地理标志产品质量安全可靠。</w:t>
      </w:r>
      <w:r>
        <w:rPr>
          <w:rFonts w:hint="eastAsia" w:ascii="仿宋" w:hAnsi="仿宋" w:eastAsia="仿宋" w:cs="仿宋"/>
          <w:b w:val="0"/>
          <w:bCs w:val="0"/>
          <w:sz w:val="32"/>
          <w:szCs w:val="32"/>
          <w:lang w:val="en-US" w:eastAsia="zh-CN"/>
        </w:rPr>
        <w:t>下一步改进措施：一是</w:t>
      </w:r>
      <w:r>
        <w:rPr>
          <w:rFonts w:hint="eastAsia" w:ascii="仿宋" w:hAnsi="仿宋" w:eastAsia="仿宋" w:cs="??_GB2312"/>
          <w:sz w:val="32"/>
          <w:szCs w:val="32"/>
        </w:rPr>
        <w:t>加强品牌打造，推动品牌塑造，创造品牌价值</w:t>
      </w:r>
      <w:r>
        <w:rPr>
          <w:rFonts w:hint="eastAsia" w:ascii="仿宋" w:hAnsi="仿宋" w:eastAsia="仿宋" w:cs="??_GB2312"/>
          <w:sz w:val="32"/>
          <w:szCs w:val="32"/>
          <w:lang w:eastAsia="zh-CN"/>
        </w:rPr>
        <w:t>；二是</w:t>
      </w:r>
      <w:r>
        <w:rPr>
          <w:rFonts w:hint="eastAsia" w:ascii="仿宋" w:hAnsi="仿宋" w:eastAsia="仿宋" w:cs="??_GB2312"/>
          <w:sz w:val="32"/>
          <w:szCs w:val="32"/>
        </w:rPr>
        <w:t>加强监管，规范我市地理标志保护产品的标识标志的使用</w:t>
      </w:r>
      <w:r>
        <w:rPr>
          <w:rFonts w:hint="eastAsia" w:ascii="仿宋" w:hAnsi="仿宋" w:eastAsia="仿宋" w:cs="??_GB2312"/>
          <w:sz w:val="32"/>
          <w:szCs w:val="32"/>
          <w:lang w:eastAsia="zh-CN"/>
        </w:rPr>
        <w:t>；三是</w:t>
      </w:r>
      <w:r>
        <w:rPr>
          <w:rFonts w:hint="eastAsia" w:ascii="仿宋" w:hAnsi="仿宋" w:eastAsia="仿宋" w:cs="??_GB2312"/>
          <w:sz w:val="32"/>
          <w:szCs w:val="32"/>
        </w:rPr>
        <w:t>提升地理标志保护产品种植者及生产企业质量意识和安全意识</w:t>
      </w:r>
      <w:r>
        <w:rPr>
          <w:rFonts w:hint="eastAsia" w:ascii="仿宋" w:hAnsi="仿宋" w:eastAsia="仿宋" w:cs="??_GB2312"/>
          <w:sz w:val="32"/>
          <w:szCs w:val="32"/>
          <w:lang w:eastAsia="zh-CN"/>
        </w:rPr>
        <w:t>。</w:t>
      </w:r>
    </w:p>
    <w:p>
      <w:pPr>
        <w:widowControl/>
        <w:jc w:val="left"/>
        <w:textAlignment w:val="center"/>
        <w:rPr>
          <w:rFonts w:hint="eastAsia" w:ascii="仿宋_GB2312" w:hAnsi="仿宋_GB2312" w:eastAsia="仿宋_GB2312" w:cs="仿宋_GB2312"/>
          <w:sz w:val="32"/>
          <w:szCs w:val="32"/>
          <w:lang w:eastAsia="zh-CN"/>
        </w:rPr>
      </w:pPr>
      <w:r>
        <w:rPr>
          <w:rFonts w:hint="eastAsia" w:ascii="仿宋" w:hAnsi="仿宋" w:eastAsia="仿宋" w:cs="??_GB2312"/>
          <w:sz w:val="32"/>
          <w:szCs w:val="32"/>
          <w:lang w:val="en-US" w:eastAsia="zh-CN"/>
        </w:rPr>
        <w:t xml:space="preserve">    5、</w:t>
      </w:r>
      <w:r>
        <w:rPr>
          <w:rFonts w:hint="eastAsia" w:ascii="仿宋" w:hAnsi="仿宋" w:eastAsia="仿宋" w:cs="仿宋"/>
          <w:color w:val="000000"/>
          <w:sz w:val="32"/>
          <w:szCs w:val="32"/>
        </w:rPr>
        <w:t>定量及过度包装商品监督抽查</w:t>
      </w:r>
      <w:r>
        <w:rPr>
          <w:rFonts w:hint="eastAsia" w:ascii="仿宋" w:hAnsi="仿宋" w:eastAsia="仿宋" w:cs="仿宋"/>
          <w:color w:val="000000"/>
          <w:sz w:val="32"/>
          <w:szCs w:val="32"/>
          <w:lang w:eastAsia="zh-CN"/>
        </w:rPr>
        <w:t>项目。</w:t>
      </w:r>
      <w:r>
        <w:rPr>
          <w:rFonts w:hint="eastAsia" w:ascii="仿宋" w:hAnsi="仿宋" w:eastAsia="仿宋" w:cs="仿宋"/>
          <w:sz w:val="32"/>
          <w:szCs w:val="32"/>
          <w:lang w:val="en-US" w:eastAsia="zh-CN"/>
        </w:rPr>
        <w:t>项目全年预算数10.00万元，执行数为10.00万元，完成预算的100%。通过项目实施</w:t>
      </w:r>
      <w:r>
        <w:rPr>
          <w:rFonts w:hint="eastAsia" w:ascii="仿宋" w:hAnsi="仿宋" w:eastAsia="仿宋" w:cs="仿宋"/>
          <w:color w:val="000000"/>
          <w:sz w:val="32"/>
          <w:szCs w:val="32"/>
          <w:lang w:eastAsia="zh-CN"/>
        </w:rPr>
        <w:t>完成定量包装抽样</w:t>
      </w:r>
      <w:r>
        <w:rPr>
          <w:rFonts w:hint="eastAsia" w:ascii="仿宋" w:hAnsi="仿宋" w:eastAsia="仿宋" w:cs="仿宋"/>
          <w:color w:val="000000"/>
          <w:sz w:val="32"/>
          <w:szCs w:val="32"/>
          <w:lang w:val="en-US" w:eastAsia="zh-CN"/>
        </w:rPr>
        <w:t>81批次、过度包装抽样61批次，并</w:t>
      </w:r>
      <w:r>
        <w:rPr>
          <w:rFonts w:hint="eastAsia" w:ascii="仿宋" w:hAnsi="仿宋" w:eastAsia="仿宋" w:cs="仿宋"/>
          <w:color w:val="000000"/>
          <w:sz w:val="32"/>
          <w:szCs w:val="32"/>
          <w:lang w:eastAsia="zh-CN"/>
        </w:rPr>
        <w:t>按时完成抽样任务数据真实有效、结果满意，</w:t>
      </w:r>
      <w:r>
        <w:rPr>
          <w:rFonts w:hint="eastAsia" w:ascii="仿宋" w:hAnsi="仿宋" w:eastAsia="仿宋" w:cs="仿宋"/>
          <w:b w:val="0"/>
          <w:bCs w:val="0"/>
          <w:sz w:val="32"/>
          <w:szCs w:val="32"/>
          <w:lang w:val="en-US" w:eastAsia="zh-CN"/>
        </w:rPr>
        <w:t>下一步改进措施：</w:t>
      </w:r>
      <w:r>
        <w:rPr>
          <w:rFonts w:hint="eastAsia" w:ascii="仿宋" w:hAnsi="仿宋" w:eastAsia="仿宋" w:cs="仿宋"/>
          <w:sz w:val="32"/>
          <w:szCs w:val="32"/>
          <w:lang w:eastAsia="zh-CN"/>
        </w:rPr>
        <w:t>严厉打击定量包装商品虚假宣传、短斤缺两的不法行为，科学规范行业过度包装商品计量管理，全面规范生产企业，商场超市，集贸市场公正公平行为，切实维护消费者合法权益。</w:t>
      </w:r>
    </w:p>
    <w:tbl>
      <w:tblPr>
        <w:tblStyle w:val="16"/>
        <w:tblpPr w:leftFromText="180" w:rightFromText="180" w:vertAnchor="text" w:horzAnchor="page" w:tblpXSpec="center" w:tblpY="423"/>
        <w:tblOverlap w:val="never"/>
        <w:tblW w:w="8620" w:type="dxa"/>
        <w:tblInd w:w="947" w:type="dxa"/>
        <w:tblLayout w:type="fixed"/>
        <w:tblCellMar>
          <w:top w:w="0" w:type="dxa"/>
          <w:left w:w="0" w:type="dxa"/>
          <w:bottom w:w="0" w:type="dxa"/>
          <w:right w:w="0" w:type="dxa"/>
        </w:tblCellMar>
      </w:tblPr>
      <w:tblGrid>
        <w:gridCol w:w="591"/>
        <w:gridCol w:w="469"/>
        <w:gridCol w:w="1431"/>
        <w:gridCol w:w="2034"/>
        <w:gridCol w:w="1966"/>
        <w:gridCol w:w="2129"/>
      </w:tblGrid>
      <w:tr>
        <w:tblPrEx>
          <w:tblLayout w:type="fixed"/>
          <w:tblCellMar>
            <w:top w:w="0" w:type="dxa"/>
            <w:left w:w="0" w:type="dxa"/>
            <w:bottom w:w="0" w:type="dxa"/>
            <w:right w:w="0" w:type="dxa"/>
          </w:tblCellMar>
        </w:tblPrEx>
        <w:trPr>
          <w:trHeight w:val="1034" w:hRule="atLeast"/>
        </w:trPr>
        <w:tc>
          <w:tcPr>
            <w:tcW w:w="8620" w:type="dxa"/>
            <w:gridSpan w:val="6"/>
            <w:tcMar>
              <w:top w:w="15" w:type="dxa"/>
              <w:left w:w="15" w:type="dxa"/>
              <w:bottom w:w="0" w:type="dxa"/>
              <w:right w:w="15" w:type="dxa"/>
            </w:tcMar>
            <w:vAlign w:val="center"/>
          </w:tcPr>
          <w:p>
            <w:pPr>
              <w:pStyle w:val="28"/>
              <w:widowControl/>
              <w:ind w:left="0" w:leftChars="0" w:firstLine="0" w:firstLineChars="0"/>
              <w:jc w:val="center"/>
              <w:textAlignment w:val="center"/>
              <w:rPr>
                <w:rFonts w:ascii="宋体" w:hAnsi="宋体" w:cs="宋体"/>
                <w:color w:val="000000"/>
                <w:sz w:val="32"/>
                <w:szCs w:val="32"/>
              </w:rPr>
            </w:pPr>
            <w:r>
              <w:rPr>
                <w:rFonts w:hint="eastAsia" w:ascii="黑体" w:hAnsi="黑体" w:eastAsia="黑体" w:cs="宋体"/>
                <w:bCs/>
                <w:color w:val="000000"/>
                <w:kern w:val="0"/>
                <w:sz w:val="32"/>
                <w:szCs w:val="32"/>
              </w:rPr>
              <w:t>项目支出绩效目标完成情况表</w:t>
            </w:r>
            <w:r>
              <w:rPr>
                <w:rFonts w:hint="eastAsia" w:ascii="宋体" w:hAnsi="宋体" w:cs="宋体"/>
                <w:b/>
                <w:bCs/>
                <w:color w:val="000000"/>
                <w:kern w:val="0"/>
                <w:sz w:val="32"/>
                <w:szCs w:val="32"/>
              </w:rPr>
              <w:br w:type="textWrapping"/>
            </w:r>
            <w:r>
              <w:rPr>
                <w:rFonts w:hint="eastAsia" w:ascii="宋体" w:hAnsi="宋体" w:cs="宋体"/>
                <w:color w:val="000000"/>
                <w:kern w:val="0"/>
                <w:sz w:val="32"/>
                <w:szCs w:val="32"/>
              </w:rPr>
              <w:t>(2018年度)</w:t>
            </w:r>
          </w:p>
        </w:tc>
      </w:tr>
      <w:tr>
        <w:tblPrEx>
          <w:tblLayout w:type="fixed"/>
          <w:tblCellMar>
            <w:top w:w="0" w:type="dxa"/>
            <w:left w:w="0" w:type="dxa"/>
            <w:bottom w:w="0" w:type="dxa"/>
            <w:right w:w="0" w:type="dxa"/>
          </w:tblCellMar>
        </w:tblPrEx>
        <w:trPr>
          <w:trHeight w:val="276" w:hRule="atLeast"/>
        </w:trPr>
        <w:tc>
          <w:tcPr>
            <w:tcW w:w="2491"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项目名称</w:t>
            </w:r>
          </w:p>
        </w:tc>
        <w:tc>
          <w:tcPr>
            <w:tcW w:w="6129"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质监运行经费</w:t>
            </w:r>
          </w:p>
        </w:tc>
      </w:tr>
      <w:tr>
        <w:tblPrEx>
          <w:tblLayout w:type="fixed"/>
          <w:tblCellMar>
            <w:top w:w="0" w:type="dxa"/>
            <w:left w:w="0" w:type="dxa"/>
            <w:bottom w:w="0" w:type="dxa"/>
            <w:right w:w="0" w:type="dxa"/>
          </w:tblCellMar>
        </w:tblPrEx>
        <w:trPr>
          <w:trHeight w:val="276" w:hRule="atLeast"/>
        </w:trPr>
        <w:tc>
          <w:tcPr>
            <w:tcW w:w="2491"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预算单位</w:t>
            </w:r>
          </w:p>
        </w:tc>
        <w:tc>
          <w:tcPr>
            <w:tcW w:w="6129"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广元市质量技术监督局</w:t>
            </w:r>
          </w:p>
        </w:tc>
      </w:tr>
      <w:tr>
        <w:tblPrEx>
          <w:tblLayout w:type="fixed"/>
          <w:tblCellMar>
            <w:top w:w="0" w:type="dxa"/>
            <w:left w:w="0" w:type="dxa"/>
            <w:bottom w:w="0" w:type="dxa"/>
            <w:right w:w="0" w:type="dxa"/>
          </w:tblCellMar>
        </w:tblPrEx>
        <w:trPr>
          <w:trHeight w:val="276" w:hRule="atLeast"/>
        </w:trPr>
        <w:tc>
          <w:tcPr>
            <w:tcW w:w="591"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预算执行情况(万元)</w:t>
            </w:r>
          </w:p>
        </w:tc>
        <w:tc>
          <w:tcPr>
            <w:tcW w:w="1900"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预算数:</w:t>
            </w:r>
          </w:p>
        </w:tc>
        <w:tc>
          <w:tcPr>
            <w:tcW w:w="203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31.6万</w:t>
            </w:r>
          </w:p>
        </w:tc>
        <w:tc>
          <w:tcPr>
            <w:tcW w:w="196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执行数:</w:t>
            </w:r>
          </w:p>
        </w:tc>
        <w:tc>
          <w:tcPr>
            <w:tcW w:w="212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31.6万</w:t>
            </w:r>
          </w:p>
        </w:tc>
      </w:tr>
      <w:tr>
        <w:tblPrEx>
          <w:tblLayout w:type="fixed"/>
          <w:tblCellMar>
            <w:top w:w="0" w:type="dxa"/>
            <w:left w:w="0" w:type="dxa"/>
            <w:bottom w:w="0" w:type="dxa"/>
            <w:right w:w="0" w:type="dxa"/>
          </w:tblCellMar>
        </w:tblPrEx>
        <w:trPr>
          <w:trHeight w:val="276" w:hRule="atLeast"/>
        </w:trPr>
        <w:tc>
          <w:tcPr>
            <w:tcW w:w="59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1900"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其中-财政拨款:</w:t>
            </w:r>
          </w:p>
        </w:tc>
        <w:tc>
          <w:tcPr>
            <w:tcW w:w="203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31.6万</w:t>
            </w:r>
          </w:p>
        </w:tc>
        <w:tc>
          <w:tcPr>
            <w:tcW w:w="196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其中-财政拨款:</w:t>
            </w:r>
          </w:p>
        </w:tc>
        <w:tc>
          <w:tcPr>
            <w:tcW w:w="212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31.6万</w:t>
            </w:r>
          </w:p>
        </w:tc>
      </w:tr>
      <w:tr>
        <w:tblPrEx>
          <w:tblLayout w:type="fixed"/>
          <w:tblCellMar>
            <w:top w:w="0" w:type="dxa"/>
            <w:left w:w="0" w:type="dxa"/>
            <w:bottom w:w="0" w:type="dxa"/>
            <w:right w:w="0" w:type="dxa"/>
          </w:tblCellMar>
        </w:tblPrEx>
        <w:trPr>
          <w:trHeight w:val="1511" w:hRule="atLeast"/>
        </w:trPr>
        <w:tc>
          <w:tcPr>
            <w:tcW w:w="59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1900"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其它资金:</w:t>
            </w:r>
          </w:p>
        </w:tc>
        <w:tc>
          <w:tcPr>
            <w:tcW w:w="203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0</w:t>
            </w:r>
          </w:p>
        </w:tc>
        <w:tc>
          <w:tcPr>
            <w:tcW w:w="196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其它资金:</w:t>
            </w:r>
          </w:p>
        </w:tc>
        <w:tc>
          <w:tcPr>
            <w:tcW w:w="212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color w:val="000000"/>
                <w:sz w:val="24"/>
                <w:szCs w:val="24"/>
              </w:rPr>
            </w:pPr>
          </w:p>
        </w:tc>
      </w:tr>
      <w:tr>
        <w:tblPrEx>
          <w:tblLayout w:type="fixed"/>
          <w:tblCellMar>
            <w:top w:w="0" w:type="dxa"/>
            <w:left w:w="0" w:type="dxa"/>
            <w:bottom w:w="0" w:type="dxa"/>
            <w:right w:w="0" w:type="dxa"/>
          </w:tblCellMar>
        </w:tblPrEx>
        <w:trPr>
          <w:trHeight w:val="276" w:hRule="atLeast"/>
        </w:trPr>
        <w:tc>
          <w:tcPr>
            <w:tcW w:w="591"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年度目标完成情况</w:t>
            </w:r>
          </w:p>
        </w:tc>
        <w:tc>
          <w:tcPr>
            <w:tcW w:w="393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预期目标</w:t>
            </w:r>
          </w:p>
        </w:tc>
        <w:tc>
          <w:tcPr>
            <w:tcW w:w="4095"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实际完成目标</w:t>
            </w:r>
          </w:p>
        </w:tc>
      </w:tr>
      <w:tr>
        <w:tblPrEx>
          <w:tblLayout w:type="fixed"/>
          <w:tblCellMar>
            <w:top w:w="0" w:type="dxa"/>
            <w:left w:w="0" w:type="dxa"/>
            <w:bottom w:w="0" w:type="dxa"/>
            <w:right w:w="0" w:type="dxa"/>
          </w:tblCellMar>
        </w:tblPrEx>
        <w:trPr>
          <w:trHeight w:val="1159" w:hRule="atLeast"/>
        </w:trPr>
        <w:tc>
          <w:tcPr>
            <w:tcW w:w="59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393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一是加强质量提升；二是创建省级有机产品认证示范区；三是实现品质革命大突破；四是强化安全监管</w:t>
            </w:r>
          </w:p>
        </w:tc>
        <w:tc>
          <w:tcPr>
            <w:tcW w:w="4095"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一是在全市50家重点企业消费品企业建立了质量提升台账清单，帮助企业查找了存在的质量问题和短板116个，制定提升目标56个，提升措施127个；二是朝天区建成了省级有机产品认证示范区，苍溪、利州、旺苍3个县区被列为省级有机产品认证示范创建区；三是批准筹建高性能工业铝材和米仓山茶叶知名品牌创建示范区，认定市长质量奖3个，广元知名品牌26个；旺苍米仓山茶叶、苍溪红心猕猴桃首次入围全国区域品牌；广元市网上公安便民利民服务标准化国家级试点项目通过验收，个人信用体系建设管理等2个项目列为国家综合标准化试点项目；四是开展农资、建材、危化品和省运会场馆建设材料等专项执法行动，查办违法案件7件。</w:t>
            </w:r>
          </w:p>
        </w:tc>
      </w:tr>
      <w:tr>
        <w:tblPrEx>
          <w:tblLayout w:type="fixed"/>
          <w:tblCellMar>
            <w:top w:w="0" w:type="dxa"/>
            <w:left w:w="0" w:type="dxa"/>
            <w:bottom w:w="0" w:type="dxa"/>
            <w:right w:w="0" w:type="dxa"/>
          </w:tblCellMar>
        </w:tblPrEx>
        <w:trPr>
          <w:trHeight w:val="1042" w:hRule="atLeast"/>
        </w:trPr>
        <w:tc>
          <w:tcPr>
            <w:tcW w:w="591"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绩效指标完成情况</w:t>
            </w:r>
          </w:p>
        </w:tc>
        <w:tc>
          <w:tcPr>
            <w:tcW w:w="46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一级指标</w:t>
            </w:r>
          </w:p>
        </w:tc>
        <w:tc>
          <w:tcPr>
            <w:tcW w:w="14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二级指标</w:t>
            </w:r>
          </w:p>
        </w:tc>
        <w:tc>
          <w:tcPr>
            <w:tcW w:w="203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三级指标</w:t>
            </w:r>
          </w:p>
        </w:tc>
        <w:tc>
          <w:tcPr>
            <w:tcW w:w="196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预期指标值(包含数字及文字描述)</w:t>
            </w:r>
          </w:p>
        </w:tc>
        <w:tc>
          <w:tcPr>
            <w:tcW w:w="212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实际完成指标值(包含数字及文字描述)</w:t>
            </w:r>
          </w:p>
        </w:tc>
      </w:tr>
      <w:tr>
        <w:tblPrEx>
          <w:tblLayout w:type="fixed"/>
          <w:tblCellMar>
            <w:top w:w="0" w:type="dxa"/>
            <w:left w:w="0" w:type="dxa"/>
            <w:bottom w:w="0" w:type="dxa"/>
            <w:right w:w="0" w:type="dxa"/>
          </w:tblCellMar>
        </w:tblPrEx>
        <w:trPr>
          <w:trHeight w:val="953" w:hRule="atLeast"/>
        </w:trPr>
        <w:tc>
          <w:tcPr>
            <w:tcW w:w="59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6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项目完成指标</w:t>
            </w:r>
          </w:p>
        </w:tc>
        <w:tc>
          <w:tcPr>
            <w:tcW w:w="14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加强质量提升</w:t>
            </w:r>
          </w:p>
        </w:tc>
        <w:tc>
          <w:tcPr>
            <w:tcW w:w="203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一是制定质量政策，二是质量提升更精准；三是质量考核更有力；四是质量宣传更响亮</w:t>
            </w:r>
          </w:p>
        </w:tc>
        <w:tc>
          <w:tcPr>
            <w:tcW w:w="196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一是出台广元市开展质量提升行动实施方案；二是力争建立30家重点消费品企业建立质量提升台账清单，帮助企业查找存在质量问题和短板50个，制定提升目标30个，提升措施70个；三是质量考核力争全省前十；四是在广元日报开设开展质量提升行动着力打造品质广元专栏。</w:t>
            </w:r>
          </w:p>
        </w:tc>
        <w:tc>
          <w:tcPr>
            <w:tcW w:w="212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一是报请市委市政府出台广元市开展质量提升行动实施方案；二是在全市50家重点消费品企业建立质量提升台账清单，帮助企业查找存在质量问题和短板116个，制定提升目标56个，提升措施127个；三是质量考核局全省第七，同比排位上升4个名次；四是在广元日报开设了开展质量提升行动着力打造品质广元专栏，连续刊登11篇文章</w:t>
            </w:r>
          </w:p>
        </w:tc>
      </w:tr>
      <w:tr>
        <w:tblPrEx>
          <w:tblLayout w:type="fixed"/>
          <w:tblCellMar>
            <w:top w:w="0" w:type="dxa"/>
            <w:left w:w="0" w:type="dxa"/>
            <w:bottom w:w="0" w:type="dxa"/>
            <w:right w:w="0" w:type="dxa"/>
          </w:tblCellMar>
        </w:tblPrEx>
        <w:trPr>
          <w:trHeight w:val="1297" w:hRule="atLeast"/>
        </w:trPr>
        <w:tc>
          <w:tcPr>
            <w:tcW w:w="59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6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项目完成指标</w:t>
            </w:r>
          </w:p>
        </w:tc>
        <w:tc>
          <w:tcPr>
            <w:tcW w:w="14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创建有机产品认证示范区</w:t>
            </w:r>
          </w:p>
        </w:tc>
        <w:tc>
          <w:tcPr>
            <w:tcW w:w="203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一是加速有机认证；二是加快全域示范；三是加强认证监管</w:t>
            </w:r>
          </w:p>
        </w:tc>
        <w:tc>
          <w:tcPr>
            <w:tcW w:w="196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一是全面推进有机产品认证，力争新增证书20张；二是力争将朝天建成为有机产品认证示范区；三是检查有机产品生产、加工、销售企业30家</w:t>
            </w:r>
          </w:p>
        </w:tc>
        <w:tc>
          <w:tcPr>
            <w:tcW w:w="212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一是全面推进有机产品认证，新增证书33张，有机产品数量41个，认证基地面积22331亩；二是朝天区建成为省级有机产品认证示范区，苍溪、利州、旺苍3个县区被列为省级有机产品认证示范创建区；三是检查有机产品生产、加工、销售企业44家</w:t>
            </w:r>
          </w:p>
        </w:tc>
      </w:tr>
      <w:tr>
        <w:tblPrEx>
          <w:tblLayout w:type="fixed"/>
          <w:tblCellMar>
            <w:top w:w="0" w:type="dxa"/>
            <w:left w:w="0" w:type="dxa"/>
            <w:bottom w:w="0" w:type="dxa"/>
            <w:right w:w="0" w:type="dxa"/>
          </w:tblCellMar>
        </w:tblPrEx>
        <w:trPr>
          <w:trHeight w:val="1042" w:hRule="atLeast"/>
        </w:trPr>
        <w:tc>
          <w:tcPr>
            <w:tcW w:w="59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6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项目完成指标</w:t>
            </w:r>
          </w:p>
        </w:tc>
        <w:tc>
          <w:tcPr>
            <w:tcW w:w="14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三是实现品质革命大突破</w:t>
            </w:r>
          </w:p>
        </w:tc>
        <w:tc>
          <w:tcPr>
            <w:tcW w:w="203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一是品牌效应进一步提升；二是标准领域进一步拓展；</w:t>
            </w:r>
          </w:p>
        </w:tc>
        <w:tc>
          <w:tcPr>
            <w:tcW w:w="196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一是筹建高性能工业铝材和米仓山茶产业知名品牌创建示范区，认定市长质量奖3个，广元知名品牌创建20个；二是力争广元市网上公安便民利服务标准化国家级试点项目通过验收，发布地方标准5个</w:t>
            </w:r>
          </w:p>
        </w:tc>
        <w:tc>
          <w:tcPr>
            <w:tcW w:w="212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一是高性能工业铝材和米仓山茶产业知名品牌创建示范区批准筹建，认定市长质量奖3个，广元知名品牌创建26个；二是广元市网上公安便民利服务标准化国家级试点项目通过验收，个人信用体系建设管理等2试点项目个项目列为国家综合标准化，发布广元灰鸡等地方标准8个，制定广元市电梯使用单位安全管理规范、广元市基层特种设备现场安全监督检查标准化工作指南2项标准</w:t>
            </w:r>
          </w:p>
        </w:tc>
      </w:tr>
      <w:tr>
        <w:tblPrEx>
          <w:tblLayout w:type="fixed"/>
          <w:tblCellMar>
            <w:top w:w="0" w:type="dxa"/>
            <w:left w:w="0" w:type="dxa"/>
            <w:bottom w:w="0" w:type="dxa"/>
            <w:right w:w="0" w:type="dxa"/>
          </w:tblCellMar>
        </w:tblPrEx>
        <w:trPr>
          <w:trHeight w:val="1042" w:hRule="atLeast"/>
        </w:trPr>
        <w:tc>
          <w:tcPr>
            <w:tcW w:w="59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6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项目完成指标</w:t>
            </w:r>
          </w:p>
        </w:tc>
        <w:tc>
          <w:tcPr>
            <w:tcW w:w="14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安全监管有所创新</w:t>
            </w:r>
          </w:p>
        </w:tc>
        <w:tc>
          <w:tcPr>
            <w:tcW w:w="203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一是组织重点消费品企业开展质量提升；二是开展农资、建材、危化品等专项执法行动；三是部门联动加强特种设备安全整治</w:t>
            </w:r>
          </w:p>
        </w:tc>
        <w:tc>
          <w:tcPr>
            <w:tcW w:w="196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一是组织30家重点消费品企业开展质量提升；二是开展农资、建材、危化品等专项执法行动，查办案件5件；三是部门联动加强特种设备安全整治，开展行业安全隐患排查整治8次，检查特种设备生产、经营、使用单位300家</w:t>
            </w:r>
          </w:p>
        </w:tc>
        <w:tc>
          <w:tcPr>
            <w:tcW w:w="212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一是组织了50家重点消费品企业开展质量提升；二是开展农资、建材、危化品等专项执法行动，查办案件7件；三是部门联动加强特种设备安全整治，开展行业安全隐患排查整治12次，检查特种设备生产、经营、使用单位575家，发出监察指令68份，处理投诉67起。</w:t>
            </w:r>
          </w:p>
        </w:tc>
      </w:tr>
      <w:tr>
        <w:tblPrEx>
          <w:tblLayout w:type="fixed"/>
          <w:tblCellMar>
            <w:top w:w="0" w:type="dxa"/>
            <w:left w:w="0" w:type="dxa"/>
            <w:bottom w:w="0" w:type="dxa"/>
            <w:right w:w="0" w:type="dxa"/>
          </w:tblCellMar>
        </w:tblPrEx>
        <w:trPr>
          <w:trHeight w:val="1042" w:hRule="atLeast"/>
        </w:trPr>
        <w:tc>
          <w:tcPr>
            <w:tcW w:w="59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6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效益指标</w:t>
            </w:r>
          </w:p>
        </w:tc>
        <w:tc>
          <w:tcPr>
            <w:tcW w:w="14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质量监管方面取得成效</w:t>
            </w:r>
          </w:p>
        </w:tc>
        <w:tc>
          <w:tcPr>
            <w:tcW w:w="203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质量监管方面取得成效</w:t>
            </w:r>
          </w:p>
        </w:tc>
        <w:tc>
          <w:tcPr>
            <w:tcW w:w="196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市州政府质量考核工作全省前十</w:t>
            </w:r>
          </w:p>
        </w:tc>
        <w:tc>
          <w:tcPr>
            <w:tcW w:w="212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市州政府质量考核工作全省第七，列川东北首位</w:t>
            </w:r>
          </w:p>
        </w:tc>
      </w:tr>
      <w:tr>
        <w:tblPrEx>
          <w:tblLayout w:type="fixed"/>
          <w:tblCellMar>
            <w:top w:w="0" w:type="dxa"/>
            <w:left w:w="0" w:type="dxa"/>
            <w:bottom w:w="0" w:type="dxa"/>
            <w:right w:w="0" w:type="dxa"/>
          </w:tblCellMar>
        </w:tblPrEx>
        <w:trPr>
          <w:trHeight w:val="1297" w:hRule="atLeast"/>
        </w:trPr>
        <w:tc>
          <w:tcPr>
            <w:tcW w:w="59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6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效益指标</w:t>
            </w:r>
          </w:p>
        </w:tc>
        <w:tc>
          <w:tcPr>
            <w:tcW w:w="14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扩大有机产品认证种植面积</w:t>
            </w:r>
          </w:p>
        </w:tc>
        <w:tc>
          <w:tcPr>
            <w:tcW w:w="203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扩大有机产品认证种植面积</w:t>
            </w:r>
          </w:p>
        </w:tc>
        <w:tc>
          <w:tcPr>
            <w:tcW w:w="196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认证基地面积达2万亩，农产品种植基地面积3万亩，两湖淡水鱼养殖基地认证20万亩。</w:t>
            </w:r>
          </w:p>
        </w:tc>
        <w:tc>
          <w:tcPr>
            <w:tcW w:w="212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认证基地面积达22331亩，农产品种植基地面积4万亩，两湖淡水鱼养殖基地认证22.5万亩</w:t>
            </w:r>
          </w:p>
        </w:tc>
      </w:tr>
      <w:tr>
        <w:tblPrEx>
          <w:tblLayout w:type="fixed"/>
          <w:tblCellMar>
            <w:top w:w="0" w:type="dxa"/>
            <w:left w:w="0" w:type="dxa"/>
            <w:bottom w:w="0" w:type="dxa"/>
            <w:right w:w="0" w:type="dxa"/>
          </w:tblCellMar>
        </w:tblPrEx>
        <w:trPr>
          <w:trHeight w:val="1297" w:hRule="atLeast"/>
        </w:trPr>
        <w:tc>
          <w:tcPr>
            <w:tcW w:w="59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6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效益指标</w:t>
            </w:r>
          </w:p>
        </w:tc>
        <w:tc>
          <w:tcPr>
            <w:tcW w:w="14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提升昭化生猪、朝天核桃品牌价值</w:t>
            </w:r>
          </w:p>
        </w:tc>
        <w:tc>
          <w:tcPr>
            <w:tcW w:w="203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提升昭化生猪、朝天核桃品牌价值</w:t>
            </w:r>
          </w:p>
        </w:tc>
        <w:tc>
          <w:tcPr>
            <w:tcW w:w="196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提升昭化生猪、朝天核桃品牌价值力争达到40亿</w:t>
            </w:r>
          </w:p>
        </w:tc>
        <w:tc>
          <w:tcPr>
            <w:tcW w:w="212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昭化生猪、朝天核桃两个全国知名品牌创建示范区品牌价值达到46.41亿</w:t>
            </w:r>
          </w:p>
        </w:tc>
      </w:tr>
      <w:tr>
        <w:tblPrEx>
          <w:tblLayout w:type="fixed"/>
          <w:tblCellMar>
            <w:top w:w="0" w:type="dxa"/>
            <w:left w:w="0" w:type="dxa"/>
            <w:bottom w:w="0" w:type="dxa"/>
            <w:right w:w="0" w:type="dxa"/>
          </w:tblCellMar>
        </w:tblPrEx>
        <w:trPr>
          <w:trHeight w:val="1050" w:hRule="atLeast"/>
        </w:trPr>
        <w:tc>
          <w:tcPr>
            <w:tcW w:w="59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6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满意度指标</w:t>
            </w:r>
          </w:p>
        </w:tc>
        <w:tc>
          <w:tcPr>
            <w:tcW w:w="14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企业、消费者、经营者、老百姓满意度</w:t>
            </w:r>
          </w:p>
        </w:tc>
        <w:tc>
          <w:tcPr>
            <w:tcW w:w="203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企业、消费者、经营者、老百姓满意度</w:t>
            </w:r>
          </w:p>
        </w:tc>
        <w:tc>
          <w:tcPr>
            <w:tcW w:w="196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企业、消费者、经营者、老百姓满意度90%</w:t>
            </w:r>
          </w:p>
        </w:tc>
        <w:tc>
          <w:tcPr>
            <w:tcW w:w="212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企业、消费者、经营者、老百姓满意度达95%</w:t>
            </w:r>
          </w:p>
        </w:tc>
      </w:tr>
    </w:tbl>
    <w:tbl>
      <w:tblPr>
        <w:tblStyle w:val="16"/>
        <w:tblW w:w="8952" w:type="dxa"/>
        <w:tblInd w:w="135" w:type="dxa"/>
        <w:tblLayout w:type="fixed"/>
        <w:tblCellMar>
          <w:top w:w="0" w:type="dxa"/>
          <w:left w:w="0" w:type="dxa"/>
          <w:bottom w:w="0" w:type="dxa"/>
          <w:right w:w="0" w:type="dxa"/>
        </w:tblCellMar>
      </w:tblPr>
      <w:tblGrid>
        <w:gridCol w:w="731"/>
        <w:gridCol w:w="425"/>
        <w:gridCol w:w="1335"/>
        <w:gridCol w:w="2034"/>
        <w:gridCol w:w="1966"/>
        <w:gridCol w:w="193"/>
        <w:gridCol w:w="1927"/>
        <w:gridCol w:w="15"/>
        <w:gridCol w:w="326"/>
      </w:tblGrid>
      <w:tr>
        <w:tblPrEx>
          <w:tblLayout w:type="fixed"/>
          <w:tblCellMar>
            <w:top w:w="0" w:type="dxa"/>
            <w:left w:w="0" w:type="dxa"/>
            <w:bottom w:w="0" w:type="dxa"/>
            <w:right w:w="0" w:type="dxa"/>
          </w:tblCellMar>
        </w:tblPrEx>
        <w:trPr>
          <w:gridAfter w:val="2"/>
          <w:wAfter w:w="341" w:type="dxa"/>
          <w:trHeight w:val="1034" w:hRule="atLeast"/>
        </w:trPr>
        <w:tc>
          <w:tcPr>
            <w:tcW w:w="8611" w:type="dxa"/>
            <w:gridSpan w:val="7"/>
            <w:tcBorders>
              <w:top w:val="nil"/>
              <w:left w:val="nil"/>
              <w:bottom w:val="nil"/>
              <w:right w:val="nil"/>
            </w:tcBorders>
            <w:tcMar>
              <w:top w:w="15" w:type="dxa"/>
              <w:left w:w="15" w:type="dxa"/>
              <w:bottom w:w="0" w:type="dxa"/>
              <w:right w:w="15" w:type="dxa"/>
            </w:tcMar>
            <w:vAlign w:val="center"/>
          </w:tcPr>
          <w:p>
            <w:pPr>
              <w:pStyle w:val="30"/>
              <w:widowControl/>
              <w:ind w:firstLine="0" w:firstLineChars="0"/>
              <w:jc w:val="center"/>
              <w:textAlignment w:val="center"/>
              <w:rPr>
                <w:rFonts w:hint="eastAsia" w:ascii="黑体" w:hAnsi="黑体" w:eastAsia="黑体" w:cs="宋体"/>
                <w:color w:val="000000"/>
                <w:kern w:val="0"/>
                <w:sz w:val="36"/>
                <w:szCs w:val="36"/>
              </w:rPr>
            </w:pPr>
          </w:p>
          <w:p>
            <w:pPr>
              <w:pStyle w:val="30"/>
              <w:widowControl/>
              <w:ind w:firstLine="0" w:firstLineChars="0"/>
              <w:jc w:val="center"/>
              <w:textAlignment w:val="center"/>
              <w:rPr>
                <w:rFonts w:hint="eastAsia" w:ascii="黑体" w:hAnsi="黑体" w:eastAsia="黑体" w:cs="宋体"/>
                <w:color w:val="000000"/>
                <w:kern w:val="0"/>
                <w:sz w:val="36"/>
                <w:szCs w:val="36"/>
              </w:rPr>
            </w:pPr>
          </w:p>
          <w:p>
            <w:pPr>
              <w:pStyle w:val="30"/>
              <w:widowControl/>
              <w:ind w:firstLine="0" w:firstLineChars="0"/>
              <w:jc w:val="center"/>
              <w:textAlignment w:val="center"/>
              <w:rPr>
                <w:rFonts w:ascii="宋体"/>
                <w:color w:val="000000"/>
                <w:sz w:val="36"/>
                <w:szCs w:val="36"/>
              </w:rPr>
            </w:pPr>
            <w:r>
              <w:rPr>
                <w:rFonts w:hint="eastAsia" w:ascii="黑体" w:hAnsi="黑体" w:eastAsia="黑体" w:cs="宋体"/>
                <w:color w:val="000000"/>
                <w:kern w:val="0"/>
                <w:sz w:val="36"/>
                <w:szCs w:val="36"/>
              </w:rPr>
              <w:t>项目支出绩效目标完成情况表</w:t>
            </w:r>
            <w:r>
              <w:rPr>
                <w:rFonts w:ascii="宋体"/>
                <w:b/>
                <w:bCs/>
                <w:color w:val="000000"/>
                <w:kern w:val="0"/>
                <w:sz w:val="36"/>
                <w:szCs w:val="36"/>
              </w:rPr>
              <w:br w:type="textWrapping"/>
            </w:r>
            <w:r>
              <w:rPr>
                <w:rFonts w:ascii="宋体" w:hAnsi="宋体"/>
                <w:color w:val="000000"/>
                <w:kern w:val="0"/>
                <w:sz w:val="36"/>
                <w:szCs w:val="36"/>
              </w:rPr>
              <w:t>(2018</w:t>
            </w:r>
            <w:r>
              <w:rPr>
                <w:rFonts w:hint="eastAsia" w:ascii="宋体" w:hAnsi="宋体"/>
                <w:color w:val="000000"/>
                <w:kern w:val="0"/>
                <w:sz w:val="36"/>
                <w:szCs w:val="36"/>
              </w:rPr>
              <w:t>年度</w:t>
            </w:r>
            <w:r>
              <w:rPr>
                <w:rFonts w:ascii="宋体" w:hAnsi="宋体"/>
                <w:color w:val="000000"/>
                <w:kern w:val="0"/>
                <w:sz w:val="36"/>
                <w:szCs w:val="36"/>
              </w:rPr>
              <w:t>)</w:t>
            </w:r>
          </w:p>
        </w:tc>
      </w:tr>
      <w:tr>
        <w:tblPrEx>
          <w:tblLayout w:type="fixed"/>
          <w:tblCellMar>
            <w:top w:w="0" w:type="dxa"/>
            <w:left w:w="0" w:type="dxa"/>
            <w:bottom w:w="0" w:type="dxa"/>
            <w:right w:w="0" w:type="dxa"/>
          </w:tblCellMar>
        </w:tblPrEx>
        <w:trPr>
          <w:gridAfter w:val="2"/>
          <w:wAfter w:w="341" w:type="dxa"/>
          <w:trHeight w:val="276" w:hRule="atLeast"/>
        </w:trPr>
        <w:tc>
          <w:tcPr>
            <w:tcW w:w="2491"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项目名称</w:t>
            </w:r>
          </w:p>
        </w:tc>
        <w:tc>
          <w:tcPr>
            <w:tcW w:w="6120"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产品质量监督抽查经费</w:t>
            </w:r>
          </w:p>
        </w:tc>
      </w:tr>
      <w:tr>
        <w:tblPrEx>
          <w:tblLayout w:type="fixed"/>
          <w:tblCellMar>
            <w:top w:w="0" w:type="dxa"/>
            <w:left w:w="0" w:type="dxa"/>
            <w:bottom w:w="0" w:type="dxa"/>
            <w:right w:w="0" w:type="dxa"/>
          </w:tblCellMar>
        </w:tblPrEx>
        <w:trPr>
          <w:gridAfter w:val="2"/>
          <w:wAfter w:w="341" w:type="dxa"/>
          <w:trHeight w:val="276" w:hRule="atLeast"/>
        </w:trPr>
        <w:tc>
          <w:tcPr>
            <w:tcW w:w="2491"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预算单位</w:t>
            </w:r>
          </w:p>
        </w:tc>
        <w:tc>
          <w:tcPr>
            <w:tcW w:w="6120"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广元市质量技术监督局</w:t>
            </w:r>
          </w:p>
        </w:tc>
      </w:tr>
      <w:tr>
        <w:tblPrEx>
          <w:tblLayout w:type="fixed"/>
          <w:tblCellMar>
            <w:top w:w="0" w:type="dxa"/>
            <w:left w:w="0" w:type="dxa"/>
            <w:bottom w:w="0" w:type="dxa"/>
            <w:right w:w="0" w:type="dxa"/>
          </w:tblCellMar>
        </w:tblPrEx>
        <w:trPr>
          <w:gridAfter w:val="2"/>
          <w:wAfter w:w="341" w:type="dxa"/>
          <w:trHeight w:val="276" w:hRule="atLeast"/>
        </w:trPr>
        <w:tc>
          <w:tcPr>
            <w:tcW w:w="7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预算执行情况(万元)</w:t>
            </w:r>
          </w:p>
        </w:tc>
        <w:tc>
          <w:tcPr>
            <w:tcW w:w="176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预算数:</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64.00</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执行数:</w:t>
            </w:r>
          </w:p>
        </w:tc>
        <w:tc>
          <w:tcPr>
            <w:tcW w:w="212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64.00</w:t>
            </w:r>
          </w:p>
        </w:tc>
      </w:tr>
      <w:tr>
        <w:tblPrEx>
          <w:tblLayout w:type="fixed"/>
          <w:tblCellMar>
            <w:top w:w="0" w:type="dxa"/>
            <w:left w:w="0" w:type="dxa"/>
            <w:bottom w:w="0" w:type="dxa"/>
            <w:right w:w="0" w:type="dxa"/>
          </w:tblCellMar>
        </w:tblPrEx>
        <w:trPr>
          <w:gridAfter w:val="2"/>
          <w:wAfter w:w="341" w:type="dxa"/>
          <w:trHeight w:val="276"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176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其中-财政拨款:</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64.00</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其中-财政拨款:</w:t>
            </w:r>
          </w:p>
        </w:tc>
        <w:tc>
          <w:tcPr>
            <w:tcW w:w="212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64.00</w:t>
            </w:r>
          </w:p>
        </w:tc>
      </w:tr>
      <w:tr>
        <w:tblPrEx>
          <w:tblLayout w:type="fixed"/>
          <w:tblCellMar>
            <w:top w:w="0" w:type="dxa"/>
            <w:left w:w="0" w:type="dxa"/>
            <w:bottom w:w="0" w:type="dxa"/>
            <w:right w:w="0" w:type="dxa"/>
          </w:tblCellMar>
        </w:tblPrEx>
        <w:trPr>
          <w:gridAfter w:val="2"/>
          <w:wAfter w:w="341" w:type="dxa"/>
          <w:trHeight w:val="1511"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176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其它资金:</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0</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其它资金:</w:t>
            </w:r>
          </w:p>
        </w:tc>
        <w:tc>
          <w:tcPr>
            <w:tcW w:w="212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color w:val="000000"/>
                <w:sz w:val="24"/>
                <w:szCs w:val="24"/>
              </w:rPr>
            </w:pPr>
          </w:p>
        </w:tc>
      </w:tr>
      <w:tr>
        <w:tblPrEx>
          <w:tblLayout w:type="fixed"/>
          <w:tblCellMar>
            <w:top w:w="0" w:type="dxa"/>
            <w:left w:w="0" w:type="dxa"/>
            <w:bottom w:w="0" w:type="dxa"/>
            <w:right w:w="0" w:type="dxa"/>
          </w:tblCellMar>
        </w:tblPrEx>
        <w:trPr>
          <w:gridAfter w:val="2"/>
          <w:wAfter w:w="341" w:type="dxa"/>
          <w:trHeight w:val="276" w:hRule="atLeast"/>
        </w:trPr>
        <w:tc>
          <w:tcPr>
            <w:tcW w:w="7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年度目标完成情况</w:t>
            </w:r>
          </w:p>
        </w:tc>
        <w:tc>
          <w:tcPr>
            <w:tcW w:w="3794"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预期目标</w:t>
            </w:r>
          </w:p>
        </w:tc>
        <w:tc>
          <w:tcPr>
            <w:tcW w:w="4086"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实际完成目标</w:t>
            </w:r>
          </w:p>
        </w:tc>
      </w:tr>
      <w:tr>
        <w:tblPrEx>
          <w:tblLayout w:type="fixed"/>
          <w:tblCellMar>
            <w:top w:w="0" w:type="dxa"/>
            <w:left w:w="0" w:type="dxa"/>
            <w:bottom w:w="0" w:type="dxa"/>
            <w:right w:w="0" w:type="dxa"/>
          </w:tblCellMar>
        </w:tblPrEx>
        <w:trPr>
          <w:gridAfter w:val="2"/>
          <w:wAfter w:w="341" w:type="dxa"/>
          <w:trHeight w:val="1159"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3794"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ind w:firstLine="480" w:firstLineChars="200"/>
              <w:textAlignment w:val="center"/>
              <w:rPr>
                <w:rFonts w:hint="eastAsia" w:ascii="仿宋" w:hAnsi="仿宋" w:eastAsia="仿宋" w:cs="仿宋"/>
                <w:sz w:val="24"/>
                <w:szCs w:val="24"/>
              </w:rPr>
            </w:pPr>
            <w:r>
              <w:rPr>
                <w:rFonts w:hint="eastAsia" w:ascii="仿宋" w:hAnsi="仿宋" w:eastAsia="仿宋" w:cs="仿宋"/>
                <w:sz w:val="24"/>
                <w:szCs w:val="24"/>
              </w:rPr>
              <w:t>预计完成砖、冷轧带肋钢筋、粉煤灰、水泥、人造板、课业薄册、石油气（液化气、天然气）、卫生纸和肥料产品监督抽查207批次。</w:t>
            </w:r>
          </w:p>
        </w:tc>
        <w:tc>
          <w:tcPr>
            <w:tcW w:w="4086"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ind w:firstLine="480" w:firstLineChars="200"/>
              <w:textAlignment w:val="center"/>
              <w:rPr>
                <w:rFonts w:hint="eastAsia" w:ascii="仿宋" w:hAnsi="仿宋" w:eastAsia="仿宋" w:cs="仿宋"/>
                <w:sz w:val="24"/>
                <w:szCs w:val="24"/>
              </w:rPr>
            </w:pPr>
            <w:r>
              <w:rPr>
                <w:rFonts w:hint="eastAsia" w:ascii="仿宋" w:hAnsi="仿宋" w:eastAsia="仿宋" w:cs="仿宋"/>
                <w:sz w:val="24"/>
                <w:szCs w:val="24"/>
              </w:rPr>
              <w:t>实际完成砖、冷轧带肋钢筋、粉煤灰、水泥、人造板、课业薄册、石油气（液化气、天然气）、卫生纸和肥料产品监督抽查203批次。</w:t>
            </w:r>
          </w:p>
        </w:tc>
      </w:tr>
      <w:tr>
        <w:tblPrEx>
          <w:tblLayout w:type="fixed"/>
          <w:tblCellMar>
            <w:top w:w="0" w:type="dxa"/>
            <w:left w:w="0" w:type="dxa"/>
            <w:bottom w:w="0" w:type="dxa"/>
            <w:right w:w="0" w:type="dxa"/>
          </w:tblCellMar>
        </w:tblPrEx>
        <w:trPr>
          <w:gridAfter w:val="2"/>
          <w:wAfter w:w="341" w:type="dxa"/>
          <w:trHeight w:val="1042" w:hRule="atLeast"/>
        </w:trPr>
        <w:tc>
          <w:tcPr>
            <w:tcW w:w="7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绩效指标完成情况</w:t>
            </w: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一级指标</w:t>
            </w:r>
          </w:p>
        </w:tc>
        <w:tc>
          <w:tcPr>
            <w:tcW w:w="13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二级指标</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三级指标</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预期指标值(包含数字及文字描述)</w:t>
            </w:r>
          </w:p>
        </w:tc>
        <w:tc>
          <w:tcPr>
            <w:tcW w:w="212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实际完成指标值(包含数字及文字描述)</w:t>
            </w:r>
          </w:p>
        </w:tc>
      </w:tr>
      <w:tr>
        <w:tblPrEx>
          <w:tblLayout w:type="fixed"/>
          <w:tblCellMar>
            <w:top w:w="0" w:type="dxa"/>
            <w:left w:w="0" w:type="dxa"/>
            <w:bottom w:w="0" w:type="dxa"/>
            <w:right w:w="0" w:type="dxa"/>
          </w:tblCellMar>
        </w:tblPrEx>
        <w:trPr>
          <w:gridAfter w:val="2"/>
          <w:wAfter w:w="341" w:type="dxa"/>
          <w:trHeight w:val="90"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项目完成指标</w:t>
            </w:r>
          </w:p>
        </w:tc>
        <w:tc>
          <w:tcPr>
            <w:tcW w:w="13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数量指标</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ind w:firstLine="480" w:firstLineChars="200"/>
              <w:textAlignment w:val="center"/>
              <w:rPr>
                <w:rFonts w:hint="eastAsia" w:ascii="仿宋" w:hAnsi="仿宋" w:eastAsia="仿宋" w:cs="仿宋"/>
                <w:sz w:val="24"/>
                <w:szCs w:val="24"/>
              </w:rPr>
            </w:pPr>
            <w:r>
              <w:rPr>
                <w:rFonts w:hint="eastAsia" w:ascii="仿宋" w:hAnsi="仿宋" w:eastAsia="仿宋" w:cs="仿宋"/>
                <w:sz w:val="24"/>
                <w:szCs w:val="24"/>
              </w:rPr>
              <w:t>预计完成砖、冷轧带肋钢筋、粉煤灰、水泥、人造板、课业薄册、石油气（液化气、天然气）、卫生纸和肥料产品监督抽查207批次。</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ind w:firstLine="480" w:firstLineChars="200"/>
              <w:textAlignment w:val="center"/>
              <w:rPr>
                <w:rFonts w:hint="eastAsia" w:ascii="仿宋" w:hAnsi="仿宋" w:eastAsia="仿宋" w:cs="仿宋"/>
                <w:sz w:val="24"/>
                <w:szCs w:val="24"/>
              </w:rPr>
            </w:pPr>
            <w:r>
              <w:rPr>
                <w:rFonts w:hint="eastAsia" w:ascii="仿宋" w:hAnsi="仿宋" w:eastAsia="仿宋" w:cs="仿宋"/>
                <w:sz w:val="24"/>
                <w:szCs w:val="24"/>
              </w:rPr>
              <w:t>预计完成207批次。</w:t>
            </w:r>
          </w:p>
        </w:tc>
        <w:tc>
          <w:tcPr>
            <w:tcW w:w="212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ind w:firstLine="480" w:firstLineChars="200"/>
              <w:textAlignment w:val="center"/>
              <w:rPr>
                <w:rFonts w:hint="eastAsia" w:ascii="仿宋" w:hAnsi="仿宋" w:eastAsia="仿宋" w:cs="仿宋"/>
                <w:sz w:val="24"/>
                <w:szCs w:val="24"/>
              </w:rPr>
            </w:pPr>
            <w:r>
              <w:rPr>
                <w:rFonts w:hint="eastAsia" w:ascii="仿宋" w:hAnsi="仿宋" w:eastAsia="仿宋" w:cs="仿宋"/>
                <w:sz w:val="24"/>
                <w:szCs w:val="24"/>
              </w:rPr>
              <w:t>实际完成抽检砖、冷轧带肋钢筋、粉煤灰、水泥、人造板、课业薄册、石油气（液化气、天然气）、卫生纸和肥料产品监督抽查203批次。</w:t>
            </w:r>
          </w:p>
        </w:tc>
      </w:tr>
      <w:tr>
        <w:tblPrEx>
          <w:tblLayout w:type="fixed"/>
          <w:tblCellMar>
            <w:top w:w="0" w:type="dxa"/>
            <w:left w:w="0" w:type="dxa"/>
            <w:bottom w:w="0" w:type="dxa"/>
            <w:right w:w="0" w:type="dxa"/>
          </w:tblCellMar>
        </w:tblPrEx>
        <w:trPr>
          <w:gridAfter w:val="2"/>
          <w:wAfter w:w="341" w:type="dxa"/>
          <w:trHeight w:val="2200"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项目完成指标</w:t>
            </w:r>
          </w:p>
        </w:tc>
        <w:tc>
          <w:tcPr>
            <w:tcW w:w="13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质量指标</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完成抽检率</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≧95%</w:t>
            </w:r>
          </w:p>
        </w:tc>
        <w:tc>
          <w:tcPr>
            <w:tcW w:w="212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98%</w:t>
            </w:r>
          </w:p>
        </w:tc>
      </w:tr>
      <w:tr>
        <w:tblPrEx>
          <w:tblLayout w:type="fixed"/>
          <w:tblCellMar>
            <w:top w:w="0" w:type="dxa"/>
            <w:left w:w="0" w:type="dxa"/>
            <w:bottom w:w="0" w:type="dxa"/>
            <w:right w:w="0" w:type="dxa"/>
          </w:tblCellMar>
        </w:tblPrEx>
        <w:trPr>
          <w:gridAfter w:val="2"/>
          <w:wAfter w:w="341" w:type="dxa"/>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项目完成指标</w:t>
            </w:r>
          </w:p>
        </w:tc>
        <w:tc>
          <w:tcPr>
            <w:tcW w:w="13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时效指标</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ind w:firstLine="480" w:firstLineChars="200"/>
              <w:textAlignment w:val="center"/>
              <w:rPr>
                <w:rFonts w:hint="eastAsia" w:ascii="仿宋" w:hAnsi="仿宋" w:eastAsia="仿宋" w:cs="仿宋"/>
                <w:sz w:val="24"/>
                <w:szCs w:val="24"/>
              </w:rPr>
            </w:pPr>
            <w:r>
              <w:rPr>
                <w:rFonts w:hint="eastAsia" w:ascii="仿宋" w:hAnsi="仿宋" w:eastAsia="仿宋" w:cs="仿宋"/>
                <w:sz w:val="24"/>
                <w:szCs w:val="24"/>
              </w:rPr>
              <w:t>完成时间</w:t>
            </w:r>
          </w:p>
          <w:p>
            <w:pPr>
              <w:widowControl/>
              <w:ind w:firstLine="240" w:firstLineChars="100"/>
              <w:textAlignment w:val="center"/>
              <w:rPr>
                <w:rFonts w:hint="eastAsia" w:ascii="仿宋" w:hAnsi="仿宋" w:eastAsia="仿宋" w:cs="仿宋"/>
                <w:sz w:val="24"/>
                <w:szCs w:val="24"/>
              </w:rPr>
            </w:pPr>
            <w:r>
              <w:rPr>
                <w:rFonts w:hint="eastAsia" w:ascii="仿宋" w:hAnsi="仿宋" w:eastAsia="仿宋" w:cs="仿宋"/>
                <w:sz w:val="24"/>
                <w:szCs w:val="24"/>
              </w:rPr>
              <w:t>资金使用进度</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ind w:firstLine="480" w:firstLineChars="200"/>
              <w:textAlignment w:val="center"/>
              <w:rPr>
                <w:rFonts w:hint="eastAsia" w:ascii="仿宋" w:hAnsi="仿宋" w:eastAsia="仿宋" w:cs="仿宋"/>
                <w:sz w:val="24"/>
                <w:szCs w:val="24"/>
              </w:rPr>
            </w:pPr>
            <w:r>
              <w:rPr>
                <w:rFonts w:hint="eastAsia" w:ascii="仿宋" w:hAnsi="仿宋" w:eastAsia="仿宋" w:cs="仿宋"/>
                <w:sz w:val="24"/>
                <w:szCs w:val="24"/>
              </w:rPr>
              <w:t>在实施方案规定时间节点内完成；按抽检进度使用资金。</w:t>
            </w:r>
          </w:p>
        </w:tc>
        <w:tc>
          <w:tcPr>
            <w:tcW w:w="212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ind w:firstLine="480" w:firstLineChars="200"/>
              <w:textAlignment w:val="center"/>
              <w:rPr>
                <w:rFonts w:hint="eastAsia" w:ascii="仿宋" w:hAnsi="仿宋" w:eastAsia="仿宋" w:cs="仿宋"/>
                <w:sz w:val="24"/>
                <w:szCs w:val="24"/>
              </w:rPr>
            </w:pPr>
            <w:r>
              <w:rPr>
                <w:rFonts w:hint="eastAsia" w:ascii="仿宋" w:hAnsi="仿宋" w:eastAsia="仿宋" w:cs="仿宋"/>
                <w:sz w:val="24"/>
                <w:szCs w:val="24"/>
              </w:rPr>
              <w:t>在实施方案规定时间节点内完成；按抽检进度使用资金。</w:t>
            </w:r>
          </w:p>
        </w:tc>
      </w:tr>
      <w:tr>
        <w:tblPrEx>
          <w:tblLayout w:type="fixed"/>
          <w:tblCellMar>
            <w:top w:w="0" w:type="dxa"/>
            <w:left w:w="0" w:type="dxa"/>
            <w:bottom w:w="0" w:type="dxa"/>
            <w:right w:w="0" w:type="dxa"/>
          </w:tblCellMar>
        </w:tblPrEx>
        <w:trPr>
          <w:gridAfter w:val="2"/>
          <w:wAfter w:w="341" w:type="dxa"/>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项目完成指标</w:t>
            </w:r>
          </w:p>
        </w:tc>
        <w:tc>
          <w:tcPr>
            <w:tcW w:w="13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成本指标</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ind w:firstLine="480" w:firstLineChars="200"/>
              <w:textAlignment w:val="center"/>
              <w:rPr>
                <w:rFonts w:hint="eastAsia" w:ascii="仿宋" w:hAnsi="仿宋" w:eastAsia="仿宋" w:cs="仿宋"/>
                <w:sz w:val="24"/>
                <w:szCs w:val="24"/>
              </w:rPr>
            </w:pPr>
            <w:r>
              <w:rPr>
                <w:rFonts w:hint="eastAsia" w:ascii="仿宋" w:hAnsi="仿宋" w:eastAsia="仿宋" w:cs="仿宋"/>
                <w:sz w:val="24"/>
                <w:szCs w:val="24"/>
              </w:rPr>
              <w:t>印刷费、邮电费、维护费、租赁费、专用材料费、劳务费、公务车辆运行维护费、差旅费、其他商品和服务支出。</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sz w:val="24"/>
                <w:szCs w:val="24"/>
              </w:rPr>
              <w:t>64.00万元</w:t>
            </w:r>
          </w:p>
        </w:tc>
        <w:tc>
          <w:tcPr>
            <w:tcW w:w="212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sz w:val="24"/>
                <w:szCs w:val="24"/>
              </w:rPr>
              <w:t>64.00万元</w:t>
            </w:r>
          </w:p>
        </w:tc>
      </w:tr>
      <w:tr>
        <w:tblPrEx>
          <w:tblLayout w:type="fixed"/>
          <w:tblCellMar>
            <w:top w:w="0" w:type="dxa"/>
            <w:left w:w="0" w:type="dxa"/>
            <w:bottom w:w="0" w:type="dxa"/>
            <w:right w:w="0" w:type="dxa"/>
          </w:tblCellMar>
        </w:tblPrEx>
        <w:trPr>
          <w:gridAfter w:val="2"/>
          <w:wAfter w:w="341" w:type="dxa"/>
          <w:trHeight w:val="143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效益指标</w:t>
            </w:r>
          </w:p>
        </w:tc>
        <w:tc>
          <w:tcPr>
            <w:tcW w:w="13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社会效益</w:t>
            </w:r>
          </w:p>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指标</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企业质量主体意识提升</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达到良好目标</w:t>
            </w:r>
          </w:p>
        </w:tc>
        <w:tc>
          <w:tcPr>
            <w:tcW w:w="212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达到良好目标</w:t>
            </w:r>
          </w:p>
        </w:tc>
      </w:tr>
      <w:tr>
        <w:tblPrEx>
          <w:tblLayout w:type="fixed"/>
          <w:tblCellMar>
            <w:top w:w="0" w:type="dxa"/>
            <w:left w:w="0" w:type="dxa"/>
            <w:bottom w:w="0" w:type="dxa"/>
            <w:right w:w="0" w:type="dxa"/>
          </w:tblCellMar>
        </w:tblPrEx>
        <w:trPr>
          <w:gridAfter w:val="2"/>
          <w:wAfter w:w="341" w:type="dxa"/>
          <w:trHeight w:val="1297"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效益指标</w:t>
            </w:r>
          </w:p>
        </w:tc>
        <w:tc>
          <w:tcPr>
            <w:tcW w:w="13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可持续影响</w:t>
            </w:r>
          </w:p>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指标</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产品质量提升情况</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良好</w:t>
            </w:r>
          </w:p>
        </w:tc>
        <w:tc>
          <w:tcPr>
            <w:tcW w:w="212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良好</w:t>
            </w:r>
          </w:p>
        </w:tc>
      </w:tr>
      <w:tr>
        <w:tblPrEx>
          <w:tblLayout w:type="fixed"/>
          <w:tblCellMar>
            <w:top w:w="0" w:type="dxa"/>
            <w:left w:w="0" w:type="dxa"/>
            <w:bottom w:w="0" w:type="dxa"/>
            <w:right w:w="0" w:type="dxa"/>
          </w:tblCellMar>
        </w:tblPrEx>
        <w:trPr>
          <w:gridAfter w:val="2"/>
          <w:wAfter w:w="341" w:type="dxa"/>
          <w:trHeight w:val="1050"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满意度指标</w:t>
            </w:r>
          </w:p>
        </w:tc>
        <w:tc>
          <w:tcPr>
            <w:tcW w:w="13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服务对象满意度</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服务对象满意度</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≧95%</w:t>
            </w:r>
          </w:p>
        </w:tc>
        <w:tc>
          <w:tcPr>
            <w:tcW w:w="212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≧95%</w:t>
            </w:r>
          </w:p>
        </w:tc>
      </w:tr>
      <w:tr>
        <w:tblPrEx>
          <w:tblLayout w:type="fixed"/>
          <w:tblCellMar>
            <w:top w:w="0" w:type="dxa"/>
            <w:left w:w="0" w:type="dxa"/>
            <w:bottom w:w="0" w:type="dxa"/>
            <w:right w:w="0" w:type="dxa"/>
          </w:tblCellMar>
        </w:tblPrEx>
        <w:trPr>
          <w:gridAfter w:val="2"/>
          <w:wAfter w:w="341" w:type="dxa"/>
          <w:trHeight w:val="1034" w:hRule="atLeast"/>
        </w:trPr>
        <w:tc>
          <w:tcPr>
            <w:tcW w:w="8611" w:type="dxa"/>
            <w:gridSpan w:val="7"/>
            <w:tcBorders>
              <w:top w:val="nil"/>
              <w:left w:val="nil"/>
              <w:bottom w:val="nil"/>
              <w:right w:val="nil"/>
            </w:tcBorders>
            <w:tcMar>
              <w:top w:w="15" w:type="dxa"/>
              <w:left w:w="15" w:type="dxa"/>
              <w:bottom w:w="0" w:type="dxa"/>
              <w:right w:w="15" w:type="dxa"/>
            </w:tcMar>
            <w:vAlign w:val="center"/>
          </w:tcPr>
          <w:p>
            <w:pPr>
              <w:pStyle w:val="30"/>
              <w:widowControl/>
              <w:ind w:firstLine="0" w:firstLineChars="0"/>
              <w:jc w:val="center"/>
              <w:textAlignment w:val="center"/>
              <w:rPr>
                <w:rFonts w:hint="eastAsia" w:ascii="黑体" w:hAnsi="黑体" w:eastAsia="黑体" w:cs="宋体"/>
                <w:color w:val="000000"/>
                <w:kern w:val="0"/>
                <w:sz w:val="36"/>
                <w:szCs w:val="36"/>
              </w:rPr>
            </w:pPr>
          </w:p>
          <w:p>
            <w:pPr>
              <w:pStyle w:val="30"/>
              <w:widowControl/>
              <w:ind w:firstLine="0" w:firstLineChars="0"/>
              <w:jc w:val="center"/>
              <w:textAlignment w:val="center"/>
              <w:rPr>
                <w:rFonts w:ascii="宋体"/>
                <w:color w:val="000000"/>
                <w:sz w:val="36"/>
                <w:szCs w:val="36"/>
              </w:rPr>
            </w:pPr>
            <w:r>
              <w:rPr>
                <w:rFonts w:hint="eastAsia" w:ascii="黑体" w:hAnsi="黑体" w:eastAsia="黑体" w:cs="宋体"/>
                <w:color w:val="000000"/>
                <w:kern w:val="0"/>
                <w:sz w:val="36"/>
                <w:szCs w:val="36"/>
              </w:rPr>
              <w:t>项目支出绩效目标完成情况表</w:t>
            </w:r>
            <w:r>
              <w:rPr>
                <w:rFonts w:ascii="宋体"/>
                <w:b/>
                <w:bCs/>
                <w:color w:val="000000"/>
                <w:kern w:val="0"/>
                <w:sz w:val="36"/>
                <w:szCs w:val="36"/>
              </w:rPr>
              <w:br w:type="textWrapping"/>
            </w:r>
            <w:r>
              <w:rPr>
                <w:rFonts w:ascii="宋体" w:hAnsi="宋体"/>
                <w:color w:val="000000"/>
                <w:kern w:val="0"/>
                <w:sz w:val="36"/>
                <w:szCs w:val="36"/>
              </w:rPr>
              <w:t>(2018</w:t>
            </w:r>
            <w:r>
              <w:rPr>
                <w:rFonts w:hint="eastAsia" w:ascii="宋体" w:hAnsi="宋体"/>
                <w:color w:val="000000"/>
                <w:kern w:val="0"/>
                <w:sz w:val="36"/>
                <w:szCs w:val="36"/>
              </w:rPr>
              <w:t>年度</w:t>
            </w:r>
            <w:r>
              <w:rPr>
                <w:rFonts w:ascii="宋体" w:hAnsi="宋体"/>
                <w:color w:val="000000"/>
                <w:kern w:val="0"/>
                <w:sz w:val="36"/>
                <w:szCs w:val="36"/>
              </w:rPr>
              <w:t>)</w:t>
            </w:r>
          </w:p>
        </w:tc>
      </w:tr>
      <w:tr>
        <w:tblPrEx>
          <w:tblLayout w:type="fixed"/>
          <w:tblCellMar>
            <w:top w:w="0" w:type="dxa"/>
            <w:left w:w="0" w:type="dxa"/>
            <w:bottom w:w="0" w:type="dxa"/>
            <w:right w:w="0" w:type="dxa"/>
          </w:tblCellMar>
        </w:tblPrEx>
        <w:trPr>
          <w:gridAfter w:val="2"/>
          <w:wAfter w:w="341" w:type="dxa"/>
          <w:trHeight w:val="276" w:hRule="atLeast"/>
        </w:trPr>
        <w:tc>
          <w:tcPr>
            <w:tcW w:w="2491"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项目名称</w:t>
            </w:r>
          </w:p>
        </w:tc>
        <w:tc>
          <w:tcPr>
            <w:tcW w:w="6120"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工业产品（含食品相关产品）风险监测</w:t>
            </w:r>
          </w:p>
        </w:tc>
      </w:tr>
      <w:tr>
        <w:tblPrEx>
          <w:tblLayout w:type="fixed"/>
          <w:tblCellMar>
            <w:top w:w="0" w:type="dxa"/>
            <w:left w:w="0" w:type="dxa"/>
            <w:bottom w:w="0" w:type="dxa"/>
            <w:right w:w="0" w:type="dxa"/>
          </w:tblCellMar>
        </w:tblPrEx>
        <w:trPr>
          <w:gridAfter w:val="2"/>
          <w:wAfter w:w="341" w:type="dxa"/>
          <w:trHeight w:val="276" w:hRule="atLeast"/>
        </w:trPr>
        <w:tc>
          <w:tcPr>
            <w:tcW w:w="2491"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预算单位</w:t>
            </w:r>
          </w:p>
        </w:tc>
        <w:tc>
          <w:tcPr>
            <w:tcW w:w="6120"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广元市质量技术监督局</w:t>
            </w:r>
          </w:p>
        </w:tc>
      </w:tr>
      <w:tr>
        <w:tblPrEx>
          <w:tblLayout w:type="fixed"/>
          <w:tblCellMar>
            <w:top w:w="0" w:type="dxa"/>
            <w:left w:w="0" w:type="dxa"/>
            <w:bottom w:w="0" w:type="dxa"/>
            <w:right w:w="0" w:type="dxa"/>
          </w:tblCellMar>
        </w:tblPrEx>
        <w:trPr>
          <w:gridAfter w:val="2"/>
          <w:wAfter w:w="341" w:type="dxa"/>
          <w:trHeight w:val="276" w:hRule="atLeast"/>
        </w:trPr>
        <w:tc>
          <w:tcPr>
            <w:tcW w:w="7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预算执行情况(万元)</w:t>
            </w:r>
          </w:p>
        </w:tc>
        <w:tc>
          <w:tcPr>
            <w:tcW w:w="176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预算数:</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41.40</w:t>
            </w:r>
          </w:p>
        </w:tc>
        <w:tc>
          <w:tcPr>
            <w:tcW w:w="2159"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执行数:</w:t>
            </w:r>
          </w:p>
        </w:tc>
        <w:tc>
          <w:tcPr>
            <w:tcW w:w="1927"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41.40</w:t>
            </w:r>
          </w:p>
        </w:tc>
      </w:tr>
      <w:tr>
        <w:tblPrEx>
          <w:tblLayout w:type="fixed"/>
          <w:tblCellMar>
            <w:top w:w="0" w:type="dxa"/>
            <w:left w:w="0" w:type="dxa"/>
            <w:bottom w:w="0" w:type="dxa"/>
            <w:right w:w="0" w:type="dxa"/>
          </w:tblCellMar>
        </w:tblPrEx>
        <w:trPr>
          <w:gridAfter w:val="2"/>
          <w:wAfter w:w="341" w:type="dxa"/>
          <w:trHeight w:val="276"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176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其中-财政拨款:</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41.40</w:t>
            </w:r>
          </w:p>
        </w:tc>
        <w:tc>
          <w:tcPr>
            <w:tcW w:w="2159"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其中-财政拨款:</w:t>
            </w:r>
          </w:p>
        </w:tc>
        <w:tc>
          <w:tcPr>
            <w:tcW w:w="1927"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41.40</w:t>
            </w:r>
          </w:p>
        </w:tc>
      </w:tr>
      <w:tr>
        <w:tblPrEx>
          <w:tblLayout w:type="fixed"/>
          <w:tblCellMar>
            <w:top w:w="0" w:type="dxa"/>
            <w:left w:w="0" w:type="dxa"/>
            <w:bottom w:w="0" w:type="dxa"/>
            <w:right w:w="0" w:type="dxa"/>
          </w:tblCellMar>
        </w:tblPrEx>
        <w:trPr>
          <w:gridAfter w:val="2"/>
          <w:wAfter w:w="341" w:type="dxa"/>
          <w:trHeight w:val="1511"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176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其它资金:</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0</w:t>
            </w:r>
          </w:p>
        </w:tc>
        <w:tc>
          <w:tcPr>
            <w:tcW w:w="2159"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其它资金:</w:t>
            </w:r>
          </w:p>
        </w:tc>
        <w:tc>
          <w:tcPr>
            <w:tcW w:w="1927"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color w:val="000000"/>
                <w:sz w:val="24"/>
                <w:szCs w:val="24"/>
              </w:rPr>
            </w:pPr>
          </w:p>
        </w:tc>
      </w:tr>
      <w:tr>
        <w:tblPrEx>
          <w:tblLayout w:type="fixed"/>
          <w:tblCellMar>
            <w:top w:w="0" w:type="dxa"/>
            <w:left w:w="0" w:type="dxa"/>
            <w:bottom w:w="0" w:type="dxa"/>
            <w:right w:w="0" w:type="dxa"/>
          </w:tblCellMar>
        </w:tblPrEx>
        <w:trPr>
          <w:gridAfter w:val="2"/>
          <w:wAfter w:w="341" w:type="dxa"/>
          <w:trHeight w:val="276" w:hRule="atLeast"/>
        </w:trPr>
        <w:tc>
          <w:tcPr>
            <w:tcW w:w="7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年度目标完成情况</w:t>
            </w:r>
          </w:p>
        </w:tc>
        <w:tc>
          <w:tcPr>
            <w:tcW w:w="3794"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预期目标</w:t>
            </w:r>
          </w:p>
        </w:tc>
        <w:tc>
          <w:tcPr>
            <w:tcW w:w="4086"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实际完成目标</w:t>
            </w:r>
          </w:p>
        </w:tc>
      </w:tr>
      <w:tr>
        <w:tblPrEx>
          <w:tblLayout w:type="fixed"/>
          <w:tblCellMar>
            <w:top w:w="0" w:type="dxa"/>
            <w:left w:w="0" w:type="dxa"/>
            <w:bottom w:w="0" w:type="dxa"/>
            <w:right w:w="0" w:type="dxa"/>
          </w:tblCellMar>
        </w:tblPrEx>
        <w:trPr>
          <w:gridAfter w:val="2"/>
          <w:wAfter w:w="341" w:type="dxa"/>
          <w:trHeight w:val="1159"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3794"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ind w:firstLine="480" w:firstLineChars="200"/>
              <w:jc w:val="left"/>
              <w:textAlignment w:val="center"/>
              <w:rPr>
                <w:rFonts w:hint="eastAsia" w:ascii="仿宋" w:hAnsi="仿宋" w:eastAsia="仿宋" w:cs="仿宋"/>
                <w:sz w:val="24"/>
                <w:szCs w:val="24"/>
              </w:rPr>
            </w:pPr>
            <w:r>
              <w:rPr>
                <w:rFonts w:hint="eastAsia" w:ascii="仿宋" w:hAnsi="仿宋" w:eastAsia="仿宋" w:cs="仿宋"/>
                <w:kern w:val="0"/>
                <w:sz w:val="24"/>
                <w:szCs w:val="24"/>
              </w:rPr>
              <w:t>食品用纸碗120批次，一次性筷子120批次，塑料编织袋100批次。</w:t>
            </w:r>
          </w:p>
        </w:tc>
        <w:tc>
          <w:tcPr>
            <w:tcW w:w="4086"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ind w:firstLine="480" w:firstLineChars="200"/>
              <w:jc w:val="left"/>
              <w:textAlignment w:val="center"/>
              <w:rPr>
                <w:rFonts w:hint="eastAsia" w:ascii="仿宋" w:hAnsi="仿宋" w:eastAsia="仿宋" w:cs="仿宋"/>
                <w:sz w:val="24"/>
                <w:szCs w:val="24"/>
              </w:rPr>
            </w:pPr>
            <w:r>
              <w:rPr>
                <w:rFonts w:hint="eastAsia" w:ascii="仿宋" w:hAnsi="仿宋" w:eastAsia="仿宋" w:cs="仿宋"/>
                <w:kern w:val="0"/>
                <w:sz w:val="24"/>
                <w:szCs w:val="24"/>
              </w:rPr>
              <w:t>食品用纸碗120批次，一次性筷子120批次，塑料编织袋100批次。</w:t>
            </w:r>
          </w:p>
        </w:tc>
      </w:tr>
      <w:tr>
        <w:tblPrEx>
          <w:tblLayout w:type="fixed"/>
          <w:tblCellMar>
            <w:top w:w="0" w:type="dxa"/>
            <w:left w:w="0" w:type="dxa"/>
            <w:bottom w:w="0" w:type="dxa"/>
            <w:right w:w="0" w:type="dxa"/>
          </w:tblCellMar>
        </w:tblPrEx>
        <w:trPr>
          <w:gridAfter w:val="2"/>
          <w:wAfter w:w="341" w:type="dxa"/>
          <w:trHeight w:val="1042" w:hRule="atLeast"/>
        </w:trPr>
        <w:tc>
          <w:tcPr>
            <w:tcW w:w="7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绩效指标完成情况</w:t>
            </w: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一级指标</w:t>
            </w:r>
          </w:p>
        </w:tc>
        <w:tc>
          <w:tcPr>
            <w:tcW w:w="13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二级指标</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三级指标</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预期指标值(包含数字及文字描述)</w:t>
            </w:r>
          </w:p>
        </w:tc>
        <w:tc>
          <w:tcPr>
            <w:tcW w:w="212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实际完成指标值(包含数字及文字描述)</w:t>
            </w:r>
          </w:p>
        </w:tc>
      </w:tr>
      <w:tr>
        <w:tblPrEx>
          <w:tblLayout w:type="fixed"/>
          <w:tblCellMar>
            <w:top w:w="0" w:type="dxa"/>
            <w:left w:w="0" w:type="dxa"/>
            <w:bottom w:w="0" w:type="dxa"/>
            <w:right w:w="0" w:type="dxa"/>
          </w:tblCellMar>
        </w:tblPrEx>
        <w:trPr>
          <w:gridAfter w:val="2"/>
          <w:wAfter w:w="341" w:type="dxa"/>
          <w:trHeight w:val="953"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项目完成指标</w:t>
            </w:r>
          </w:p>
        </w:tc>
        <w:tc>
          <w:tcPr>
            <w:tcW w:w="13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sz w:val="24"/>
                <w:szCs w:val="24"/>
              </w:rPr>
              <w:t>数量指标</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 xml:space="preserve">    食品用纸碗120批次，一次性筷子120批次，塑料编织袋100批次。</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hint="eastAsia" w:ascii="仿宋" w:hAnsi="仿宋" w:eastAsia="仿宋" w:cs="仿宋"/>
                <w:sz w:val="24"/>
                <w:szCs w:val="24"/>
              </w:rPr>
            </w:pPr>
            <w:r>
              <w:rPr>
                <w:rFonts w:hint="eastAsia" w:ascii="仿宋" w:hAnsi="仿宋" w:eastAsia="仿宋" w:cs="仿宋"/>
                <w:sz w:val="24"/>
                <w:szCs w:val="24"/>
              </w:rPr>
              <w:t xml:space="preserve">    预计完成340批次</w:t>
            </w:r>
          </w:p>
        </w:tc>
        <w:tc>
          <w:tcPr>
            <w:tcW w:w="212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sz w:val="24"/>
                <w:szCs w:val="24"/>
              </w:rPr>
              <w:t>实际完成340批次</w:t>
            </w:r>
          </w:p>
        </w:tc>
      </w:tr>
      <w:tr>
        <w:tblPrEx>
          <w:tblLayout w:type="fixed"/>
          <w:tblCellMar>
            <w:top w:w="0" w:type="dxa"/>
            <w:left w:w="0" w:type="dxa"/>
            <w:bottom w:w="0" w:type="dxa"/>
            <w:right w:w="0" w:type="dxa"/>
          </w:tblCellMar>
        </w:tblPrEx>
        <w:trPr>
          <w:gridAfter w:val="2"/>
          <w:wAfter w:w="341" w:type="dxa"/>
          <w:trHeight w:val="1297"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项目完成指标</w:t>
            </w:r>
          </w:p>
        </w:tc>
        <w:tc>
          <w:tcPr>
            <w:tcW w:w="13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质量指标</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sz w:val="24"/>
                <w:szCs w:val="24"/>
              </w:rPr>
              <w:t>完成抽检率</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sz w:val="24"/>
                <w:szCs w:val="24"/>
              </w:rPr>
              <w:t>≧95%</w:t>
            </w:r>
          </w:p>
        </w:tc>
        <w:tc>
          <w:tcPr>
            <w:tcW w:w="212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sz w:val="24"/>
                <w:szCs w:val="24"/>
              </w:rPr>
              <w:t xml:space="preserve">100% </w:t>
            </w:r>
          </w:p>
        </w:tc>
      </w:tr>
      <w:tr>
        <w:tblPrEx>
          <w:tblLayout w:type="fixed"/>
          <w:tblCellMar>
            <w:top w:w="0" w:type="dxa"/>
            <w:left w:w="0" w:type="dxa"/>
            <w:bottom w:w="0" w:type="dxa"/>
            <w:right w:w="0" w:type="dxa"/>
          </w:tblCellMar>
        </w:tblPrEx>
        <w:trPr>
          <w:gridAfter w:val="2"/>
          <w:wAfter w:w="341" w:type="dxa"/>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项目完成指标</w:t>
            </w:r>
          </w:p>
        </w:tc>
        <w:tc>
          <w:tcPr>
            <w:tcW w:w="13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时效指标</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sz w:val="24"/>
                <w:szCs w:val="24"/>
              </w:rPr>
              <w:t>完成时间</w:t>
            </w:r>
          </w:p>
          <w:p>
            <w:pPr>
              <w:widowControl/>
              <w:jc w:val="center"/>
              <w:textAlignment w:val="center"/>
              <w:rPr>
                <w:rFonts w:hint="eastAsia" w:ascii="仿宋" w:hAnsi="仿宋" w:eastAsia="仿宋" w:cs="仿宋"/>
                <w:sz w:val="24"/>
                <w:szCs w:val="24"/>
              </w:rPr>
            </w:pPr>
            <w:r>
              <w:rPr>
                <w:rFonts w:hint="eastAsia" w:ascii="仿宋" w:hAnsi="仿宋" w:eastAsia="仿宋" w:cs="仿宋"/>
                <w:sz w:val="24"/>
                <w:szCs w:val="24"/>
              </w:rPr>
              <w:t>资金使用进度</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hint="eastAsia" w:ascii="仿宋" w:hAnsi="仿宋" w:eastAsia="仿宋" w:cs="仿宋"/>
                <w:sz w:val="24"/>
                <w:szCs w:val="24"/>
              </w:rPr>
            </w:pPr>
            <w:r>
              <w:rPr>
                <w:rFonts w:hint="eastAsia" w:ascii="仿宋" w:hAnsi="仿宋" w:eastAsia="仿宋" w:cs="仿宋"/>
                <w:sz w:val="24"/>
                <w:szCs w:val="24"/>
              </w:rPr>
              <w:t xml:space="preserve">    在实施方案规定时间节点内完成；按抽检进度使用资金。</w:t>
            </w:r>
          </w:p>
        </w:tc>
        <w:tc>
          <w:tcPr>
            <w:tcW w:w="212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ind w:firstLine="480" w:firstLineChars="200"/>
              <w:jc w:val="left"/>
              <w:textAlignment w:val="center"/>
              <w:rPr>
                <w:rFonts w:hint="eastAsia" w:ascii="仿宋" w:hAnsi="仿宋" w:eastAsia="仿宋" w:cs="仿宋"/>
                <w:sz w:val="24"/>
                <w:szCs w:val="24"/>
              </w:rPr>
            </w:pPr>
            <w:r>
              <w:rPr>
                <w:rFonts w:hint="eastAsia" w:ascii="仿宋" w:hAnsi="仿宋" w:eastAsia="仿宋" w:cs="仿宋"/>
                <w:sz w:val="24"/>
                <w:szCs w:val="24"/>
              </w:rPr>
              <w:t>在实施方案规定时间节点内完成；并按抽检进度使用资金。</w:t>
            </w:r>
          </w:p>
        </w:tc>
      </w:tr>
      <w:tr>
        <w:tblPrEx>
          <w:tblLayout w:type="fixed"/>
          <w:tblCellMar>
            <w:top w:w="0" w:type="dxa"/>
            <w:left w:w="0" w:type="dxa"/>
            <w:bottom w:w="0" w:type="dxa"/>
            <w:right w:w="0" w:type="dxa"/>
          </w:tblCellMar>
        </w:tblPrEx>
        <w:trPr>
          <w:gridAfter w:val="2"/>
          <w:wAfter w:w="341" w:type="dxa"/>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项目完成指标</w:t>
            </w:r>
          </w:p>
        </w:tc>
        <w:tc>
          <w:tcPr>
            <w:tcW w:w="13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成本指标</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ind w:firstLine="480" w:firstLineChars="200"/>
              <w:jc w:val="left"/>
              <w:textAlignment w:val="center"/>
              <w:rPr>
                <w:rFonts w:hint="eastAsia" w:ascii="仿宋" w:hAnsi="仿宋" w:eastAsia="仿宋" w:cs="仿宋"/>
                <w:sz w:val="24"/>
                <w:szCs w:val="24"/>
              </w:rPr>
            </w:pPr>
            <w:r>
              <w:rPr>
                <w:rFonts w:hint="eastAsia" w:ascii="仿宋" w:hAnsi="仿宋" w:eastAsia="仿宋" w:cs="仿宋"/>
                <w:sz w:val="24"/>
                <w:szCs w:val="24"/>
              </w:rPr>
              <w:t>印刷费、邮电费、维护费、租赁费、专用材料费、劳务费、公务车辆运行维护费、差旅费、其他商品和服务支出</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sz w:val="24"/>
                <w:szCs w:val="24"/>
              </w:rPr>
              <w:t>41.40万元</w:t>
            </w:r>
          </w:p>
        </w:tc>
        <w:tc>
          <w:tcPr>
            <w:tcW w:w="212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sz w:val="24"/>
                <w:szCs w:val="24"/>
              </w:rPr>
              <w:t>41.40万元</w:t>
            </w:r>
          </w:p>
        </w:tc>
      </w:tr>
      <w:tr>
        <w:tblPrEx>
          <w:tblLayout w:type="fixed"/>
          <w:tblCellMar>
            <w:top w:w="0" w:type="dxa"/>
            <w:left w:w="0" w:type="dxa"/>
            <w:bottom w:w="0" w:type="dxa"/>
            <w:right w:w="0" w:type="dxa"/>
          </w:tblCellMar>
        </w:tblPrEx>
        <w:trPr>
          <w:gridAfter w:val="2"/>
          <w:wAfter w:w="341" w:type="dxa"/>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效益指标</w:t>
            </w:r>
          </w:p>
        </w:tc>
        <w:tc>
          <w:tcPr>
            <w:tcW w:w="13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社会效益</w:t>
            </w:r>
          </w:p>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指标</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sz w:val="24"/>
                <w:szCs w:val="24"/>
              </w:rPr>
              <w:t>企业质量主体意识提升</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sz w:val="24"/>
                <w:szCs w:val="24"/>
              </w:rPr>
              <w:t>达到良好目标</w:t>
            </w:r>
          </w:p>
        </w:tc>
        <w:tc>
          <w:tcPr>
            <w:tcW w:w="212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sz w:val="24"/>
                <w:szCs w:val="24"/>
              </w:rPr>
              <w:t>达到良好目标</w:t>
            </w:r>
          </w:p>
        </w:tc>
      </w:tr>
      <w:tr>
        <w:tblPrEx>
          <w:tblLayout w:type="fixed"/>
          <w:tblCellMar>
            <w:top w:w="0" w:type="dxa"/>
            <w:left w:w="0" w:type="dxa"/>
            <w:bottom w:w="0" w:type="dxa"/>
            <w:right w:w="0" w:type="dxa"/>
          </w:tblCellMar>
        </w:tblPrEx>
        <w:trPr>
          <w:gridAfter w:val="2"/>
          <w:wAfter w:w="341" w:type="dxa"/>
          <w:trHeight w:val="1297"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效益指标</w:t>
            </w:r>
          </w:p>
        </w:tc>
        <w:tc>
          <w:tcPr>
            <w:tcW w:w="13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可持续影响</w:t>
            </w:r>
          </w:p>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指标</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产品质量提升情况</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良好</w:t>
            </w:r>
          </w:p>
        </w:tc>
        <w:tc>
          <w:tcPr>
            <w:tcW w:w="212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良好</w:t>
            </w:r>
          </w:p>
        </w:tc>
      </w:tr>
      <w:tr>
        <w:tblPrEx>
          <w:tblLayout w:type="fixed"/>
          <w:tblCellMar>
            <w:top w:w="0" w:type="dxa"/>
            <w:left w:w="0" w:type="dxa"/>
            <w:bottom w:w="0" w:type="dxa"/>
            <w:right w:w="0" w:type="dxa"/>
          </w:tblCellMar>
        </w:tblPrEx>
        <w:trPr>
          <w:gridAfter w:val="2"/>
          <w:wAfter w:w="341" w:type="dxa"/>
          <w:trHeight w:val="1050"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满意度指标</w:t>
            </w:r>
          </w:p>
        </w:tc>
        <w:tc>
          <w:tcPr>
            <w:tcW w:w="13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服务对象满意度</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服务对象满意度</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≧95%</w:t>
            </w:r>
          </w:p>
        </w:tc>
        <w:tc>
          <w:tcPr>
            <w:tcW w:w="212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≧95%</w:t>
            </w:r>
          </w:p>
        </w:tc>
      </w:tr>
      <w:tr>
        <w:tblPrEx>
          <w:tblLayout w:type="fixed"/>
          <w:tblCellMar>
            <w:top w:w="0" w:type="dxa"/>
            <w:left w:w="0" w:type="dxa"/>
            <w:bottom w:w="0" w:type="dxa"/>
            <w:right w:w="0" w:type="dxa"/>
          </w:tblCellMar>
        </w:tblPrEx>
        <w:trPr>
          <w:gridAfter w:val="1"/>
          <w:wAfter w:w="326" w:type="dxa"/>
          <w:trHeight w:val="1034" w:hRule="atLeast"/>
        </w:trPr>
        <w:tc>
          <w:tcPr>
            <w:tcW w:w="8626" w:type="dxa"/>
            <w:gridSpan w:val="8"/>
            <w:tcBorders>
              <w:top w:val="nil"/>
              <w:left w:val="nil"/>
              <w:bottom w:val="nil"/>
              <w:right w:val="nil"/>
            </w:tcBorders>
            <w:tcMar>
              <w:top w:w="15" w:type="dxa"/>
              <w:left w:w="15" w:type="dxa"/>
              <w:bottom w:w="0" w:type="dxa"/>
              <w:right w:w="15" w:type="dxa"/>
            </w:tcMar>
            <w:vAlign w:val="center"/>
          </w:tcPr>
          <w:p>
            <w:pPr>
              <w:pStyle w:val="30"/>
              <w:widowControl/>
              <w:ind w:firstLine="0" w:firstLineChars="0"/>
              <w:jc w:val="center"/>
              <w:textAlignment w:val="center"/>
              <w:rPr>
                <w:rFonts w:hint="eastAsia" w:ascii="黑体" w:hAnsi="黑体" w:eastAsia="黑体" w:cs="宋体"/>
                <w:color w:val="000000"/>
                <w:kern w:val="0"/>
                <w:sz w:val="36"/>
                <w:szCs w:val="36"/>
              </w:rPr>
            </w:pPr>
          </w:p>
          <w:p>
            <w:pPr>
              <w:pStyle w:val="30"/>
              <w:widowControl/>
              <w:ind w:firstLine="0" w:firstLineChars="0"/>
              <w:jc w:val="center"/>
              <w:textAlignment w:val="center"/>
              <w:rPr>
                <w:rFonts w:ascii="宋体"/>
                <w:color w:val="000000"/>
                <w:sz w:val="36"/>
                <w:szCs w:val="36"/>
              </w:rPr>
            </w:pPr>
            <w:r>
              <w:rPr>
                <w:rFonts w:hint="eastAsia" w:ascii="黑体" w:hAnsi="黑体" w:eastAsia="黑体" w:cs="宋体"/>
                <w:color w:val="000000"/>
                <w:kern w:val="0"/>
                <w:sz w:val="36"/>
                <w:szCs w:val="36"/>
              </w:rPr>
              <w:t>项目支出绩效目标完成情况表</w:t>
            </w:r>
            <w:r>
              <w:rPr>
                <w:rFonts w:ascii="宋体"/>
                <w:b/>
                <w:bCs/>
                <w:color w:val="000000"/>
                <w:kern w:val="0"/>
                <w:sz w:val="36"/>
                <w:szCs w:val="36"/>
              </w:rPr>
              <w:br w:type="textWrapping"/>
            </w:r>
            <w:r>
              <w:rPr>
                <w:rFonts w:ascii="宋体" w:hAnsi="宋体"/>
                <w:color w:val="000000"/>
                <w:kern w:val="0"/>
                <w:sz w:val="36"/>
                <w:szCs w:val="36"/>
              </w:rPr>
              <w:t>(2018</w:t>
            </w:r>
            <w:r>
              <w:rPr>
                <w:rFonts w:hint="eastAsia" w:ascii="宋体" w:hAnsi="宋体"/>
                <w:color w:val="000000"/>
                <w:kern w:val="0"/>
                <w:sz w:val="36"/>
                <w:szCs w:val="36"/>
              </w:rPr>
              <w:t>年度</w:t>
            </w:r>
            <w:r>
              <w:rPr>
                <w:rFonts w:ascii="宋体" w:hAnsi="宋体"/>
                <w:color w:val="000000"/>
                <w:kern w:val="0"/>
                <w:sz w:val="36"/>
                <w:szCs w:val="36"/>
              </w:rPr>
              <w:t>)</w:t>
            </w:r>
          </w:p>
        </w:tc>
      </w:tr>
      <w:tr>
        <w:tblPrEx>
          <w:tblLayout w:type="fixed"/>
          <w:tblCellMar>
            <w:top w:w="0" w:type="dxa"/>
            <w:left w:w="0" w:type="dxa"/>
            <w:bottom w:w="0" w:type="dxa"/>
            <w:right w:w="0" w:type="dxa"/>
          </w:tblCellMar>
        </w:tblPrEx>
        <w:trPr>
          <w:gridAfter w:val="1"/>
          <w:wAfter w:w="326" w:type="dxa"/>
          <w:trHeight w:val="276" w:hRule="atLeast"/>
        </w:trPr>
        <w:tc>
          <w:tcPr>
            <w:tcW w:w="2491"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项目名称</w:t>
            </w:r>
          </w:p>
        </w:tc>
        <w:tc>
          <w:tcPr>
            <w:tcW w:w="6135" w:type="dxa"/>
            <w:gridSpan w:val="5"/>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地标产品监督抽查工作</w:t>
            </w:r>
          </w:p>
        </w:tc>
      </w:tr>
      <w:tr>
        <w:tblPrEx>
          <w:tblLayout w:type="fixed"/>
          <w:tblCellMar>
            <w:top w:w="0" w:type="dxa"/>
            <w:left w:w="0" w:type="dxa"/>
            <w:bottom w:w="0" w:type="dxa"/>
            <w:right w:w="0" w:type="dxa"/>
          </w:tblCellMar>
        </w:tblPrEx>
        <w:trPr>
          <w:gridAfter w:val="1"/>
          <w:wAfter w:w="326" w:type="dxa"/>
          <w:trHeight w:val="276" w:hRule="atLeast"/>
        </w:trPr>
        <w:tc>
          <w:tcPr>
            <w:tcW w:w="2491"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预算单位</w:t>
            </w:r>
          </w:p>
        </w:tc>
        <w:tc>
          <w:tcPr>
            <w:tcW w:w="6135" w:type="dxa"/>
            <w:gridSpan w:val="5"/>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广元市质量技术监督局</w:t>
            </w:r>
          </w:p>
        </w:tc>
      </w:tr>
      <w:tr>
        <w:tblPrEx>
          <w:tblLayout w:type="fixed"/>
          <w:tblCellMar>
            <w:top w:w="0" w:type="dxa"/>
            <w:left w:w="0" w:type="dxa"/>
            <w:bottom w:w="0" w:type="dxa"/>
            <w:right w:w="0" w:type="dxa"/>
          </w:tblCellMar>
        </w:tblPrEx>
        <w:trPr>
          <w:gridAfter w:val="1"/>
          <w:wAfter w:w="326" w:type="dxa"/>
          <w:trHeight w:val="276" w:hRule="atLeast"/>
        </w:trPr>
        <w:tc>
          <w:tcPr>
            <w:tcW w:w="7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预算执行情况(万元)</w:t>
            </w:r>
          </w:p>
        </w:tc>
        <w:tc>
          <w:tcPr>
            <w:tcW w:w="176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预算数:</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33.60</w:t>
            </w:r>
          </w:p>
        </w:tc>
        <w:tc>
          <w:tcPr>
            <w:tcW w:w="2159"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执行数:</w:t>
            </w:r>
          </w:p>
        </w:tc>
        <w:tc>
          <w:tcPr>
            <w:tcW w:w="1942"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33.60</w:t>
            </w:r>
          </w:p>
        </w:tc>
      </w:tr>
      <w:tr>
        <w:tblPrEx>
          <w:tblLayout w:type="fixed"/>
          <w:tblCellMar>
            <w:top w:w="0" w:type="dxa"/>
            <w:left w:w="0" w:type="dxa"/>
            <w:bottom w:w="0" w:type="dxa"/>
            <w:right w:w="0" w:type="dxa"/>
          </w:tblCellMar>
        </w:tblPrEx>
        <w:trPr>
          <w:gridAfter w:val="1"/>
          <w:wAfter w:w="326" w:type="dxa"/>
          <w:trHeight w:val="276"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176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其中-财政拨款:</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33.60</w:t>
            </w:r>
          </w:p>
        </w:tc>
        <w:tc>
          <w:tcPr>
            <w:tcW w:w="2159"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其中-财政拨款:</w:t>
            </w:r>
          </w:p>
        </w:tc>
        <w:tc>
          <w:tcPr>
            <w:tcW w:w="1942"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33.60</w:t>
            </w:r>
          </w:p>
        </w:tc>
      </w:tr>
      <w:tr>
        <w:tblPrEx>
          <w:tblLayout w:type="fixed"/>
          <w:tblCellMar>
            <w:top w:w="0" w:type="dxa"/>
            <w:left w:w="0" w:type="dxa"/>
            <w:bottom w:w="0" w:type="dxa"/>
            <w:right w:w="0" w:type="dxa"/>
          </w:tblCellMar>
        </w:tblPrEx>
        <w:trPr>
          <w:gridAfter w:val="1"/>
          <w:wAfter w:w="326" w:type="dxa"/>
          <w:trHeight w:val="1511"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176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其它资金:</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0</w:t>
            </w:r>
          </w:p>
        </w:tc>
        <w:tc>
          <w:tcPr>
            <w:tcW w:w="2159"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其它资金:</w:t>
            </w:r>
          </w:p>
        </w:tc>
        <w:tc>
          <w:tcPr>
            <w:tcW w:w="1942"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0</w:t>
            </w:r>
          </w:p>
        </w:tc>
      </w:tr>
      <w:tr>
        <w:tblPrEx>
          <w:tblLayout w:type="fixed"/>
          <w:tblCellMar>
            <w:top w:w="0" w:type="dxa"/>
            <w:left w:w="0" w:type="dxa"/>
            <w:bottom w:w="0" w:type="dxa"/>
            <w:right w:w="0" w:type="dxa"/>
          </w:tblCellMar>
        </w:tblPrEx>
        <w:trPr>
          <w:gridAfter w:val="1"/>
          <w:wAfter w:w="326" w:type="dxa"/>
          <w:trHeight w:val="276" w:hRule="atLeast"/>
        </w:trPr>
        <w:tc>
          <w:tcPr>
            <w:tcW w:w="7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年度目标完成情况</w:t>
            </w:r>
          </w:p>
        </w:tc>
        <w:tc>
          <w:tcPr>
            <w:tcW w:w="3794"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预期目标</w:t>
            </w:r>
          </w:p>
        </w:tc>
        <w:tc>
          <w:tcPr>
            <w:tcW w:w="4101"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实际完成目标</w:t>
            </w:r>
          </w:p>
        </w:tc>
      </w:tr>
      <w:tr>
        <w:tblPrEx>
          <w:tblLayout w:type="fixed"/>
          <w:tblCellMar>
            <w:top w:w="0" w:type="dxa"/>
            <w:left w:w="0" w:type="dxa"/>
            <w:bottom w:w="0" w:type="dxa"/>
            <w:right w:w="0" w:type="dxa"/>
          </w:tblCellMar>
        </w:tblPrEx>
        <w:trPr>
          <w:gridAfter w:val="1"/>
          <w:wAfter w:w="326" w:type="dxa"/>
          <w:trHeight w:val="1159"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3794"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 xml:space="preserve">    预计开展青川黑木耳、苍溪猕猴桃等18个地理标志保护产品192批次省级监督抽查。</w:t>
            </w:r>
          </w:p>
        </w:tc>
        <w:tc>
          <w:tcPr>
            <w:tcW w:w="4101"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ind w:firstLine="480" w:firstLineChars="200"/>
              <w:jc w:val="lef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开展青川黑木耳、苍溪猕猴桃等18个地理标志保护产品192批次省级监督抽查。</w:t>
            </w:r>
          </w:p>
        </w:tc>
      </w:tr>
      <w:tr>
        <w:tblPrEx>
          <w:tblLayout w:type="fixed"/>
          <w:tblCellMar>
            <w:top w:w="0" w:type="dxa"/>
            <w:left w:w="0" w:type="dxa"/>
            <w:bottom w:w="0" w:type="dxa"/>
            <w:right w:w="0" w:type="dxa"/>
          </w:tblCellMar>
        </w:tblPrEx>
        <w:trPr>
          <w:gridAfter w:val="1"/>
          <w:wAfter w:w="326" w:type="dxa"/>
          <w:trHeight w:val="1042" w:hRule="atLeast"/>
        </w:trPr>
        <w:tc>
          <w:tcPr>
            <w:tcW w:w="7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绩效指标完成情况</w:t>
            </w: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一级指标</w:t>
            </w:r>
          </w:p>
        </w:tc>
        <w:tc>
          <w:tcPr>
            <w:tcW w:w="13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二级指标</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三级指标</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预期指标值(包含数字及文字描述)</w:t>
            </w:r>
          </w:p>
        </w:tc>
        <w:tc>
          <w:tcPr>
            <w:tcW w:w="2135"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实际完成指标值(包含数字及文字描述)</w:t>
            </w:r>
          </w:p>
        </w:tc>
      </w:tr>
      <w:tr>
        <w:tblPrEx>
          <w:tblLayout w:type="fixed"/>
          <w:tblCellMar>
            <w:top w:w="0" w:type="dxa"/>
            <w:left w:w="0" w:type="dxa"/>
            <w:bottom w:w="0" w:type="dxa"/>
            <w:right w:w="0" w:type="dxa"/>
          </w:tblCellMar>
        </w:tblPrEx>
        <w:trPr>
          <w:gridAfter w:val="1"/>
          <w:wAfter w:w="326" w:type="dxa"/>
          <w:trHeight w:val="953"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项目完成指标</w:t>
            </w:r>
          </w:p>
        </w:tc>
        <w:tc>
          <w:tcPr>
            <w:tcW w:w="13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数量指标</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ind w:firstLine="480" w:firstLineChars="20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开展青川黑木耳、苍溪猕猴桃等18个地理标志保护产品192批次省级监督抽查</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ind w:firstLine="480" w:firstLineChars="20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预计完成192批次。</w:t>
            </w:r>
          </w:p>
        </w:tc>
        <w:tc>
          <w:tcPr>
            <w:tcW w:w="2135"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ind w:firstLine="480" w:firstLineChars="20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实际完成开展青川黑木耳、苍溪猕猴桃等18个地理标志保护产品192批次省级监督抽查。</w:t>
            </w:r>
          </w:p>
        </w:tc>
      </w:tr>
      <w:tr>
        <w:tblPrEx>
          <w:tblLayout w:type="fixed"/>
          <w:tblCellMar>
            <w:top w:w="0" w:type="dxa"/>
            <w:left w:w="0" w:type="dxa"/>
            <w:bottom w:w="0" w:type="dxa"/>
            <w:right w:w="0" w:type="dxa"/>
          </w:tblCellMar>
        </w:tblPrEx>
        <w:trPr>
          <w:gridAfter w:val="1"/>
          <w:wAfter w:w="326" w:type="dxa"/>
          <w:trHeight w:val="1297"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项目完成指标</w:t>
            </w:r>
          </w:p>
        </w:tc>
        <w:tc>
          <w:tcPr>
            <w:tcW w:w="13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质量指标</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完成抽检率</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≧95%</w:t>
            </w:r>
          </w:p>
        </w:tc>
        <w:tc>
          <w:tcPr>
            <w:tcW w:w="2135"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100%</w:t>
            </w:r>
          </w:p>
        </w:tc>
      </w:tr>
      <w:tr>
        <w:tblPrEx>
          <w:tblLayout w:type="fixed"/>
          <w:tblCellMar>
            <w:top w:w="0" w:type="dxa"/>
            <w:left w:w="0" w:type="dxa"/>
            <w:bottom w:w="0" w:type="dxa"/>
            <w:right w:w="0" w:type="dxa"/>
          </w:tblCellMar>
        </w:tblPrEx>
        <w:trPr>
          <w:gridAfter w:val="1"/>
          <w:wAfter w:w="326" w:type="dxa"/>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项目完成指标</w:t>
            </w:r>
          </w:p>
        </w:tc>
        <w:tc>
          <w:tcPr>
            <w:tcW w:w="13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时效指标</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完成时间</w:t>
            </w:r>
          </w:p>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资金使用进度</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ind w:firstLine="480" w:firstLineChars="20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在实施方案规定时间节点内完成；按抽检进度使用资金。</w:t>
            </w:r>
          </w:p>
        </w:tc>
        <w:tc>
          <w:tcPr>
            <w:tcW w:w="2135"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ind w:firstLine="480" w:firstLineChars="200"/>
              <w:jc w:val="left"/>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在实施方案规定时间节点内完成；按抽检进度使用资金。</w:t>
            </w:r>
          </w:p>
        </w:tc>
      </w:tr>
      <w:tr>
        <w:tblPrEx>
          <w:tblLayout w:type="fixed"/>
          <w:tblCellMar>
            <w:top w:w="0" w:type="dxa"/>
            <w:left w:w="0" w:type="dxa"/>
            <w:bottom w:w="0" w:type="dxa"/>
            <w:right w:w="0" w:type="dxa"/>
          </w:tblCellMar>
        </w:tblPrEx>
        <w:trPr>
          <w:gridAfter w:val="1"/>
          <w:wAfter w:w="326" w:type="dxa"/>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项目完成指标</w:t>
            </w:r>
          </w:p>
        </w:tc>
        <w:tc>
          <w:tcPr>
            <w:tcW w:w="13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成本指标</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印刷费、邮电费、维护费、租赁费、专用材料费、劳务费、公务车辆运行维护费、差旅费、其他商品和服务支出。</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33.60万元</w:t>
            </w:r>
          </w:p>
        </w:tc>
        <w:tc>
          <w:tcPr>
            <w:tcW w:w="2135"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33.60万元</w:t>
            </w:r>
          </w:p>
        </w:tc>
      </w:tr>
      <w:tr>
        <w:tblPrEx>
          <w:tblLayout w:type="fixed"/>
          <w:tblCellMar>
            <w:top w:w="0" w:type="dxa"/>
            <w:left w:w="0" w:type="dxa"/>
            <w:bottom w:w="0" w:type="dxa"/>
            <w:right w:w="0" w:type="dxa"/>
          </w:tblCellMar>
        </w:tblPrEx>
        <w:trPr>
          <w:gridAfter w:val="1"/>
          <w:wAfter w:w="326" w:type="dxa"/>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效益指标</w:t>
            </w:r>
          </w:p>
        </w:tc>
        <w:tc>
          <w:tcPr>
            <w:tcW w:w="13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社会效益</w:t>
            </w:r>
          </w:p>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指标</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企业质量主体意识提升</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达到良好目标</w:t>
            </w:r>
          </w:p>
        </w:tc>
        <w:tc>
          <w:tcPr>
            <w:tcW w:w="2135"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达到良好目标</w:t>
            </w:r>
          </w:p>
        </w:tc>
      </w:tr>
      <w:tr>
        <w:tblPrEx>
          <w:tblLayout w:type="fixed"/>
          <w:tblCellMar>
            <w:top w:w="0" w:type="dxa"/>
            <w:left w:w="0" w:type="dxa"/>
            <w:bottom w:w="0" w:type="dxa"/>
            <w:right w:w="0" w:type="dxa"/>
          </w:tblCellMar>
        </w:tblPrEx>
        <w:trPr>
          <w:gridAfter w:val="1"/>
          <w:wAfter w:w="326" w:type="dxa"/>
          <w:trHeight w:val="1297"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效益指标</w:t>
            </w:r>
          </w:p>
        </w:tc>
        <w:tc>
          <w:tcPr>
            <w:tcW w:w="13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可持续影响</w:t>
            </w:r>
          </w:p>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指标</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产品质量提升情况</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良好</w:t>
            </w:r>
          </w:p>
        </w:tc>
        <w:tc>
          <w:tcPr>
            <w:tcW w:w="2135"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良好</w:t>
            </w:r>
          </w:p>
        </w:tc>
      </w:tr>
      <w:tr>
        <w:tblPrEx>
          <w:tblLayout w:type="fixed"/>
          <w:tblCellMar>
            <w:top w:w="0" w:type="dxa"/>
            <w:left w:w="0" w:type="dxa"/>
            <w:bottom w:w="0" w:type="dxa"/>
            <w:right w:w="0" w:type="dxa"/>
          </w:tblCellMar>
        </w:tblPrEx>
        <w:trPr>
          <w:gridAfter w:val="1"/>
          <w:wAfter w:w="326" w:type="dxa"/>
          <w:trHeight w:val="1050"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满意度指标</w:t>
            </w:r>
          </w:p>
        </w:tc>
        <w:tc>
          <w:tcPr>
            <w:tcW w:w="13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服务对象满意度</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服务对象满意度</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≧95%</w:t>
            </w:r>
          </w:p>
        </w:tc>
        <w:tc>
          <w:tcPr>
            <w:tcW w:w="2135"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tabs>
                <w:tab w:val="left" w:pos="674"/>
                <w:tab w:val="center" w:pos="1275"/>
              </w:tabs>
              <w:jc w:val="left"/>
              <w:textAlignment w:val="center"/>
              <w:rPr>
                <w:rFonts w:hint="eastAsia" w:ascii="仿宋" w:hAnsi="仿宋" w:eastAsia="仿宋" w:cs="仿宋"/>
                <w:sz w:val="24"/>
                <w:szCs w:val="24"/>
              </w:rPr>
            </w:pPr>
            <w:r>
              <w:rPr>
                <w:rFonts w:hint="eastAsia" w:ascii="仿宋" w:hAnsi="仿宋" w:eastAsia="仿宋" w:cs="仿宋"/>
                <w:color w:val="FF0000"/>
                <w:sz w:val="24"/>
                <w:szCs w:val="24"/>
              </w:rPr>
              <w:tab/>
            </w:r>
            <w:r>
              <w:rPr>
                <w:rFonts w:hint="eastAsia" w:ascii="仿宋" w:hAnsi="仿宋" w:eastAsia="仿宋" w:cs="仿宋"/>
                <w:sz w:val="24"/>
                <w:szCs w:val="24"/>
              </w:rPr>
              <w:tab/>
            </w:r>
            <w:r>
              <w:rPr>
                <w:rFonts w:hint="eastAsia" w:ascii="仿宋" w:hAnsi="仿宋" w:eastAsia="仿宋" w:cs="仿宋"/>
                <w:sz w:val="24"/>
                <w:szCs w:val="24"/>
              </w:rPr>
              <w:t>≧95%</w:t>
            </w:r>
          </w:p>
        </w:tc>
      </w:tr>
      <w:tr>
        <w:tblPrEx>
          <w:tblLayout w:type="fixed"/>
          <w:tblCellMar>
            <w:top w:w="0" w:type="dxa"/>
            <w:left w:w="0" w:type="dxa"/>
            <w:bottom w:w="0" w:type="dxa"/>
            <w:right w:w="0" w:type="dxa"/>
          </w:tblCellMar>
        </w:tblPrEx>
        <w:trPr>
          <w:trHeight w:val="1034" w:hRule="atLeast"/>
        </w:trPr>
        <w:tc>
          <w:tcPr>
            <w:tcW w:w="8952" w:type="dxa"/>
            <w:gridSpan w:val="9"/>
            <w:tcBorders>
              <w:top w:val="nil"/>
              <w:left w:val="nil"/>
              <w:bottom w:val="nil"/>
              <w:right w:val="nil"/>
            </w:tcBorders>
            <w:tcMar>
              <w:top w:w="15" w:type="dxa"/>
              <w:left w:w="15" w:type="dxa"/>
              <w:bottom w:w="0" w:type="dxa"/>
              <w:right w:w="15" w:type="dxa"/>
            </w:tcMar>
            <w:vAlign w:val="center"/>
          </w:tcPr>
          <w:p>
            <w:pPr>
              <w:pStyle w:val="30"/>
              <w:widowControl/>
              <w:ind w:firstLine="0" w:firstLineChars="0"/>
              <w:jc w:val="center"/>
              <w:textAlignment w:val="center"/>
              <w:rPr>
                <w:rFonts w:ascii="宋体"/>
                <w:color w:val="000000"/>
                <w:sz w:val="36"/>
                <w:szCs w:val="36"/>
              </w:rPr>
            </w:pPr>
            <w:r>
              <w:rPr>
                <w:rFonts w:hint="eastAsia" w:ascii="黑体" w:hAnsi="黑体" w:eastAsia="黑体" w:cs="宋体"/>
                <w:color w:val="000000"/>
                <w:kern w:val="0"/>
                <w:sz w:val="36"/>
                <w:szCs w:val="36"/>
              </w:rPr>
              <w:t>项目支出绩效目标完成情况表</w:t>
            </w:r>
            <w:r>
              <w:rPr>
                <w:rFonts w:ascii="宋体"/>
                <w:b/>
                <w:bCs/>
                <w:color w:val="000000"/>
                <w:kern w:val="0"/>
                <w:sz w:val="36"/>
                <w:szCs w:val="36"/>
              </w:rPr>
              <w:br w:type="textWrapping"/>
            </w:r>
            <w:r>
              <w:rPr>
                <w:rFonts w:ascii="宋体" w:hAnsi="宋体"/>
                <w:color w:val="000000"/>
                <w:kern w:val="0"/>
                <w:sz w:val="36"/>
                <w:szCs w:val="36"/>
              </w:rPr>
              <w:t>(2018</w:t>
            </w:r>
            <w:r>
              <w:rPr>
                <w:rFonts w:hint="eastAsia" w:ascii="宋体" w:hAnsi="宋体"/>
                <w:color w:val="000000"/>
                <w:kern w:val="0"/>
                <w:sz w:val="36"/>
                <w:szCs w:val="36"/>
              </w:rPr>
              <w:t>年度</w:t>
            </w:r>
            <w:r>
              <w:rPr>
                <w:rFonts w:ascii="宋体" w:hAnsi="宋体"/>
                <w:color w:val="000000"/>
                <w:kern w:val="0"/>
                <w:sz w:val="36"/>
                <w:szCs w:val="36"/>
              </w:rPr>
              <w:t>)</w:t>
            </w:r>
          </w:p>
        </w:tc>
      </w:tr>
      <w:tr>
        <w:tblPrEx>
          <w:tblLayout w:type="fixed"/>
          <w:tblCellMar>
            <w:top w:w="0" w:type="dxa"/>
            <w:left w:w="0" w:type="dxa"/>
            <w:bottom w:w="0" w:type="dxa"/>
            <w:right w:w="0" w:type="dxa"/>
          </w:tblCellMar>
        </w:tblPrEx>
        <w:trPr>
          <w:trHeight w:val="276" w:hRule="atLeast"/>
        </w:trPr>
        <w:tc>
          <w:tcPr>
            <w:tcW w:w="2491"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项目名称</w:t>
            </w:r>
          </w:p>
        </w:tc>
        <w:tc>
          <w:tcPr>
            <w:tcW w:w="6461" w:type="dxa"/>
            <w:gridSpan w:val="6"/>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定量及过度包装商品监督抽查</w:t>
            </w:r>
          </w:p>
        </w:tc>
      </w:tr>
      <w:tr>
        <w:tblPrEx>
          <w:tblLayout w:type="fixed"/>
          <w:tblCellMar>
            <w:top w:w="0" w:type="dxa"/>
            <w:left w:w="0" w:type="dxa"/>
            <w:bottom w:w="0" w:type="dxa"/>
            <w:right w:w="0" w:type="dxa"/>
          </w:tblCellMar>
        </w:tblPrEx>
        <w:trPr>
          <w:trHeight w:val="276" w:hRule="atLeast"/>
        </w:trPr>
        <w:tc>
          <w:tcPr>
            <w:tcW w:w="2491"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预算单位</w:t>
            </w:r>
          </w:p>
        </w:tc>
        <w:tc>
          <w:tcPr>
            <w:tcW w:w="6461" w:type="dxa"/>
            <w:gridSpan w:val="6"/>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广元市质量技术监督局</w:t>
            </w:r>
          </w:p>
        </w:tc>
      </w:tr>
      <w:tr>
        <w:tblPrEx>
          <w:tblLayout w:type="fixed"/>
          <w:tblCellMar>
            <w:top w:w="0" w:type="dxa"/>
            <w:left w:w="0" w:type="dxa"/>
            <w:bottom w:w="0" w:type="dxa"/>
            <w:right w:w="0" w:type="dxa"/>
          </w:tblCellMar>
        </w:tblPrEx>
        <w:trPr>
          <w:trHeight w:val="276" w:hRule="atLeast"/>
        </w:trPr>
        <w:tc>
          <w:tcPr>
            <w:tcW w:w="7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预算执行情况(万元)</w:t>
            </w:r>
          </w:p>
        </w:tc>
        <w:tc>
          <w:tcPr>
            <w:tcW w:w="176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预算数:</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10.00</w:t>
            </w:r>
          </w:p>
        </w:tc>
        <w:tc>
          <w:tcPr>
            <w:tcW w:w="2159"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执行数:</w:t>
            </w:r>
          </w:p>
        </w:tc>
        <w:tc>
          <w:tcPr>
            <w:tcW w:w="2268"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10.00</w:t>
            </w:r>
          </w:p>
        </w:tc>
      </w:tr>
      <w:tr>
        <w:tblPrEx>
          <w:tblLayout w:type="fixed"/>
          <w:tblCellMar>
            <w:top w:w="0" w:type="dxa"/>
            <w:left w:w="0" w:type="dxa"/>
            <w:bottom w:w="0" w:type="dxa"/>
            <w:right w:w="0" w:type="dxa"/>
          </w:tblCellMar>
        </w:tblPrEx>
        <w:trPr>
          <w:trHeight w:val="497"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176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其中-财政拨款:</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10.00</w:t>
            </w:r>
          </w:p>
        </w:tc>
        <w:tc>
          <w:tcPr>
            <w:tcW w:w="2159"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其中-财政拨款:</w:t>
            </w:r>
          </w:p>
        </w:tc>
        <w:tc>
          <w:tcPr>
            <w:tcW w:w="2268"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10.00</w:t>
            </w:r>
          </w:p>
        </w:tc>
      </w:tr>
      <w:tr>
        <w:tblPrEx>
          <w:tblLayout w:type="fixed"/>
          <w:tblCellMar>
            <w:top w:w="0" w:type="dxa"/>
            <w:left w:w="0" w:type="dxa"/>
            <w:bottom w:w="0" w:type="dxa"/>
            <w:right w:w="0" w:type="dxa"/>
          </w:tblCellMar>
        </w:tblPrEx>
        <w:trPr>
          <w:trHeight w:val="1126"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176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其它资金:</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0</w:t>
            </w:r>
          </w:p>
        </w:tc>
        <w:tc>
          <w:tcPr>
            <w:tcW w:w="2159"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其它资金:</w:t>
            </w:r>
          </w:p>
        </w:tc>
        <w:tc>
          <w:tcPr>
            <w:tcW w:w="2268"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0</w:t>
            </w:r>
          </w:p>
        </w:tc>
      </w:tr>
      <w:tr>
        <w:tblPrEx>
          <w:tblLayout w:type="fixed"/>
          <w:tblCellMar>
            <w:top w:w="0" w:type="dxa"/>
            <w:left w:w="0" w:type="dxa"/>
            <w:bottom w:w="0" w:type="dxa"/>
            <w:right w:w="0" w:type="dxa"/>
          </w:tblCellMar>
        </w:tblPrEx>
        <w:trPr>
          <w:trHeight w:val="276" w:hRule="atLeast"/>
        </w:trPr>
        <w:tc>
          <w:tcPr>
            <w:tcW w:w="7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年度目标完成情况</w:t>
            </w:r>
          </w:p>
        </w:tc>
        <w:tc>
          <w:tcPr>
            <w:tcW w:w="3794"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预期目标</w:t>
            </w:r>
          </w:p>
        </w:tc>
        <w:tc>
          <w:tcPr>
            <w:tcW w:w="4427" w:type="dxa"/>
            <w:gridSpan w:val="5"/>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实际完成目标</w:t>
            </w:r>
          </w:p>
        </w:tc>
      </w:tr>
      <w:tr>
        <w:tblPrEx>
          <w:tblLayout w:type="fixed"/>
          <w:tblCellMar>
            <w:top w:w="0" w:type="dxa"/>
            <w:left w:w="0" w:type="dxa"/>
            <w:bottom w:w="0" w:type="dxa"/>
            <w:right w:w="0" w:type="dxa"/>
          </w:tblCellMar>
        </w:tblPrEx>
        <w:trPr>
          <w:trHeight w:val="1159"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3794"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eastAsia="zh-CN"/>
              </w:rPr>
              <w:t>完成定量包装抽样不少于</w:t>
            </w:r>
            <w:r>
              <w:rPr>
                <w:rFonts w:hint="eastAsia" w:ascii="仿宋" w:hAnsi="仿宋" w:eastAsia="仿宋" w:cs="仿宋"/>
                <w:color w:val="000000"/>
                <w:sz w:val="24"/>
                <w:szCs w:val="24"/>
                <w:lang w:val="en-US" w:eastAsia="zh-CN"/>
              </w:rPr>
              <w:t>80批次;</w:t>
            </w:r>
          </w:p>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完成过度包装抽样不少于60批次</w:t>
            </w:r>
          </w:p>
        </w:tc>
        <w:tc>
          <w:tcPr>
            <w:tcW w:w="4427" w:type="dxa"/>
            <w:gridSpan w:val="5"/>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eastAsia="zh-CN"/>
              </w:rPr>
              <w:t>完成定量包装抽样</w:t>
            </w:r>
            <w:r>
              <w:rPr>
                <w:rFonts w:hint="eastAsia" w:ascii="仿宋" w:hAnsi="仿宋" w:eastAsia="仿宋" w:cs="仿宋"/>
                <w:color w:val="000000"/>
                <w:sz w:val="24"/>
                <w:szCs w:val="24"/>
                <w:lang w:val="en-US" w:eastAsia="zh-CN"/>
              </w:rPr>
              <w:t>81批次;</w:t>
            </w:r>
          </w:p>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完成过度包装抽样61批次</w:t>
            </w:r>
          </w:p>
        </w:tc>
      </w:tr>
      <w:tr>
        <w:tblPrEx>
          <w:tblLayout w:type="fixed"/>
          <w:tblCellMar>
            <w:top w:w="0" w:type="dxa"/>
            <w:left w:w="0" w:type="dxa"/>
            <w:bottom w:w="0" w:type="dxa"/>
            <w:right w:w="0" w:type="dxa"/>
          </w:tblCellMar>
        </w:tblPrEx>
        <w:trPr>
          <w:trHeight w:val="1042" w:hRule="atLeast"/>
        </w:trPr>
        <w:tc>
          <w:tcPr>
            <w:tcW w:w="7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绩效指标完成情况</w:t>
            </w: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一级指标</w:t>
            </w:r>
          </w:p>
        </w:tc>
        <w:tc>
          <w:tcPr>
            <w:tcW w:w="13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二级指标</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三级指标</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预期指标值(包含数字及文字描述)</w:t>
            </w:r>
          </w:p>
        </w:tc>
        <w:tc>
          <w:tcPr>
            <w:tcW w:w="2461"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实际完成指标值(包含数字及文字描述)</w:t>
            </w:r>
          </w:p>
        </w:tc>
      </w:tr>
      <w:tr>
        <w:tblPrEx>
          <w:tblLayout w:type="fixed"/>
          <w:tblCellMar>
            <w:top w:w="0" w:type="dxa"/>
            <w:left w:w="0" w:type="dxa"/>
            <w:bottom w:w="0" w:type="dxa"/>
            <w:right w:w="0" w:type="dxa"/>
          </w:tblCellMar>
        </w:tblPrEx>
        <w:trPr>
          <w:trHeight w:val="953"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项目完成指标</w:t>
            </w:r>
          </w:p>
        </w:tc>
        <w:tc>
          <w:tcPr>
            <w:tcW w:w="13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数量指标</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完成抽样批次不少于计划数</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eastAsia="zh-CN"/>
              </w:rPr>
              <w:t>完成定量包装抽样</w:t>
            </w:r>
            <w:r>
              <w:rPr>
                <w:rFonts w:hint="eastAsia" w:ascii="仿宋" w:hAnsi="仿宋" w:eastAsia="仿宋" w:cs="仿宋"/>
                <w:color w:val="000000"/>
                <w:sz w:val="24"/>
                <w:szCs w:val="24"/>
                <w:lang w:val="en-US" w:eastAsia="zh-CN"/>
              </w:rPr>
              <w:t>80批次;</w:t>
            </w:r>
          </w:p>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完成过度包装抽样60批次</w:t>
            </w:r>
          </w:p>
        </w:tc>
        <w:tc>
          <w:tcPr>
            <w:tcW w:w="2461"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eastAsia="zh-CN"/>
              </w:rPr>
              <w:t>完成定量包装抽样</w:t>
            </w:r>
            <w:r>
              <w:rPr>
                <w:rFonts w:hint="eastAsia" w:ascii="仿宋" w:hAnsi="仿宋" w:eastAsia="仿宋" w:cs="仿宋"/>
                <w:color w:val="000000"/>
                <w:sz w:val="24"/>
                <w:szCs w:val="24"/>
                <w:lang w:val="en-US" w:eastAsia="zh-CN"/>
              </w:rPr>
              <w:t>81批次;</w:t>
            </w:r>
          </w:p>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完成过度包装抽样61批次</w:t>
            </w:r>
          </w:p>
        </w:tc>
      </w:tr>
      <w:tr>
        <w:tblPrEx>
          <w:tblLayout w:type="fixed"/>
          <w:tblCellMar>
            <w:top w:w="0" w:type="dxa"/>
            <w:left w:w="0" w:type="dxa"/>
            <w:bottom w:w="0" w:type="dxa"/>
            <w:right w:w="0" w:type="dxa"/>
          </w:tblCellMar>
        </w:tblPrEx>
        <w:trPr>
          <w:trHeight w:val="1297"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项目完成指标</w:t>
            </w:r>
          </w:p>
        </w:tc>
        <w:tc>
          <w:tcPr>
            <w:tcW w:w="13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时效指标</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按照计划时间完成抽样任务</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sz w:val="24"/>
                <w:szCs w:val="24"/>
                <w:lang w:eastAsia="zh-CN"/>
              </w:rPr>
              <w:t>项目实施计划时间为</w:t>
            </w:r>
            <w:r>
              <w:rPr>
                <w:rFonts w:hint="eastAsia" w:ascii="仿宋" w:hAnsi="仿宋" w:eastAsia="仿宋" w:cs="仿宋"/>
                <w:sz w:val="24"/>
                <w:szCs w:val="24"/>
                <w:lang w:val="en-US" w:eastAsia="zh-CN"/>
              </w:rPr>
              <w:t>3个月,即</w:t>
            </w:r>
            <w:r>
              <w:rPr>
                <w:rFonts w:hint="eastAsia" w:ascii="仿宋" w:hAnsi="仿宋" w:eastAsia="仿宋" w:cs="仿宋"/>
                <w:sz w:val="24"/>
                <w:szCs w:val="24"/>
              </w:rPr>
              <w:t>201</w:t>
            </w:r>
            <w:r>
              <w:rPr>
                <w:rFonts w:hint="eastAsia" w:ascii="仿宋" w:hAnsi="仿宋" w:eastAsia="仿宋" w:cs="仿宋"/>
                <w:sz w:val="24"/>
                <w:szCs w:val="24"/>
                <w:lang w:val="en-US" w:eastAsia="zh-CN"/>
              </w:rPr>
              <w:t>8</w:t>
            </w:r>
            <w:r>
              <w:rPr>
                <w:rFonts w:hint="eastAsia" w:ascii="仿宋" w:hAnsi="仿宋" w:eastAsia="仿宋" w:cs="仿宋"/>
                <w:sz w:val="24"/>
                <w:szCs w:val="24"/>
              </w:rPr>
              <w:t>年</w:t>
            </w:r>
            <w:r>
              <w:rPr>
                <w:rFonts w:hint="eastAsia" w:ascii="仿宋" w:hAnsi="仿宋" w:eastAsia="仿宋" w:cs="仿宋"/>
                <w:sz w:val="24"/>
                <w:szCs w:val="24"/>
                <w:lang w:val="en-US" w:eastAsia="zh-CN"/>
              </w:rPr>
              <w:t>8</w:t>
            </w:r>
            <w:r>
              <w:rPr>
                <w:rFonts w:hint="eastAsia" w:ascii="仿宋" w:hAnsi="仿宋" w:eastAsia="仿宋" w:cs="仿宋"/>
                <w:sz w:val="24"/>
                <w:szCs w:val="24"/>
              </w:rPr>
              <w:t>月至</w:t>
            </w:r>
            <w:r>
              <w:rPr>
                <w:rFonts w:hint="eastAsia" w:ascii="仿宋" w:hAnsi="仿宋" w:eastAsia="仿宋" w:cs="仿宋"/>
                <w:sz w:val="24"/>
                <w:szCs w:val="24"/>
                <w:lang w:val="en-US" w:eastAsia="zh-CN"/>
              </w:rPr>
              <w:t>10</w:t>
            </w:r>
            <w:r>
              <w:rPr>
                <w:rFonts w:hint="eastAsia" w:ascii="仿宋" w:hAnsi="仿宋" w:eastAsia="仿宋" w:cs="仿宋"/>
                <w:sz w:val="24"/>
                <w:szCs w:val="24"/>
              </w:rPr>
              <w:t>月</w:t>
            </w:r>
            <w:r>
              <w:rPr>
                <w:rFonts w:hint="eastAsia" w:ascii="仿宋" w:hAnsi="仿宋" w:eastAsia="仿宋" w:cs="仿宋"/>
                <w:sz w:val="24"/>
                <w:szCs w:val="24"/>
                <w:lang w:val="en-US" w:eastAsia="zh-CN"/>
              </w:rPr>
              <w:t>,10</w:t>
            </w:r>
            <w:r>
              <w:rPr>
                <w:rFonts w:hint="eastAsia" w:ascii="仿宋" w:hAnsi="仿宋" w:eastAsia="仿宋" w:cs="仿宋"/>
                <w:sz w:val="24"/>
                <w:szCs w:val="24"/>
              </w:rPr>
              <w:t>月</w:t>
            </w:r>
            <w:r>
              <w:rPr>
                <w:rFonts w:hint="eastAsia" w:ascii="仿宋" w:hAnsi="仿宋" w:eastAsia="仿宋" w:cs="仿宋"/>
                <w:sz w:val="24"/>
                <w:szCs w:val="24"/>
                <w:lang w:val="en-US" w:eastAsia="zh-CN"/>
              </w:rPr>
              <w:t>30</w:t>
            </w:r>
            <w:r>
              <w:rPr>
                <w:rFonts w:hint="eastAsia" w:ascii="仿宋" w:hAnsi="仿宋" w:eastAsia="仿宋" w:cs="仿宋"/>
                <w:sz w:val="24"/>
                <w:szCs w:val="24"/>
              </w:rPr>
              <w:t>日</w:t>
            </w:r>
            <w:r>
              <w:rPr>
                <w:rFonts w:hint="eastAsia" w:ascii="仿宋" w:hAnsi="仿宋" w:eastAsia="仿宋" w:cs="仿宋"/>
                <w:sz w:val="24"/>
                <w:szCs w:val="24"/>
                <w:lang w:eastAsia="zh-CN"/>
              </w:rPr>
              <w:t>之</w:t>
            </w:r>
            <w:r>
              <w:rPr>
                <w:rFonts w:hint="eastAsia" w:ascii="仿宋" w:hAnsi="仿宋" w:eastAsia="仿宋" w:cs="仿宋"/>
                <w:sz w:val="24"/>
                <w:szCs w:val="24"/>
              </w:rPr>
              <w:t>前，将抽查工作总结（含整改工作情况）报省局计量处</w:t>
            </w:r>
          </w:p>
        </w:tc>
        <w:tc>
          <w:tcPr>
            <w:tcW w:w="2461"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按时完成抽样任务</w:t>
            </w:r>
          </w:p>
        </w:tc>
      </w:tr>
      <w:tr>
        <w:tblPrEx>
          <w:tblLayout w:type="fixed"/>
          <w:tblCellMar>
            <w:top w:w="0" w:type="dxa"/>
            <w:left w:w="0" w:type="dxa"/>
            <w:bottom w:w="0" w:type="dxa"/>
            <w:right w:w="0" w:type="dxa"/>
          </w:tblCellMar>
        </w:tblPrEx>
        <w:trPr>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项目完成指标</w:t>
            </w:r>
          </w:p>
        </w:tc>
        <w:tc>
          <w:tcPr>
            <w:tcW w:w="13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质量指标</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数据真实有效</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无虚假数据，省局认可</w:t>
            </w:r>
          </w:p>
        </w:tc>
        <w:tc>
          <w:tcPr>
            <w:tcW w:w="2461"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数据真实有效，结果满意</w:t>
            </w:r>
          </w:p>
        </w:tc>
      </w:tr>
      <w:tr>
        <w:tblPrEx>
          <w:tblLayout w:type="fixed"/>
          <w:tblCellMar>
            <w:top w:w="0" w:type="dxa"/>
            <w:left w:w="0" w:type="dxa"/>
            <w:bottom w:w="0" w:type="dxa"/>
            <w:right w:w="0" w:type="dxa"/>
          </w:tblCellMar>
        </w:tblPrEx>
        <w:trPr>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效益指标</w:t>
            </w:r>
          </w:p>
        </w:tc>
        <w:tc>
          <w:tcPr>
            <w:tcW w:w="13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成本指标</w:t>
            </w: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按预算支出</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eastAsia="zh-CN"/>
              </w:rPr>
              <w:t>按预算支出</w:t>
            </w:r>
            <w:r>
              <w:rPr>
                <w:rFonts w:hint="eastAsia" w:ascii="仿宋" w:hAnsi="仿宋" w:eastAsia="仿宋" w:cs="仿宋"/>
                <w:color w:val="000000"/>
                <w:sz w:val="24"/>
                <w:szCs w:val="24"/>
                <w:lang w:val="en-US" w:eastAsia="zh-CN"/>
              </w:rPr>
              <w:t>10万</w:t>
            </w:r>
          </w:p>
        </w:tc>
        <w:tc>
          <w:tcPr>
            <w:tcW w:w="2461"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zh-CN" w:eastAsia="zh-CN"/>
              </w:rPr>
              <w:t>印刷费</w:t>
            </w:r>
            <w:r>
              <w:rPr>
                <w:rFonts w:hint="eastAsia" w:ascii="仿宋" w:hAnsi="仿宋" w:eastAsia="仿宋" w:cs="仿宋"/>
                <w:color w:val="000000"/>
                <w:sz w:val="24"/>
                <w:szCs w:val="24"/>
                <w:lang w:val="en-US" w:eastAsia="zh-CN"/>
              </w:rPr>
              <w:t>0.69</w:t>
            </w:r>
            <w:r>
              <w:rPr>
                <w:rFonts w:hint="eastAsia" w:ascii="仿宋" w:hAnsi="仿宋" w:eastAsia="仿宋" w:cs="仿宋"/>
                <w:color w:val="000000"/>
                <w:sz w:val="24"/>
                <w:szCs w:val="24"/>
                <w:lang w:val="zh-CN" w:eastAsia="zh-CN"/>
              </w:rPr>
              <w:t>万元</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lang w:val="zh-CN" w:eastAsia="zh-CN"/>
              </w:rPr>
              <w:t>办公耗料费支出</w:t>
            </w:r>
            <w:r>
              <w:rPr>
                <w:rFonts w:hint="eastAsia" w:ascii="仿宋" w:hAnsi="仿宋" w:eastAsia="仿宋" w:cs="仿宋"/>
                <w:color w:val="000000"/>
                <w:sz w:val="24"/>
                <w:szCs w:val="24"/>
                <w:lang w:val="en-US" w:eastAsia="zh-CN"/>
              </w:rPr>
              <w:t>0.36</w:t>
            </w:r>
            <w:r>
              <w:rPr>
                <w:rFonts w:hint="eastAsia" w:ascii="仿宋" w:hAnsi="仿宋" w:eastAsia="仿宋" w:cs="仿宋"/>
                <w:color w:val="000000"/>
                <w:sz w:val="24"/>
                <w:szCs w:val="24"/>
                <w:lang w:val="zh-CN" w:eastAsia="zh-CN"/>
              </w:rPr>
              <w:t>万元</w:t>
            </w:r>
            <w:r>
              <w:rPr>
                <w:rFonts w:hint="eastAsia" w:ascii="仿宋" w:hAnsi="仿宋" w:eastAsia="仿宋" w:cs="仿宋"/>
                <w:color w:val="000000"/>
                <w:sz w:val="24"/>
                <w:szCs w:val="24"/>
                <w:lang w:val="en-US" w:eastAsia="zh-CN"/>
              </w:rPr>
              <w:t>,差旅费支出4.44万元,汽油费、过路费、交通费、租车费合计0.92万元,劳务费3.56万元,邮寄费0.03万元。共计10万元.</w:t>
            </w:r>
          </w:p>
        </w:tc>
      </w:tr>
      <w:tr>
        <w:tblPrEx>
          <w:tblLayout w:type="fixed"/>
          <w:tblCellMar>
            <w:top w:w="0" w:type="dxa"/>
            <w:left w:w="0" w:type="dxa"/>
            <w:bottom w:w="0" w:type="dxa"/>
            <w:right w:w="0" w:type="dxa"/>
          </w:tblCellMar>
        </w:tblPrEx>
        <w:trPr>
          <w:trHeight w:val="1050"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满意度指标</w:t>
            </w:r>
          </w:p>
        </w:tc>
        <w:tc>
          <w:tcPr>
            <w:tcW w:w="133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20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客户认可</w:t>
            </w:r>
          </w:p>
        </w:tc>
        <w:tc>
          <w:tcPr>
            <w:tcW w:w="1966"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满意度</w:t>
            </w:r>
            <w:r>
              <w:rPr>
                <w:rFonts w:hint="eastAsia" w:ascii="仿宋" w:hAnsi="仿宋" w:eastAsia="仿宋" w:cs="仿宋"/>
                <w:color w:val="000000"/>
                <w:sz w:val="24"/>
                <w:szCs w:val="24"/>
                <w:lang w:val="en-US" w:eastAsia="zh-CN"/>
              </w:rPr>
              <w:t>100%</w:t>
            </w:r>
          </w:p>
        </w:tc>
        <w:tc>
          <w:tcPr>
            <w:tcW w:w="2461"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eastAsia="zh-CN"/>
              </w:rPr>
              <w:t>无投诉事件发生，满意度</w:t>
            </w:r>
            <w:r>
              <w:rPr>
                <w:rFonts w:hint="eastAsia" w:ascii="仿宋" w:hAnsi="仿宋" w:eastAsia="仿宋" w:cs="仿宋"/>
                <w:color w:val="000000"/>
                <w:sz w:val="24"/>
                <w:szCs w:val="24"/>
                <w:lang w:val="en-US" w:eastAsia="zh-CN"/>
              </w:rPr>
              <w:t>100%。</w:t>
            </w:r>
          </w:p>
        </w:tc>
      </w:tr>
    </w:tbl>
    <w:p>
      <w:pPr>
        <w:rPr>
          <w:rFonts w:hint="eastAsia" w:ascii="仿宋" w:hAnsi="仿宋" w:eastAsia="仿宋" w:cs="仿宋"/>
          <w:sz w:val="24"/>
          <w:szCs w:val="24"/>
        </w:rPr>
      </w:pPr>
    </w:p>
    <w:p>
      <w:pPr>
        <w:spacing w:line="580" w:lineRule="exact"/>
        <w:ind w:firstLine="643" w:firstLineChars="200"/>
        <w:rPr>
          <w:rFonts w:ascii="仿宋_GB2312" w:hAnsi="仿宋" w:eastAsia="仿宋_GB2312" w:cs="??_GB2312"/>
          <w:sz w:val="32"/>
          <w:szCs w:val="32"/>
        </w:rPr>
      </w:pPr>
      <w:r>
        <w:rPr>
          <w:rFonts w:hint="eastAsia" w:ascii="仿宋_GB2312" w:hAnsi="仿宋" w:eastAsia="仿宋_GB2312" w:cs="楷体_GB2312"/>
          <w:b/>
          <w:bCs/>
          <w:sz w:val="32"/>
          <w:szCs w:val="32"/>
        </w:rPr>
        <w:t>（</w:t>
      </w:r>
      <w:r>
        <w:rPr>
          <w:rFonts w:hint="eastAsia" w:ascii="楷体_GB2312" w:hAnsi="仿宋" w:eastAsia="楷体_GB2312" w:cs="楷体_GB2312"/>
          <w:b/>
          <w:bCs/>
          <w:sz w:val="32"/>
          <w:szCs w:val="32"/>
        </w:rPr>
        <w:t>三）部门开展绩效评价结果</w:t>
      </w:r>
      <w:r>
        <w:rPr>
          <w:rFonts w:hint="eastAsia" w:ascii="仿宋_GB2312" w:hAnsi="仿宋" w:eastAsia="仿宋_GB2312" w:cs="楷体_GB2312"/>
          <w:b/>
          <w:bCs/>
          <w:sz w:val="32"/>
          <w:szCs w:val="32"/>
        </w:rPr>
        <w:t>。</w:t>
      </w:r>
    </w:p>
    <w:p>
      <w:pPr>
        <w:spacing w:line="580" w:lineRule="exact"/>
        <w:ind w:firstLine="640" w:firstLineChars="200"/>
        <w:rPr>
          <w:rFonts w:ascii="仿宋_GB2312" w:hAnsi="??_GB2312" w:eastAsia="仿宋_GB2312" w:cs="??_GB2312"/>
          <w:sz w:val="32"/>
          <w:szCs w:val="32"/>
        </w:rPr>
      </w:pPr>
      <w:r>
        <w:rPr>
          <w:rFonts w:hint="eastAsia" w:ascii="仿宋_GB2312" w:hAnsi="宋体" w:eastAsia="仿宋_GB2312" w:cs="宋体"/>
          <w:sz w:val="32"/>
          <w:szCs w:val="32"/>
        </w:rPr>
        <w:t>本部门按要求对</w:t>
      </w:r>
      <w:r>
        <w:rPr>
          <w:rFonts w:ascii="仿宋_GB2312" w:hAnsi="??_GB2312" w:eastAsia="仿宋_GB2312" w:cs="??_GB2312"/>
          <w:sz w:val="32"/>
          <w:szCs w:val="32"/>
        </w:rPr>
        <w:t>2018</w:t>
      </w:r>
      <w:r>
        <w:rPr>
          <w:rFonts w:hint="eastAsia" w:ascii="仿宋_GB2312" w:hAnsi="宋体" w:eastAsia="仿宋_GB2312" w:cs="宋体"/>
          <w:sz w:val="32"/>
          <w:szCs w:val="32"/>
        </w:rPr>
        <w:t>年部门整体支出绩效评价情况开展自评，《</w:t>
      </w:r>
      <w:r>
        <w:rPr>
          <w:rFonts w:ascii="仿宋_GB2312" w:hAnsi="??_GB2312" w:eastAsia="仿宋_GB2312" w:cs="??_GB2312"/>
          <w:sz w:val="32"/>
          <w:szCs w:val="32"/>
        </w:rPr>
        <w:t>2018</w:t>
      </w:r>
      <w:r>
        <w:rPr>
          <w:rFonts w:hint="eastAsia" w:ascii="仿宋_GB2312" w:hAnsi="宋体" w:eastAsia="仿宋_GB2312" w:cs="宋体"/>
          <w:sz w:val="32"/>
          <w:szCs w:val="32"/>
        </w:rPr>
        <w:t>年部门整体支出绩效评价报告》（见附件）。</w:t>
      </w:r>
    </w:p>
    <w:p>
      <w:pPr>
        <w:spacing w:line="600" w:lineRule="exact"/>
        <w:ind w:firstLine="643" w:firstLineChars="200"/>
        <w:outlineLvl w:val="1"/>
        <w:rPr>
          <w:rStyle w:val="18"/>
          <w:rFonts w:ascii="宋体" w:hAnsi="Times New Roman"/>
        </w:rPr>
      </w:pPr>
      <w:bookmarkStart w:id="50" w:name="_Toc15377221"/>
      <w:bookmarkStart w:id="51" w:name="_Toc15396612"/>
      <w:r>
        <w:rPr>
          <w:rFonts w:hint="eastAsia" w:ascii="宋体" w:hAnsi="宋体"/>
          <w:b/>
          <w:color w:val="000000"/>
          <w:sz w:val="32"/>
          <w:szCs w:val="32"/>
        </w:rPr>
        <w:t>十</w:t>
      </w:r>
      <w:r>
        <w:rPr>
          <w:rStyle w:val="18"/>
          <w:rFonts w:hint="eastAsia" w:ascii="宋体" w:hAnsi="宋体"/>
          <w:b w:val="0"/>
        </w:rPr>
        <w:t>一</w:t>
      </w:r>
      <w:r>
        <w:rPr>
          <w:rStyle w:val="18"/>
          <w:rFonts w:hint="eastAsia" w:ascii="宋体" w:hAnsi="宋体"/>
        </w:rPr>
        <w:t>、其他重要事项的情况说明</w:t>
      </w:r>
      <w:bookmarkEnd w:id="50"/>
      <w:bookmarkEnd w:id="51"/>
    </w:p>
    <w:p>
      <w:pPr>
        <w:spacing w:line="600" w:lineRule="exact"/>
        <w:ind w:firstLine="643" w:firstLineChars="200"/>
        <w:outlineLvl w:val="2"/>
        <w:rPr>
          <w:rFonts w:ascii="楷体_GB2312" w:hAnsi="仿宋" w:eastAsia="楷体_GB2312"/>
          <w:color w:val="000000"/>
          <w:sz w:val="32"/>
          <w:szCs w:val="32"/>
        </w:rPr>
      </w:pPr>
      <w:bookmarkStart w:id="52" w:name="_Toc15377222"/>
      <w:r>
        <w:rPr>
          <w:rFonts w:hint="eastAsia" w:ascii="楷体_GB2312" w:hAnsi="仿宋" w:eastAsia="楷体_GB2312"/>
          <w:b/>
          <w:color w:val="000000"/>
          <w:sz w:val="32"/>
          <w:szCs w:val="32"/>
        </w:rPr>
        <w:t>（一）机关运行经费支出情况</w:t>
      </w:r>
      <w:bookmarkEnd w:id="52"/>
    </w:p>
    <w:p>
      <w:pPr>
        <w:spacing w:line="600" w:lineRule="exact"/>
        <w:ind w:firstLine="640" w:firstLineChars="200"/>
        <w:rPr>
          <w:rFonts w:ascii="仿宋_GB2312" w:eastAsia="仿宋_GB2312"/>
          <w:b/>
          <w:sz w:val="32"/>
          <w:szCs w:val="32"/>
        </w:rPr>
      </w:pPr>
      <w:r>
        <w:rPr>
          <w:rFonts w:ascii="仿宋_GB2312" w:eastAsia="仿宋_GB2312"/>
          <w:color w:val="000000"/>
          <w:sz w:val="32"/>
          <w:szCs w:val="32"/>
        </w:rPr>
        <w:t>2018</w:t>
      </w:r>
      <w:r>
        <w:rPr>
          <w:rFonts w:hint="eastAsia" w:ascii="仿宋_GB2312" w:eastAsia="仿宋_GB2312"/>
          <w:color w:val="000000"/>
          <w:sz w:val="32"/>
          <w:szCs w:val="32"/>
        </w:rPr>
        <w:t>年，广元市质监局机关运行经费支出</w:t>
      </w:r>
      <w:r>
        <w:rPr>
          <w:rFonts w:ascii="仿宋_GB2312" w:eastAsia="仿宋_GB2312"/>
          <w:color w:val="000000"/>
          <w:sz w:val="32"/>
          <w:szCs w:val="32"/>
        </w:rPr>
        <w:t>328.01</w:t>
      </w:r>
      <w:r>
        <w:rPr>
          <w:rFonts w:hint="eastAsia" w:ascii="仿宋_GB2312" w:eastAsia="仿宋_GB2312"/>
          <w:color w:val="000000"/>
          <w:sz w:val="32"/>
          <w:szCs w:val="32"/>
        </w:rPr>
        <w:t>万元，比</w:t>
      </w:r>
      <w:r>
        <w:rPr>
          <w:rFonts w:ascii="仿宋_GB2312" w:eastAsia="仿宋_GB2312"/>
          <w:color w:val="000000"/>
          <w:sz w:val="32"/>
          <w:szCs w:val="32"/>
        </w:rPr>
        <w:t>2017</w:t>
      </w:r>
      <w:r>
        <w:rPr>
          <w:rFonts w:hint="eastAsia" w:ascii="仿宋_GB2312" w:eastAsia="仿宋_GB2312"/>
          <w:color w:val="000000"/>
          <w:sz w:val="32"/>
          <w:szCs w:val="32"/>
        </w:rPr>
        <w:t>年增加</w:t>
      </w:r>
      <w:r>
        <w:rPr>
          <w:rFonts w:ascii="仿宋_GB2312" w:eastAsia="仿宋_GB2312"/>
          <w:color w:val="000000"/>
          <w:sz w:val="32"/>
          <w:szCs w:val="32"/>
        </w:rPr>
        <w:t>83.03</w:t>
      </w:r>
      <w:r>
        <w:rPr>
          <w:rFonts w:hint="eastAsia" w:ascii="仿宋_GB2312" w:eastAsia="仿宋_GB2312"/>
          <w:color w:val="000000"/>
          <w:sz w:val="32"/>
          <w:szCs w:val="32"/>
        </w:rPr>
        <w:t>万元，增长</w:t>
      </w:r>
      <w:r>
        <w:rPr>
          <w:rFonts w:ascii="仿宋_GB2312" w:eastAsia="仿宋_GB2312"/>
          <w:color w:val="000000"/>
          <w:sz w:val="32"/>
          <w:szCs w:val="32"/>
        </w:rPr>
        <w:t>33.89%</w:t>
      </w:r>
      <w:r>
        <w:rPr>
          <w:rFonts w:hint="eastAsia" w:ascii="仿宋_GB2312" w:eastAsia="仿宋_GB2312"/>
          <w:color w:val="000000"/>
          <w:sz w:val="32"/>
          <w:szCs w:val="32"/>
        </w:rPr>
        <w:t>。主要原因是</w:t>
      </w:r>
      <w:r>
        <w:rPr>
          <w:rFonts w:hint="eastAsia" w:ascii="仿宋_GB2312" w:eastAsia="仿宋_GB2312"/>
          <w:sz w:val="32"/>
          <w:szCs w:val="32"/>
        </w:rPr>
        <w:t>扶贫经费和因公务用车改革而产生的公务用车租车费用增加。</w:t>
      </w:r>
    </w:p>
    <w:p>
      <w:pPr>
        <w:autoSpaceDE w:val="0"/>
        <w:autoSpaceDN w:val="0"/>
        <w:adjustRightInd w:val="0"/>
        <w:spacing w:line="600" w:lineRule="exact"/>
        <w:ind w:firstLine="643" w:firstLineChars="200"/>
        <w:jc w:val="left"/>
        <w:outlineLvl w:val="2"/>
        <w:rPr>
          <w:rFonts w:ascii="楷体_GB2312" w:hAnsi="仿宋" w:eastAsia="楷体_GB2312"/>
          <w:b/>
          <w:color w:val="000000"/>
          <w:sz w:val="32"/>
          <w:szCs w:val="32"/>
        </w:rPr>
      </w:pPr>
      <w:bookmarkStart w:id="53" w:name="_Toc15377223"/>
      <w:r>
        <w:rPr>
          <w:rFonts w:hint="eastAsia" w:ascii="楷体_GB2312" w:hAnsi="仿宋" w:eastAsia="楷体_GB2312"/>
          <w:b/>
          <w:color w:val="000000"/>
          <w:sz w:val="32"/>
          <w:szCs w:val="32"/>
        </w:rPr>
        <w:t>（二）政府采购支出情况</w:t>
      </w:r>
      <w:bookmarkEnd w:id="53"/>
    </w:p>
    <w:p>
      <w:pPr>
        <w:spacing w:line="600" w:lineRule="exact"/>
        <w:ind w:firstLine="640" w:firstLineChars="200"/>
        <w:rPr>
          <w:rFonts w:ascii="仿宋_GB2312" w:hAnsi="仿宋" w:eastAsia="仿宋_GB2312"/>
          <w:b/>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年度，广元市质监局政府采购支出总额</w:t>
      </w:r>
      <w:r>
        <w:rPr>
          <w:rFonts w:ascii="仿宋_GB2312" w:eastAsia="仿宋_GB2312"/>
          <w:color w:val="000000"/>
          <w:sz w:val="32"/>
          <w:szCs w:val="32"/>
        </w:rPr>
        <w:t>439.96</w:t>
      </w:r>
      <w:r>
        <w:rPr>
          <w:rFonts w:hint="eastAsia" w:ascii="仿宋_GB2312" w:eastAsia="仿宋_GB2312"/>
          <w:color w:val="000000"/>
          <w:sz w:val="32"/>
          <w:szCs w:val="32"/>
        </w:rPr>
        <w:t>万元，其中：政府采购货物支出</w:t>
      </w:r>
      <w:r>
        <w:rPr>
          <w:rFonts w:ascii="仿宋_GB2312" w:eastAsia="仿宋_GB2312"/>
          <w:color w:val="000000"/>
          <w:sz w:val="32"/>
          <w:szCs w:val="32"/>
        </w:rPr>
        <w:t>78.36</w:t>
      </w:r>
      <w:r>
        <w:rPr>
          <w:rFonts w:hint="eastAsia" w:ascii="仿宋_GB2312" w:eastAsia="仿宋_GB2312"/>
          <w:color w:val="000000"/>
          <w:sz w:val="32"/>
          <w:szCs w:val="32"/>
        </w:rPr>
        <w:t>万元、政府采购工程支出</w:t>
      </w:r>
      <w:r>
        <w:rPr>
          <w:rFonts w:ascii="仿宋_GB2312" w:eastAsia="仿宋_GB2312"/>
          <w:color w:val="000000"/>
          <w:sz w:val="32"/>
          <w:szCs w:val="32"/>
        </w:rPr>
        <w:t>0</w:t>
      </w:r>
      <w:r>
        <w:rPr>
          <w:rFonts w:hint="eastAsia" w:ascii="仿宋_GB2312" w:eastAsia="仿宋_GB2312"/>
          <w:color w:val="000000"/>
          <w:sz w:val="32"/>
          <w:szCs w:val="32"/>
        </w:rPr>
        <w:t>万元、政府采购服务支出</w:t>
      </w:r>
      <w:r>
        <w:rPr>
          <w:rFonts w:ascii="仿宋_GB2312" w:eastAsia="仿宋_GB2312"/>
          <w:color w:val="000000"/>
          <w:sz w:val="32"/>
          <w:szCs w:val="32"/>
        </w:rPr>
        <w:t>361.60</w:t>
      </w:r>
      <w:r>
        <w:rPr>
          <w:rFonts w:hint="eastAsia" w:ascii="仿宋_GB2312" w:eastAsia="仿宋_GB2312"/>
          <w:color w:val="000000"/>
          <w:sz w:val="32"/>
          <w:szCs w:val="32"/>
        </w:rPr>
        <w:t>万元。主要用于质量技术监督及检验工作。授予中小企业合同金额</w:t>
      </w:r>
      <w:r>
        <w:rPr>
          <w:rFonts w:ascii="仿宋_GB2312" w:eastAsia="仿宋_GB2312"/>
          <w:color w:val="000000"/>
          <w:sz w:val="32"/>
          <w:szCs w:val="32"/>
        </w:rPr>
        <w:t>0</w:t>
      </w:r>
      <w:r>
        <w:rPr>
          <w:rFonts w:hint="eastAsia" w:ascii="仿宋_GB2312" w:eastAsia="仿宋_GB2312"/>
          <w:color w:val="000000"/>
          <w:sz w:val="32"/>
          <w:szCs w:val="32"/>
        </w:rPr>
        <w:t>万元，占政府采购支出总额的</w:t>
      </w:r>
      <w:r>
        <w:rPr>
          <w:rFonts w:ascii="仿宋_GB2312" w:eastAsia="仿宋_GB2312"/>
          <w:color w:val="000000"/>
          <w:sz w:val="32"/>
          <w:szCs w:val="32"/>
        </w:rPr>
        <w:t>0%</w:t>
      </w:r>
      <w:r>
        <w:rPr>
          <w:rFonts w:hint="eastAsia" w:ascii="仿宋_GB2312" w:eastAsia="仿宋_GB2312"/>
          <w:color w:val="000000"/>
          <w:sz w:val="32"/>
          <w:szCs w:val="32"/>
        </w:rPr>
        <w:t>，其中：授予小微企业合同金额</w:t>
      </w:r>
      <w:r>
        <w:rPr>
          <w:rFonts w:ascii="仿宋_GB2312" w:eastAsia="仿宋_GB2312"/>
          <w:color w:val="000000"/>
          <w:sz w:val="32"/>
          <w:szCs w:val="32"/>
        </w:rPr>
        <w:t>0</w:t>
      </w:r>
      <w:r>
        <w:rPr>
          <w:rFonts w:hint="eastAsia" w:ascii="仿宋_GB2312" w:eastAsia="仿宋_GB2312"/>
          <w:color w:val="000000"/>
          <w:sz w:val="32"/>
          <w:szCs w:val="32"/>
        </w:rPr>
        <w:t>万元，占政府采购支出总额的</w:t>
      </w:r>
      <w:r>
        <w:rPr>
          <w:rFonts w:ascii="仿宋_GB2312" w:eastAsia="仿宋_GB2312"/>
          <w:color w:val="000000"/>
          <w:sz w:val="32"/>
          <w:szCs w:val="32"/>
        </w:rPr>
        <w:t>0%</w:t>
      </w:r>
      <w:r>
        <w:rPr>
          <w:rFonts w:hint="eastAsia" w:ascii="仿宋_GB2312" w:eastAsia="仿宋_GB2312"/>
          <w:color w:val="000000"/>
          <w:sz w:val="32"/>
          <w:szCs w:val="32"/>
        </w:rPr>
        <w:t>。</w:t>
      </w:r>
    </w:p>
    <w:p>
      <w:pPr>
        <w:autoSpaceDE w:val="0"/>
        <w:autoSpaceDN w:val="0"/>
        <w:adjustRightInd w:val="0"/>
        <w:spacing w:line="600" w:lineRule="exact"/>
        <w:ind w:firstLine="643" w:firstLineChars="200"/>
        <w:jc w:val="left"/>
        <w:outlineLvl w:val="2"/>
        <w:rPr>
          <w:rFonts w:ascii="楷体_GB2312" w:hAnsi="仿宋" w:eastAsia="楷体_GB2312"/>
          <w:b/>
          <w:color w:val="000000"/>
          <w:sz w:val="32"/>
          <w:szCs w:val="32"/>
        </w:rPr>
      </w:pPr>
      <w:bookmarkStart w:id="54" w:name="_Toc15377224"/>
      <w:r>
        <w:rPr>
          <w:rFonts w:hint="eastAsia" w:ascii="楷体_GB2312" w:hAnsi="仿宋" w:eastAsia="楷体_GB2312"/>
          <w:b/>
          <w:color w:val="000000"/>
          <w:sz w:val="32"/>
          <w:szCs w:val="32"/>
        </w:rPr>
        <w:t>（三）国有资产占有使用情况</w:t>
      </w:r>
      <w:bookmarkEnd w:id="54"/>
    </w:p>
    <w:p>
      <w:pPr>
        <w:autoSpaceDE w:val="0"/>
        <w:autoSpaceDN w:val="0"/>
        <w:adjustRightInd w:val="0"/>
        <w:spacing w:line="600" w:lineRule="exact"/>
        <w:ind w:firstLine="640" w:firstLineChars="200"/>
        <w:jc w:val="left"/>
        <w:rPr>
          <w:rFonts w:ascii="仿宋_GB2312" w:hAnsi="仿宋" w:eastAsia="仿宋_GB2312"/>
          <w:b/>
          <w:color w:val="000000"/>
          <w:sz w:val="32"/>
          <w:szCs w:val="32"/>
        </w:rPr>
      </w:pPr>
      <w:r>
        <w:rPr>
          <w:rFonts w:hint="eastAsia" w:ascii="仿宋_GB2312" w:eastAsia="仿宋_GB2312"/>
          <w:color w:val="000000"/>
          <w:sz w:val="32"/>
          <w:szCs w:val="32"/>
        </w:rPr>
        <w:t>截至</w:t>
      </w:r>
      <w:r>
        <w:rPr>
          <w:rFonts w:ascii="仿宋_GB2312" w:eastAsia="仿宋_GB2312"/>
          <w:color w:val="000000"/>
          <w:sz w:val="32"/>
          <w:szCs w:val="32"/>
        </w:rPr>
        <w:t>2018</w:t>
      </w:r>
      <w:r>
        <w:rPr>
          <w:rFonts w:hint="eastAsia" w:ascii="仿宋_GB2312" w:eastAsia="仿宋_GB2312"/>
          <w:color w:val="000000"/>
          <w:sz w:val="32"/>
          <w:szCs w:val="32"/>
        </w:rPr>
        <w:t>年</w:t>
      </w:r>
      <w:r>
        <w:rPr>
          <w:rFonts w:ascii="仿宋_GB2312" w:eastAsia="仿宋_GB2312"/>
          <w:color w:val="000000"/>
          <w:sz w:val="32"/>
          <w:szCs w:val="32"/>
        </w:rPr>
        <w:t>12</w:t>
      </w:r>
      <w:r>
        <w:rPr>
          <w:rFonts w:hint="eastAsia" w:ascii="仿宋_GB2312" w:eastAsia="仿宋_GB2312"/>
          <w:color w:val="000000"/>
          <w:sz w:val="32"/>
          <w:szCs w:val="32"/>
        </w:rPr>
        <w:t>月</w:t>
      </w:r>
      <w:r>
        <w:rPr>
          <w:rFonts w:ascii="仿宋_GB2312" w:eastAsia="仿宋_GB2312"/>
          <w:color w:val="000000"/>
          <w:sz w:val="32"/>
          <w:szCs w:val="32"/>
        </w:rPr>
        <w:t>31</w:t>
      </w:r>
      <w:r>
        <w:rPr>
          <w:rFonts w:hint="eastAsia" w:ascii="仿宋_GB2312" w:eastAsia="仿宋_GB2312"/>
          <w:color w:val="000000"/>
          <w:sz w:val="32"/>
          <w:szCs w:val="32"/>
        </w:rPr>
        <w:t>日，广元市质监局共有车辆</w:t>
      </w:r>
      <w:r>
        <w:rPr>
          <w:rFonts w:ascii="仿宋_GB2312" w:eastAsia="仿宋_GB2312"/>
          <w:color w:val="000000"/>
          <w:sz w:val="32"/>
          <w:szCs w:val="32"/>
        </w:rPr>
        <w:t>13</w:t>
      </w:r>
      <w:r>
        <w:rPr>
          <w:rFonts w:hint="eastAsia" w:ascii="仿宋_GB2312" w:eastAsia="仿宋_GB2312"/>
          <w:color w:val="000000"/>
          <w:sz w:val="32"/>
          <w:szCs w:val="32"/>
        </w:rPr>
        <w:t>辆，其中：部级领导干部用车</w:t>
      </w:r>
      <w:r>
        <w:rPr>
          <w:rFonts w:ascii="仿宋_GB2312" w:eastAsia="仿宋_GB2312"/>
          <w:color w:val="000000"/>
          <w:sz w:val="32"/>
          <w:szCs w:val="32"/>
        </w:rPr>
        <w:t>0</w:t>
      </w:r>
      <w:r>
        <w:rPr>
          <w:rFonts w:hint="eastAsia" w:ascii="仿宋_GB2312" w:eastAsia="仿宋_GB2312"/>
          <w:color w:val="000000"/>
          <w:sz w:val="32"/>
          <w:szCs w:val="32"/>
        </w:rPr>
        <w:t>辆、应急保障用车</w:t>
      </w:r>
      <w:r>
        <w:rPr>
          <w:rFonts w:ascii="仿宋_GB2312" w:eastAsia="仿宋_GB2312"/>
          <w:color w:val="000000"/>
          <w:sz w:val="32"/>
          <w:szCs w:val="32"/>
        </w:rPr>
        <w:t>1</w:t>
      </w:r>
      <w:r>
        <w:rPr>
          <w:rFonts w:hint="eastAsia" w:ascii="仿宋_GB2312" w:eastAsia="仿宋_GB2312"/>
          <w:color w:val="000000"/>
          <w:sz w:val="32"/>
          <w:szCs w:val="32"/>
        </w:rPr>
        <w:t>辆、一般执法执勤用车</w:t>
      </w:r>
      <w:r>
        <w:rPr>
          <w:rFonts w:ascii="仿宋_GB2312" w:eastAsia="仿宋_GB2312"/>
          <w:color w:val="000000"/>
          <w:sz w:val="32"/>
          <w:szCs w:val="32"/>
        </w:rPr>
        <w:t>0</w:t>
      </w:r>
      <w:r>
        <w:rPr>
          <w:rFonts w:hint="eastAsia" w:ascii="仿宋_GB2312" w:eastAsia="仿宋_GB2312"/>
          <w:color w:val="000000"/>
          <w:sz w:val="32"/>
          <w:szCs w:val="32"/>
        </w:rPr>
        <w:t>辆、特种专业技术用车</w:t>
      </w:r>
      <w:r>
        <w:rPr>
          <w:rFonts w:ascii="仿宋_GB2312" w:eastAsia="仿宋_GB2312"/>
          <w:color w:val="000000"/>
          <w:sz w:val="32"/>
          <w:szCs w:val="32"/>
        </w:rPr>
        <w:t>2</w:t>
      </w:r>
      <w:r>
        <w:rPr>
          <w:rFonts w:hint="eastAsia" w:ascii="仿宋_GB2312" w:eastAsia="仿宋_GB2312"/>
          <w:color w:val="000000"/>
          <w:sz w:val="32"/>
          <w:szCs w:val="32"/>
        </w:rPr>
        <w:t>辆、其他用车</w:t>
      </w:r>
      <w:r>
        <w:rPr>
          <w:rFonts w:ascii="仿宋_GB2312" w:eastAsia="仿宋_GB2312"/>
          <w:color w:val="000000"/>
          <w:sz w:val="32"/>
          <w:szCs w:val="32"/>
        </w:rPr>
        <w:t>10</w:t>
      </w:r>
      <w:r>
        <w:rPr>
          <w:rFonts w:hint="eastAsia" w:ascii="仿宋_GB2312" w:eastAsia="仿宋_GB2312"/>
          <w:color w:val="000000"/>
          <w:sz w:val="32"/>
          <w:szCs w:val="32"/>
        </w:rPr>
        <w:t>辆；单价</w:t>
      </w:r>
      <w:r>
        <w:rPr>
          <w:rFonts w:ascii="仿宋_GB2312" w:eastAsia="仿宋_GB2312"/>
          <w:color w:val="000000"/>
          <w:sz w:val="32"/>
          <w:szCs w:val="32"/>
        </w:rPr>
        <w:t>50</w:t>
      </w:r>
      <w:r>
        <w:rPr>
          <w:rFonts w:hint="eastAsia" w:ascii="仿宋_GB2312" w:eastAsia="仿宋_GB2312"/>
          <w:color w:val="000000"/>
          <w:sz w:val="32"/>
          <w:szCs w:val="32"/>
        </w:rPr>
        <w:t>万元以上通用设备</w:t>
      </w:r>
      <w:r>
        <w:rPr>
          <w:rFonts w:ascii="仿宋_GB2312" w:eastAsia="仿宋_GB2312"/>
          <w:color w:val="000000"/>
          <w:sz w:val="32"/>
          <w:szCs w:val="32"/>
        </w:rPr>
        <w:t>8</w:t>
      </w:r>
      <w:r>
        <w:rPr>
          <w:rFonts w:hint="eastAsia" w:ascii="仿宋_GB2312" w:eastAsia="仿宋_GB2312"/>
          <w:color w:val="000000"/>
          <w:sz w:val="32"/>
          <w:szCs w:val="32"/>
        </w:rPr>
        <w:t>台（套），单价</w:t>
      </w:r>
      <w:r>
        <w:rPr>
          <w:rFonts w:ascii="仿宋_GB2312" w:eastAsia="仿宋_GB2312"/>
          <w:color w:val="000000"/>
          <w:sz w:val="32"/>
          <w:szCs w:val="32"/>
        </w:rPr>
        <w:t>100</w:t>
      </w:r>
      <w:r>
        <w:rPr>
          <w:rFonts w:hint="eastAsia" w:ascii="仿宋_GB2312" w:eastAsia="仿宋_GB2312"/>
          <w:color w:val="000000"/>
          <w:sz w:val="32"/>
          <w:szCs w:val="32"/>
        </w:rPr>
        <w:t>万元以上专用设备</w:t>
      </w:r>
      <w:r>
        <w:rPr>
          <w:rFonts w:ascii="仿宋_GB2312" w:eastAsia="仿宋_GB2312"/>
          <w:color w:val="000000"/>
          <w:sz w:val="32"/>
          <w:szCs w:val="32"/>
        </w:rPr>
        <w:t>1</w:t>
      </w:r>
      <w:r>
        <w:rPr>
          <w:rFonts w:hint="eastAsia" w:ascii="仿宋_GB2312" w:eastAsia="仿宋_GB2312"/>
          <w:color w:val="000000"/>
          <w:sz w:val="32"/>
          <w:szCs w:val="32"/>
        </w:rPr>
        <w:t>台（套）。</w:t>
      </w:r>
    </w:p>
    <w:p>
      <w:pPr>
        <w:spacing w:line="600" w:lineRule="exact"/>
        <w:jc w:val="center"/>
        <w:outlineLvl w:val="0"/>
        <w:rPr>
          <w:rFonts w:ascii="仿宋_GB2312" w:hAnsi="黑体" w:eastAsia="仿宋_GB2312"/>
          <w:bCs/>
          <w:color w:val="000000"/>
          <w:sz w:val="32"/>
          <w:szCs w:val="32"/>
        </w:rPr>
      </w:pPr>
      <w:bookmarkStart w:id="55" w:name="_Toc15377225"/>
      <w:bookmarkStart w:id="56" w:name="_Toc15396613"/>
    </w:p>
    <w:p>
      <w:pPr>
        <w:spacing w:line="600" w:lineRule="exact"/>
        <w:jc w:val="center"/>
        <w:outlineLvl w:val="0"/>
        <w:rPr>
          <w:rStyle w:val="17"/>
          <w:rFonts w:ascii="宋体"/>
          <w:b w:val="0"/>
          <w:sz w:val="32"/>
          <w:szCs w:val="32"/>
        </w:rPr>
      </w:pPr>
      <w:r>
        <w:rPr>
          <w:rFonts w:hint="eastAsia" w:ascii="宋体" w:hAnsi="宋体"/>
          <w:b/>
          <w:bCs/>
          <w:color w:val="000000"/>
          <w:sz w:val="32"/>
          <w:szCs w:val="32"/>
        </w:rPr>
        <w:t>第三部分</w:t>
      </w:r>
      <w:r>
        <w:rPr>
          <w:rFonts w:ascii="宋体" w:hAnsi="宋体"/>
          <w:b/>
          <w:bCs/>
          <w:color w:val="000000"/>
          <w:sz w:val="32"/>
          <w:szCs w:val="32"/>
        </w:rPr>
        <w:t xml:space="preserve"> </w:t>
      </w:r>
      <w:r>
        <w:rPr>
          <w:rFonts w:hint="eastAsia" w:ascii="宋体" w:hAnsi="宋体"/>
          <w:b/>
          <w:bCs/>
          <w:color w:val="000000"/>
          <w:sz w:val="32"/>
          <w:szCs w:val="32"/>
        </w:rPr>
        <w:t>名</w:t>
      </w:r>
      <w:r>
        <w:rPr>
          <w:rStyle w:val="17"/>
          <w:rFonts w:hint="eastAsia" w:ascii="宋体" w:hAnsi="宋体"/>
          <w:sz w:val="32"/>
          <w:szCs w:val="32"/>
        </w:rPr>
        <w:t>词解释</w:t>
      </w:r>
      <w:bookmarkEnd w:id="55"/>
      <w:bookmarkEnd w:id="56"/>
    </w:p>
    <w:p>
      <w:pPr>
        <w:spacing w:line="600" w:lineRule="exact"/>
        <w:jc w:val="left"/>
        <w:rPr>
          <w:rFonts w:ascii="仿宋_GB2312" w:eastAsia="仿宋_GB2312"/>
          <w:b/>
          <w:color w:val="000000"/>
          <w:sz w:val="32"/>
          <w:szCs w:val="32"/>
        </w:rPr>
      </w:pPr>
    </w:p>
    <w:p>
      <w:pPr>
        <w:pStyle w:val="27"/>
        <w:spacing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pPr>
        <w:pStyle w:val="27"/>
        <w:spacing w:line="580" w:lineRule="exact"/>
        <w:ind w:firstLine="640" w:firstLineChars="200"/>
        <w:jc w:val="both"/>
        <w:rPr>
          <w:rFonts w:ascii="仿宋_GB2312" w:eastAsia="仿宋_GB2312"/>
          <w:color w:val="auto"/>
          <w:sz w:val="32"/>
          <w:szCs w:val="32"/>
        </w:rPr>
      </w:pPr>
      <w:r>
        <w:rPr>
          <w:rFonts w:ascii="仿宋_GB2312" w:eastAsia="仿宋_GB2312"/>
          <w:sz w:val="32"/>
          <w:szCs w:val="32"/>
        </w:rPr>
        <w:t>2</w:t>
      </w:r>
      <w:r>
        <w:rPr>
          <w:rFonts w:hint="eastAsia" w:ascii="仿宋_GB2312" w:eastAsia="仿宋_GB2312"/>
          <w:sz w:val="32"/>
          <w:szCs w:val="32"/>
        </w:rPr>
        <w:t>、其他收入：指单位取得的除上述收入以外的各项收入。</w:t>
      </w:r>
      <w:r>
        <w:rPr>
          <w:rFonts w:hint="eastAsia" w:ascii="仿宋_GB2312" w:eastAsia="仿宋_GB2312"/>
          <w:color w:val="auto"/>
          <w:sz w:val="32"/>
          <w:szCs w:val="32"/>
        </w:rPr>
        <w:t>主要是非本级部门拨款以及利息收入等。</w:t>
      </w:r>
      <w:r>
        <w:rPr>
          <w:rFonts w:ascii="仿宋_GB2312" w:eastAsia="仿宋_GB2312"/>
          <w:color w:val="auto"/>
          <w:sz w:val="32"/>
          <w:szCs w:val="32"/>
        </w:rPr>
        <w:t xml:space="preserve"> </w:t>
      </w:r>
    </w:p>
    <w:p>
      <w:pPr>
        <w:pStyle w:val="27"/>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、年初结转和结余：指以前年度尚未完成、结转到本年按有关规定继续使用的资金。</w:t>
      </w:r>
      <w:r>
        <w:rPr>
          <w:rFonts w:ascii="仿宋_GB2312" w:eastAsia="仿宋_GB2312"/>
          <w:sz w:val="32"/>
          <w:szCs w:val="32"/>
        </w:rPr>
        <w:t xml:space="preserve"> </w:t>
      </w:r>
    </w:p>
    <w:p>
      <w:pPr>
        <w:spacing w:line="580" w:lineRule="exact"/>
        <w:ind w:firstLine="640" w:firstLineChars="200"/>
        <w:rPr>
          <w:rFonts w:ascii="仿宋_GB2312" w:hAnsi="Calibri" w:eastAsia="仿宋_GB2312" w:cs="仿宋"/>
          <w:color w:val="000000"/>
          <w:kern w:val="0"/>
          <w:sz w:val="32"/>
          <w:szCs w:val="32"/>
        </w:rPr>
      </w:pPr>
      <w:r>
        <w:rPr>
          <w:rFonts w:ascii="仿宋_GB2312" w:eastAsia="仿宋_GB2312"/>
          <w:sz w:val="32"/>
          <w:szCs w:val="32"/>
        </w:rPr>
        <w:t>4</w:t>
      </w:r>
      <w:r>
        <w:rPr>
          <w:rFonts w:hint="eastAsia" w:ascii="仿宋_GB2312" w:eastAsia="仿宋_GB2312"/>
          <w:sz w:val="32"/>
          <w:szCs w:val="32"/>
        </w:rPr>
        <w:t>、年末结转和结余：</w:t>
      </w:r>
      <w:r>
        <w:rPr>
          <w:rFonts w:hint="eastAsia" w:ascii="仿宋_GB2312" w:hAnsi="Calibri" w:eastAsia="仿宋_GB2312" w:cs="仿宋"/>
          <w:color w:val="000000"/>
          <w:kern w:val="0"/>
          <w:sz w:val="32"/>
          <w:szCs w:val="32"/>
        </w:rPr>
        <w:t>指本年度或以前年度预算安排、因客观条件发生变化无法按原计划实施，需延迟到以后年度按有关规定继续使用的资金。</w:t>
      </w:r>
    </w:p>
    <w:p>
      <w:pPr>
        <w:spacing w:line="580" w:lineRule="exact"/>
        <w:ind w:firstLine="640" w:firstLineChars="200"/>
        <w:rPr>
          <w:rFonts w:ascii="仿宋_GB2312" w:hAnsi="Calibri" w:eastAsia="仿宋_GB2312" w:cs="仿宋"/>
          <w:color w:val="000000"/>
          <w:kern w:val="0"/>
          <w:sz w:val="32"/>
          <w:szCs w:val="32"/>
        </w:rPr>
      </w:pPr>
      <w:r>
        <w:rPr>
          <w:rFonts w:ascii="仿宋_GB2312" w:hAnsi="Calibri" w:eastAsia="仿宋_GB2312" w:cs="仿宋"/>
          <w:color w:val="000000"/>
          <w:kern w:val="0"/>
          <w:sz w:val="32"/>
          <w:szCs w:val="32"/>
        </w:rPr>
        <w:t>5</w:t>
      </w:r>
      <w:r>
        <w:rPr>
          <w:rFonts w:hint="eastAsia" w:ascii="仿宋_GB2312" w:hAnsi="Calibri" w:eastAsia="仿宋_GB2312" w:cs="仿宋"/>
          <w:color w:val="000000"/>
          <w:kern w:val="0"/>
          <w:sz w:val="32"/>
          <w:szCs w:val="32"/>
        </w:rPr>
        <w:t>、一般公共服务质量技术监督与检验检疫事务反映质量技术监督、出入境检验检疫等方面的支出；行政运行反映行政单位的基本支出，一般行政管理事务指行政单位未单独设置项级科目的其他项目支出；机关服务指为行政单位提供后勤服务的支出；质量技术监督行政执法及业务管理指质量技术监督部门以及法律法规开展行政执法事务以及质量管理、质量监督、计量管理、标准化、特种设备安全监察等业务管理事务的支出；质量技术监督支持指质量技术监督部门用于补充、更新、完善技术手段和技术保障条件等技术支持事务的支出；标准化管理指标准化管理方面的支出；事业运行指事业单位的基本支出；其他质量技术监督与检验检疫事务支出指上述项目以外其他用于质量技术监督与检验检疫事务方面的支出。</w:t>
      </w:r>
    </w:p>
    <w:p>
      <w:pPr>
        <w:spacing w:line="580" w:lineRule="exact"/>
        <w:ind w:firstLine="640" w:firstLineChars="200"/>
        <w:rPr>
          <w:rFonts w:ascii="仿宋_GB2312" w:hAnsi="Calibri" w:eastAsia="仿宋_GB2312" w:cs="仿宋"/>
          <w:color w:val="000000"/>
          <w:kern w:val="0"/>
          <w:sz w:val="32"/>
          <w:szCs w:val="32"/>
        </w:rPr>
      </w:pPr>
      <w:r>
        <w:rPr>
          <w:rFonts w:ascii="仿宋_GB2312" w:hAnsi="Calibri" w:eastAsia="仿宋_GB2312" w:cs="仿宋"/>
          <w:color w:val="000000"/>
          <w:kern w:val="0"/>
          <w:sz w:val="32"/>
          <w:szCs w:val="32"/>
        </w:rPr>
        <w:t>6</w:t>
      </w:r>
      <w:r>
        <w:rPr>
          <w:rFonts w:hint="eastAsia" w:ascii="仿宋_GB2312" w:hAnsi="Calibri" w:eastAsia="仿宋_GB2312" w:cs="仿宋"/>
          <w:color w:val="000000"/>
          <w:kern w:val="0"/>
          <w:sz w:val="32"/>
          <w:szCs w:val="32"/>
        </w:rPr>
        <w:t>、社会保障和就业支出的行政事业单位离退休中的机关事业单位养老保险缴费和职业年金指在职职工养老保险和职业年金。</w:t>
      </w:r>
    </w:p>
    <w:p>
      <w:pPr>
        <w:spacing w:line="580" w:lineRule="exact"/>
        <w:ind w:firstLine="640" w:firstLineChars="200"/>
        <w:rPr>
          <w:rFonts w:ascii="仿宋_GB2312" w:hAnsi="Calibri" w:eastAsia="仿宋_GB2312" w:cs="仿宋"/>
          <w:color w:val="000000"/>
          <w:kern w:val="0"/>
          <w:sz w:val="32"/>
          <w:szCs w:val="32"/>
        </w:rPr>
      </w:pPr>
      <w:r>
        <w:rPr>
          <w:rFonts w:ascii="仿宋_GB2312" w:hAnsi="Calibri" w:eastAsia="仿宋_GB2312" w:cs="仿宋"/>
          <w:color w:val="000000"/>
          <w:kern w:val="0"/>
          <w:sz w:val="32"/>
          <w:szCs w:val="32"/>
        </w:rPr>
        <w:t>7</w:t>
      </w:r>
      <w:r>
        <w:rPr>
          <w:rFonts w:hint="eastAsia" w:ascii="仿宋_GB2312" w:hAnsi="Calibri" w:eastAsia="仿宋_GB2312" w:cs="仿宋"/>
          <w:color w:val="000000"/>
          <w:kern w:val="0"/>
          <w:sz w:val="32"/>
          <w:szCs w:val="32"/>
        </w:rPr>
        <w:t>、医疗卫生与计划生育支出中的行政单位医疗指行政单位基本医疗保险缴费，事业医疗指事业单位基本医疗保险缴费。</w:t>
      </w:r>
    </w:p>
    <w:p>
      <w:pPr>
        <w:spacing w:line="580" w:lineRule="exact"/>
        <w:ind w:firstLine="640" w:firstLineChars="200"/>
        <w:rPr>
          <w:rFonts w:ascii="仿宋_GB2312" w:hAnsi="Calibri" w:eastAsia="仿宋_GB2312" w:cs="仿宋"/>
          <w:color w:val="000000"/>
          <w:kern w:val="0"/>
          <w:sz w:val="32"/>
          <w:szCs w:val="32"/>
        </w:rPr>
      </w:pPr>
      <w:r>
        <w:rPr>
          <w:rFonts w:ascii="仿宋_GB2312" w:hAnsi="Calibri" w:eastAsia="仿宋_GB2312" w:cs="仿宋"/>
          <w:color w:val="000000"/>
          <w:kern w:val="0"/>
          <w:sz w:val="32"/>
          <w:szCs w:val="32"/>
        </w:rPr>
        <w:t>8</w:t>
      </w:r>
      <w:r>
        <w:rPr>
          <w:rFonts w:hint="eastAsia" w:ascii="仿宋_GB2312" w:hAnsi="Calibri" w:eastAsia="仿宋_GB2312" w:cs="仿宋"/>
          <w:color w:val="000000"/>
          <w:kern w:val="0"/>
          <w:sz w:val="32"/>
          <w:szCs w:val="32"/>
        </w:rPr>
        <w:t>、节能环保中的其他节能环保指用于环境监测与监察方面的支出。</w:t>
      </w:r>
    </w:p>
    <w:p>
      <w:pPr>
        <w:spacing w:line="580" w:lineRule="exact"/>
        <w:ind w:firstLine="640" w:firstLineChars="200"/>
        <w:rPr>
          <w:rFonts w:ascii="仿宋_GB2312" w:hAnsi="Calibri" w:eastAsia="仿宋_GB2312" w:cs="仿宋"/>
          <w:color w:val="000000"/>
          <w:kern w:val="0"/>
          <w:sz w:val="32"/>
          <w:szCs w:val="32"/>
        </w:rPr>
      </w:pPr>
      <w:r>
        <w:rPr>
          <w:rFonts w:ascii="仿宋_GB2312" w:hAnsi="Calibri" w:eastAsia="仿宋_GB2312" w:cs="仿宋"/>
          <w:color w:val="000000"/>
          <w:kern w:val="0"/>
          <w:sz w:val="32"/>
          <w:szCs w:val="32"/>
        </w:rPr>
        <w:t>9</w:t>
      </w:r>
      <w:r>
        <w:rPr>
          <w:rFonts w:hint="eastAsia" w:ascii="仿宋_GB2312" w:hAnsi="Calibri" w:eastAsia="仿宋_GB2312" w:cs="仿宋"/>
          <w:color w:val="000000"/>
          <w:kern w:val="0"/>
          <w:sz w:val="32"/>
          <w:szCs w:val="32"/>
        </w:rPr>
        <w:t>、住房保障支出中的住房公积金指人力资源部和财政部规定的基本工资和津贴补贴以及规定比例为职工缴纳的住房公积金。</w:t>
      </w:r>
    </w:p>
    <w:p>
      <w:pPr>
        <w:spacing w:line="580" w:lineRule="exact"/>
        <w:ind w:firstLine="640" w:firstLineChars="200"/>
        <w:rPr>
          <w:rFonts w:ascii="仿宋_GB2312" w:hAnsi="Calibri" w:eastAsia="仿宋_GB2312" w:cs="仿宋"/>
          <w:color w:val="000000"/>
          <w:kern w:val="0"/>
          <w:sz w:val="32"/>
          <w:szCs w:val="32"/>
        </w:rPr>
      </w:pPr>
      <w:r>
        <w:rPr>
          <w:rFonts w:ascii="仿宋_GB2312" w:hAnsi="Calibri" w:eastAsia="仿宋_GB2312" w:cs="仿宋"/>
          <w:color w:val="000000"/>
          <w:kern w:val="0"/>
          <w:sz w:val="32"/>
          <w:szCs w:val="32"/>
        </w:rPr>
        <w:t>10</w:t>
      </w:r>
      <w:r>
        <w:rPr>
          <w:rFonts w:hint="eastAsia" w:ascii="仿宋_GB2312" w:hAnsi="Calibri" w:eastAsia="仿宋_GB2312" w:cs="仿宋"/>
          <w:color w:val="000000"/>
          <w:kern w:val="0"/>
          <w:sz w:val="32"/>
          <w:szCs w:val="32"/>
        </w:rPr>
        <w:t>、基本支出：指为保障机构正常运转、完成日常工作任务而发生的人员支出和公用支出。</w:t>
      </w:r>
    </w:p>
    <w:p>
      <w:pPr>
        <w:spacing w:line="580" w:lineRule="exact"/>
        <w:ind w:firstLine="640" w:firstLineChars="200"/>
        <w:rPr>
          <w:rFonts w:ascii="仿宋_GB2312" w:eastAsia="仿宋_GB2312"/>
          <w:sz w:val="32"/>
          <w:szCs w:val="32"/>
        </w:rPr>
      </w:pPr>
      <w:r>
        <w:rPr>
          <w:rFonts w:ascii="仿宋_GB2312" w:hAnsi="Calibri" w:eastAsia="仿宋_GB2312" w:cs="仿宋"/>
          <w:color w:val="000000"/>
          <w:kern w:val="0"/>
          <w:sz w:val="32"/>
          <w:szCs w:val="32"/>
        </w:rPr>
        <w:t>11</w:t>
      </w:r>
      <w:r>
        <w:rPr>
          <w:rFonts w:hint="eastAsia" w:ascii="仿宋_GB2312" w:hAnsi="Calibri" w:eastAsia="仿宋_GB2312" w:cs="仿宋"/>
          <w:color w:val="000000"/>
          <w:kern w:val="0"/>
          <w:sz w:val="32"/>
          <w:szCs w:val="32"/>
        </w:rPr>
        <w:t>、项目支出：指在基本支出之外为完成特定行政任务和事业发展目标所发生的支出。</w:t>
      </w:r>
      <w:r>
        <w:rPr>
          <w:rFonts w:ascii="仿宋_GB2312" w:eastAsia="仿宋_GB2312"/>
          <w:sz w:val="32"/>
          <w:szCs w:val="32"/>
        </w:rPr>
        <w:t xml:space="preserve"> </w:t>
      </w:r>
    </w:p>
    <w:p>
      <w:pPr>
        <w:pStyle w:val="27"/>
        <w:spacing w:line="580" w:lineRule="exact"/>
        <w:ind w:firstLine="640" w:firstLineChars="200"/>
        <w:jc w:val="both"/>
        <w:rPr>
          <w:rFonts w:ascii="仿宋_GB2312" w:eastAsia="仿宋_GB2312"/>
          <w:color w:val="auto"/>
          <w:sz w:val="32"/>
          <w:szCs w:val="32"/>
        </w:rPr>
      </w:pPr>
      <w:r>
        <w:rPr>
          <w:rFonts w:ascii="仿宋_GB2312" w:eastAsia="仿宋_GB2312"/>
          <w:color w:val="auto"/>
          <w:sz w:val="32"/>
          <w:szCs w:val="32"/>
        </w:rPr>
        <w:t>12</w:t>
      </w:r>
      <w:r>
        <w:rPr>
          <w:rFonts w:hint="eastAsia" w:ascii="仿宋_GB2312" w:eastAsia="仿宋_GB2312"/>
          <w:color w:val="auto"/>
          <w:sz w:val="32"/>
          <w:szCs w:val="32"/>
        </w:rPr>
        <w:t>、“三公”经费：纳入市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ind w:firstLine="640" w:firstLineChars="200"/>
        <w:rPr>
          <w:rFonts w:ascii="仿宋_GB2312" w:eastAsia="仿宋_GB2312"/>
          <w:color w:val="000000"/>
          <w:sz w:val="32"/>
          <w:szCs w:val="32"/>
        </w:rPr>
      </w:pPr>
      <w:r>
        <w:rPr>
          <w:rFonts w:ascii="仿宋_GB2312" w:eastAsia="仿宋_GB2312"/>
          <w:sz w:val="32"/>
          <w:szCs w:val="32"/>
        </w:rPr>
        <w:t>13</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ind w:firstLine="643" w:firstLineChars="200"/>
        <w:rPr>
          <w:rFonts w:ascii="仿宋_GB2312" w:hAnsi="仿宋" w:eastAsia="仿宋_GB2312"/>
          <w:b/>
          <w:color w:val="000000"/>
          <w:sz w:val="32"/>
          <w:szCs w:val="32"/>
        </w:rPr>
      </w:pPr>
      <w:bookmarkStart w:id="57" w:name="_Toc15396614"/>
      <w:bookmarkStart w:id="58" w:name="_Toc15377226"/>
    </w:p>
    <w:p>
      <w:pPr>
        <w:jc w:val="center"/>
        <w:rPr>
          <w:rStyle w:val="17"/>
          <w:rFonts w:ascii="仿宋_GB2312" w:hAnsi="仿宋" w:eastAsia="仿宋_GB2312"/>
          <w:b w:val="0"/>
          <w:bCs w:val="0"/>
          <w:sz w:val="32"/>
          <w:szCs w:val="32"/>
        </w:rPr>
      </w:pPr>
      <w:r>
        <w:rPr>
          <w:rFonts w:hint="eastAsia" w:ascii="宋体" w:hAnsi="宋体"/>
          <w:b/>
          <w:bCs/>
          <w:color w:val="000000"/>
          <w:sz w:val="32"/>
          <w:szCs w:val="32"/>
        </w:rPr>
        <w:t>第</w:t>
      </w:r>
      <w:r>
        <w:rPr>
          <w:rStyle w:val="17"/>
          <w:rFonts w:hint="eastAsia" w:ascii="宋体" w:hAnsi="宋体"/>
          <w:sz w:val="32"/>
          <w:szCs w:val="32"/>
        </w:rPr>
        <w:t>四部分</w:t>
      </w:r>
      <w:r>
        <w:rPr>
          <w:rStyle w:val="17"/>
          <w:rFonts w:ascii="宋体" w:hAnsi="宋体"/>
          <w:sz w:val="32"/>
          <w:szCs w:val="32"/>
        </w:rPr>
        <w:t xml:space="preserve"> </w:t>
      </w:r>
      <w:r>
        <w:rPr>
          <w:rStyle w:val="17"/>
          <w:rFonts w:hint="eastAsia" w:ascii="宋体" w:hAnsi="宋体"/>
          <w:sz w:val="32"/>
          <w:szCs w:val="32"/>
        </w:rPr>
        <w:t>附</w:t>
      </w:r>
      <w:r>
        <w:rPr>
          <w:rStyle w:val="17"/>
          <w:rFonts w:ascii="宋体" w:hAnsi="宋体"/>
          <w:sz w:val="32"/>
          <w:szCs w:val="32"/>
        </w:rPr>
        <w:t xml:space="preserve"> </w:t>
      </w:r>
      <w:r>
        <w:rPr>
          <w:rStyle w:val="17"/>
          <w:rFonts w:hint="eastAsia" w:ascii="宋体" w:hAnsi="宋体"/>
          <w:sz w:val="32"/>
          <w:szCs w:val="32"/>
        </w:rPr>
        <w:t>件</w:t>
      </w:r>
      <w:bookmarkEnd w:id="57"/>
    </w:p>
    <w:p>
      <w:pPr>
        <w:spacing w:line="600" w:lineRule="exact"/>
        <w:jc w:val="center"/>
        <w:outlineLvl w:val="0"/>
        <w:rPr>
          <w:rFonts w:ascii="宋体" w:cs="方正小标宋简体"/>
          <w:b/>
          <w:sz w:val="32"/>
          <w:szCs w:val="32"/>
        </w:rPr>
      </w:pPr>
      <w:bookmarkStart w:id="59" w:name="_Toc15396616"/>
      <w:r>
        <w:rPr>
          <w:rFonts w:hint="eastAsia" w:ascii="宋体" w:hAnsi="宋体" w:cs="方正小标宋简体"/>
          <w:b/>
          <w:sz w:val="32"/>
          <w:szCs w:val="32"/>
        </w:rPr>
        <w:t>广元市质监局</w:t>
      </w:r>
      <w:r>
        <w:rPr>
          <w:rFonts w:ascii="宋体" w:hAnsi="宋体" w:cs="方正小标宋简体"/>
          <w:b/>
          <w:sz w:val="32"/>
          <w:szCs w:val="32"/>
        </w:rPr>
        <w:t>2018</w:t>
      </w:r>
      <w:r>
        <w:rPr>
          <w:rFonts w:hint="eastAsia" w:ascii="宋体" w:hAnsi="宋体" w:cs="方正小标宋简体"/>
          <w:b/>
          <w:sz w:val="32"/>
          <w:szCs w:val="32"/>
        </w:rPr>
        <w:t>年部门整体支出绩效评价报告</w:t>
      </w:r>
      <w:bookmarkEnd w:id="59"/>
    </w:p>
    <w:p>
      <w:pPr>
        <w:spacing w:line="580" w:lineRule="exact"/>
        <w:ind w:firstLine="640" w:firstLineChars="200"/>
        <w:rPr>
          <w:rFonts w:ascii="仿宋_GB2312" w:hAnsi="黑体" w:eastAsia="仿宋_GB2312" w:cs="黑体"/>
          <w:sz w:val="32"/>
          <w:szCs w:val="32"/>
        </w:rPr>
      </w:pPr>
    </w:p>
    <w:p>
      <w:pPr>
        <w:spacing w:line="580" w:lineRule="exact"/>
        <w:ind w:firstLine="643" w:firstLineChars="200"/>
        <w:rPr>
          <w:rFonts w:ascii="宋体" w:cs="黑体"/>
          <w:b/>
          <w:sz w:val="32"/>
          <w:szCs w:val="32"/>
        </w:rPr>
      </w:pPr>
      <w:r>
        <w:rPr>
          <w:rFonts w:hint="eastAsia" w:ascii="宋体" w:hAnsi="宋体" w:cs="黑体"/>
          <w:b/>
          <w:sz w:val="32"/>
          <w:szCs w:val="32"/>
        </w:rPr>
        <w:t>一、部门（单位）概况</w:t>
      </w:r>
    </w:p>
    <w:p>
      <w:pPr>
        <w:spacing w:line="560" w:lineRule="exact"/>
        <w:ind w:firstLine="643" w:firstLineChars="200"/>
        <w:rPr>
          <w:rFonts w:ascii="仿宋_GB2312" w:hAnsi="仿宋" w:eastAsia="仿宋_GB2312" w:cs="??_GB2312"/>
          <w:sz w:val="32"/>
          <w:szCs w:val="32"/>
        </w:rPr>
      </w:pPr>
      <w:r>
        <w:rPr>
          <w:rFonts w:hint="eastAsia" w:ascii="楷体_GB2312" w:hAnsi="仿宋" w:eastAsia="楷体_GB2312" w:cs="??_GB2312"/>
          <w:b/>
          <w:bCs/>
          <w:sz w:val="32"/>
          <w:szCs w:val="32"/>
        </w:rPr>
        <w:t>（一）机构组成</w:t>
      </w:r>
      <w:r>
        <w:rPr>
          <w:rFonts w:hint="eastAsia" w:ascii="楷体_GB2312" w:hAnsi="仿宋" w:eastAsia="楷体_GB2312" w:cs="??_GB2312"/>
          <w:sz w:val="32"/>
          <w:szCs w:val="32"/>
        </w:rPr>
        <w:t>：</w:t>
      </w:r>
      <w:r>
        <w:rPr>
          <w:rFonts w:hint="eastAsia" w:ascii="仿宋_GB2312" w:hAnsi="仿宋" w:eastAsia="仿宋_GB2312" w:cs="??_GB2312"/>
          <w:sz w:val="32"/>
          <w:szCs w:val="32"/>
        </w:rPr>
        <w:t>广元市质监局内设办公室、</w:t>
      </w:r>
      <w:r>
        <w:rPr>
          <w:rFonts w:hint="eastAsia" w:ascii="仿宋_GB2312" w:hAnsi="仿宋" w:eastAsia="仿宋_GB2312" w:cs="??_GB2312"/>
          <w:sz w:val="32"/>
          <w:szCs w:val="32"/>
          <w:lang w:eastAsia="zh-CN"/>
        </w:rPr>
        <w:t>政策</w:t>
      </w:r>
      <w:r>
        <w:rPr>
          <w:rFonts w:hint="eastAsia" w:ascii="仿宋_GB2312" w:hAnsi="仿宋" w:eastAsia="仿宋_GB2312" w:cs="??_GB2312"/>
          <w:sz w:val="32"/>
          <w:szCs w:val="32"/>
        </w:rPr>
        <w:t>法规科</w:t>
      </w:r>
      <w:r>
        <w:rPr>
          <w:rFonts w:hint="eastAsia" w:ascii="仿宋_GB2312" w:hAnsi="仿宋" w:eastAsia="仿宋_GB2312" w:cs="??_GB2312"/>
          <w:sz w:val="32"/>
          <w:szCs w:val="32"/>
          <w:lang w:eastAsia="zh-CN"/>
        </w:rPr>
        <w:t>（行政审批科）</w:t>
      </w:r>
      <w:r>
        <w:rPr>
          <w:rFonts w:hint="eastAsia" w:ascii="仿宋_GB2312" w:hAnsi="仿宋" w:eastAsia="仿宋_GB2312" w:cs="??_GB2312"/>
          <w:sz w:val="32"/>
          <w:szCs w:val="32"/>
        </w:rPr>
        <w:t>、质量监督科、</w:t>
      </w:r>
      <w:r>
        <w:rPr>
          <w:rFonts w:hint="eastAsia" w:ascii="仿宋_GB2312" w:hAnsi="仿宋" w:eastAsia="仿宋_GB2312" w:cs="??_GB2312"/>
          <w:sz w:val="32"/>
          <w:szCs w:val="32"/>
          <w:lang w:eastAsia="zh-CN"/>
        </w:rPr>
        <w:t>质量管理科、计量科、</w:t>
      </w:r>
      <w:r>
        <w:rPr>
          <w:rFonts w:hint="eastAsia" w:ascii="仿宋_GB2312" w:hAnsi="仿宋" w:eastAsia="仿宋_GB2312" w:cs="??_GB2312"/>
          <w:sz w:val="32"/>
          <w:szCs w:val="32"/>
        </w:rPr>
        <w:t>计认科、标准化科、特</w:t>
      </w:r>
      <w:r>
        <w:rPr>
          <w:rFonts w:hint="eastAsia" w:ascii="仿宋_GB2312" w:hAnsi="仿宋" w:eastAsia="仿宋_GB2312" w:cs="??_GB2312"/>
          <w:sz w:val="32"/>
          <w:szCs w:val="32"/>
          <w:lang w:eastAsia="zh-CN"/>
        </w:rPr>
        <w:t>种设备安全监察</w:t>
      </w:r>
      <w:r>
        <w:rPr>
          <w:rFonts w:hint="eastAsia" w:ascii="仿宋_GB2312" w:hAnsi="仿宋" w:eastAsia="仿宋_GB2312" w:cs="??_GB2312"/>
          <w:sz w:val="32"/>
          <w:szCs w:val="32"/>
        </w:rPr>
        <w:t>科、</w:t>
      </w:r>
      <w:r>
        <w:rPr>
          <w:rFonts w:hint="eastAsia" w:ascii="仿宋_GB2312" w:hAnsi="仿宋" w:eastAsia="仿宋_GB2312" w:cs="??_GB2312"/>
          <w:sz w:val="32"/>
          <w:szCs w:val="32"/>
          <w:lang w:eastAsia="zh-CN"/>
        </w:rPr>
        <w:t>国家地理标志保护</w:t>
      </w:r>
      <w:r>
        <w:rPr>
          <w:rFonts w:hint="eastAsia" w:ascii="仿宋_GB2312" w:hAnsi="仿宋" w:eastAsia="仿宋_GB2312" w:cs="??_GB2312"/>
          <w:sz w:val="32"/>
          <w:szCs w:val="32"/>
        </w:rPr>
        <w:t>科、财务科、人事科、机关党</w:t>
      </w:r>
      <w:r>
        <w:rPr>
          <w:rFonts w:hint="eastAsia" w:ascii="仿宋_GB2312" w:hAnsi="仿宋" w:eastAsia="仿宋_GB2312" w:cs="??_GB2312"/>
          <w:sz w:val="32"/>
          <w:szCs w:val="32"/>
          <w:lang w:eastAsia="zh-CN"/>
        </w:rPr>
        <w:t>委</w:t>
      </w:r>
      <w:r>
        <w:rPr>
          <w:rFonts w:hint="eastAsia" w:ascii="仿宋_GB2312" w:hAnsi="仿宋" w:eastAsia="仿宋_GB2312" w:cs="??_GB2312"/>
          <w:sz w:val="32"/>
          <w:szCs w:val="32"/>
        </w:rPr>
        <w:t>办</w:t>
      </w:r>
      <w:r>
        <w:rPr>
          <w:rFonts w:hint="eastAsia" w:ascii="仿宋_GB2312" w:hAnsi="仿宋" w:eastAsia="仿宋_GB2312" w:cs="??_GB2312"/>
          <w:sz w:val="32"/>
          <w:szCs w:val="32"/>
          <w:lang w:eastAsia="zh-CN"/>
        </w:rPr>
        <w:t>公室</w:t>
      </w:r>
      <w:r>
        <w:rPr>
          <w:rFonts w:hint="eastAsia" w:ascii="仿宋_GB2312" w:hAnsi="仿宋" w:eastAsia="仿宋_GB2312" w:cs="??_GB2312"/>
          <w:sz w:val="32"/>
          <w:szCs w:val="32"/>
        </w:rPr>
        <w:t>及</w:t>
      </w:r>
      <w:r>
        <w:rPr>
          <w:rFonts w:hint="eastAsia" w:ascii="仿宋_GB2312" w:hAnsi="仿宋" w:eastAsia="仿宋_GB2312" w:cs="??_GB2312"/>
          <w:sz w:val="32"/>
          <w:szCs w:val="32"/>
          <w:lang w:eastAsia="zh-CN"/>
        </w:rPr>
        <w:t>广元经济</w:t>
      </w:r>
      <w:r>
        <w:rPr>
          <w:rFonts w:hint="eastAsia" w:ascii="仿宋_GB2312" w:hAnsi="仿宋" w:eastAsia="仿宋_GB2312" w:cs="??_GB2312"/>
          <w:sz w:val="32"/>
          <w:szCs w:val="32"/>
        </w:rPr>
        <w:t>开发区</w:t>
      </w:r>
      <w:r>
        <w:rPr>
          <w:rFonts w:hint="eastAsia" w:ascii="仿宋_GB2312" w:hAnsi="仿宋" w:eastAsia="仿宋_GB2312" w:cs="??_GB2312"/>
          <w:sz w:val="32"/>
          <w:szCs w:val="32"/>
          <w:lang w:eastAsia="zh-CN"/>
        </w:rPr>
        <w:t>质监分</w:t>
      </w:r>
      <w:r>
        <w:rPr>
          <w:rFonts w:hint="eastAsia" w:ascii="仿宋_GB2312" w:hAnsi="仿宋" w:eastAsia="仿宋_GB2312" w:cs="??_GB2312"/>
          <w:sz w:val="32"/>
          <w:szCs w:val="32"/>
        </w:rPr>
        <w:t>局等科室（分局）</w:t>
      </w:r>
      <w:r>
        <w:rPr>
          <w:rFonts w:ascii="仿宋_GB2312" w:hAnsi="仿宋" w:eastAsia="仿宋_GB2312" w:cs="??_GB2312"/>
          <w:sz w:val="32"/>
          <w:szCs w:val="32"/>
        </w:rPr>
        <w:t>1</w:t>
      </w:r>
      <w:r>
        <w:rPr>
          <w:rFonts w:hint="eastAsia" w:ascii="仿宋_GB2312" w:hAnsi="仿宋" w:eastAsia="仿宋_GB2312" w:cs="??_GB2312"/>
          <w:sz w:val="32"/>
          <w:szCs w:val="32"/>
          <w:lang w:val="en-US" w:eastAsia="zh-CN"/>
        </w:rPr>
        <w:t>3</w:t>
      </w:r>
      <w:r>
        <w:rPr>
          <w:rFonts w:hint="eastAsia" w:ascii="仿宋_GB2312" w:hAnsi="仿宋" w:eastAsia="仿宋_GB2312" w:cs="??_GB2312"/>
          <w:sz w:val="32"/>
          <w:szCs w:val="32"/>
        </w:rPr>
        <w:t>个。</w:t>
      </w:r>
    </w:p>
    <w:p>
      <w:pPr>
        <w:spacing w:line="580" w:lineRule="exact"/>
        <w:ind w:firstLine="643" w:firstLineChars="200"/>
        <w:rPr>
          <w:rFonts w:ascii="仿宋_GB2312" w:hAnsi="仿宋" w:eastAsia="仿宋_GB2312" w:cs="??_GB2312"/>
          <w:sz w:val="32"/>
          <w:szCs w:val="32"/>
        </w:rPr>
      </w:pPr>
      <w:r>
        <w:rPr>
          <w:rFonts w:hint="eastAsia" w:ascii="楷体_GB2312" w:hAnsi="仿宋" w:eastAsia="楷体_GB2312" w:cs="??_GB2312"/>
          <w:b/>
          <w:bCs/>
          <w:sz w:val="32"/>
          <w:szCs w:val="32"/>
        </w:rPr>
        <w:t>（二）机构职能</w:t>
      </w:r>
      <w:r>
        <w:rPr>
          <w:rFonts w:hint="eastAsia" w:ascii="楷体_GB2312" w:hAnsi="仿宋" w:eastAsia="楷体_GB2312" w:cs="??_GB2312"/>
          <w:sz w:val="32"/>
          <w:szCs w:val="32"/>
        </w:rPr>
        <w:t>：</w:t>
      </w:r>
      <w:r>
        <w:rPr>
          <w:rFonts w:hint="eastAsia" w:ascii="仿宋_GB2312" w:hAnsi="仿宋" w:eastAsia="仿宋_GB2312" w:cs="??_GB2312"/>
          <w:sz w:val="32"/>
          <w:szCs w:val="32"/>
        </w:rPr>
        <w:t>广元市质量技术监督局是全市质量、计量、标准化、认证认可、特种设备综合管理和行政执法部门，是《产品质量法》、《计量法》、《标准化法》、《认证认可条例》、《特种设备安全法》等法律法规的执法主体。主要负责拟定质量发展政策，贯彻质量法规，开展质量管理、质量监督、标准化管理、认证认可，负责国家地理标志产品保护，管理特种设备安全，查处生产领域质量违法行为等，负责全市范围内有关产（商）品质量的监督检验、委托检验质量仲裁检验、特种特备的定期监督检验肯监督检验以及全市范围内建立社会公用计量标准，进行量值传递，执行强制检定和法律法规的其他检定工作。</w:t>
      </w:r>
    </w:p>
    <w:p>
      <w:pPr>
        <w:spacing w:line="560" w:lineRule="exact"/>
        <w:ind w:firstLine="643" w:firstLineChars="200"/>
        <w:rPr>
          <w:rFonts w:ascii="仿宋_GB2312" w:hAnsi="仿宋" w:eastAsia="仿宋_GB2312" w:cs="??_GB2312"/>
          <w:sz w:val="32"/>
          <w:szCs w:val="32"/>
        </w:rPr>
      </w:pPr>
      <w:r>
        <w:rPr>
          <w:rFonts w:hint="eastAsia" w:ascii="楷体_GB2312" w:hAnsi="仿宋" w:eastAsia="楷体_GB2312" w:cs="??_GB2312"/>
          <w:b/>
          <w:bCs/>
          <w:sz w:val="32"/>
          <w:szCs w:val="32"/>
        </w:rPr>
        <w:t>（三）人员概况：</w:t>
      </w:r>
      <w:r>
        <w:rPr>
          <w:rFonts w:hint="eastAsia" w:ascii="仿宋_GB2312" w:hAnsi="仿宋" w:eastAsia="仿宋_GB2312" w:cs="??_GB2312"/>
          <w:sz w:val="32"/>
          <w:szCs w:val="32"/>
        </w:rPr>
        <w:t>广元市质监局下属二级预算单位</w:t>
      </w:r>
      <w:r>
        <w:rPr>
          <w:rFonts w:ascii="仿宋_GB2312" w:hAnsi="仿宋" w:eastAsia="仿宋_GB2312" w:cs="??_GB2312"/>
          <w:sz w:val="32"/>
          <w:szCs w:val="32"/>
        </w:rPr>
        <w:t>7</w:t>
      </w:r>
      <w:r>
        <w:rPr>
          <w:rFonts w:hint="eastAsia" w:ascii="仿宋_GB2312" w:hAnsi="仿宋" w:eastAsia="仿宋_GB2312" w:cs="??_GB2312"/>
          <w:sz w:val="32"/>
          <w:szCs w:val="32"/>
        </w:rPr>
        <w:t>个，其中行政单位</w:t>
      </w:r>
      <w:r>
        <w:rPr>
          <w:rFonts w:ascii="仿宋_GB2312" w:hAnsi="仿宋" w:eastAsia="仿宋_GB2312" w:cs="??_GB2312"/>
          <w:sz w:val="32"/>
          <w:szCs w:val="32"/>
        </w:rPr>
        <w:t>4</w:t>
      </w:r>
      <w:r>
        <w:rPr>
          <w:rFonts w:hint="eastAsia" w:ascii="仿宋_GB2312" w:hAnsi="仿宋" w:eastAsia="仿宋_GB2312" w:cs="??_GB2312"/>
          <w:sz w:val="32"/>
          <w:szCs w:val="32"/>
        </w:rPr>
        <w:t>个，其他事业单位</w:t>
      </w:r>
      <w:r>
        <w:rPr>
          <w:rFonts w:ascii="仿宋_GB2312" w:hAnsi="仿宋" w:eastAsia="仿宋_GB2312" w:cs="??_GB2312"/>
          <w:sz w:val="32"/>
          <w:szCs w:val="32"/>
        </w:rPr>
        <w:t>3</w:t>
      </w:r>
      <w:r>
        <w:rPr>
          <w:rFonts w:hint="eastAsia" w:ascii="仿宋_GB2312" w:hAnsi="仿宋" w:eastAsia="仿宋_GB2312" w:cs="??_GB2312"/>
          <w:sz w:val="32"/>
          <w:szCs w:val="32"/>
        </w:rPr>
        <w:t>个，总编制</w:t>
      </w:r>
      <w:r>
        <w:rPr>
          <w:rFonts w:ascii="仿宋_GB2312" w:hAnsi="仿宋" w:eastAsia="仿宋_GB2312" w:cs="??_GB2312"/>
          <w:sz w:val="32"/>
          <w:szCs w:val="32"/>
        </w:rPr>
        <w:t>203</w:t>
      </w:r>
      <w:r>
        <w:rPr>
          <w:rFonts w:hint="eastAsia" w:ascii="仿宋_GB2312" w:hAnsi="仿宋" w:eastAsia="仿宋_GB2312" w:cs="??_GB2312"/>
          <w:sz w:val="32"/>
          <w:szCs w:val="32"/>
        </w:rPr>
        <w:t>人，行政编制</w:t>
      </w:r>
      <w:r>
        <w:rPr>
          <w:rFonts w:ascii="仿宋_GB2312" w:hAnsi="仿宋" w:eastAsia="仿宋_GB2312" w:cs="??_GB2312"/>
          <w:sz w:val="32"/>
          <w:szCs w:val="32"/>
        </w:rPr>
        <w:t>101</w:t>
      </w:r>
      <w:r>
        <w:rPr>
          <w:rFonts w:hint="eastAsia" w:ascii="仿宋_GB2312" w:hAnsi="仿宋" w:eastAsia="仿宋_GB2312" w:cs="??_GB2312"/>
          <w:sz w:val="32"/>
          <w:szCs w:val="32"/>
        </w:rPr>
        <w:t>人，事业编制</w:t>
      </w:r>
      <w:r>
        <w:rPr>
          <w:rFonts w:ascii="仿宋_GB2312" w:hAnsi="仿宋" w:eastAsia="仿宋_GB2312" w:cs="??_GB2312"/>
          <w:sz w:val="32"/>
          <w:szCs w:val="32"/>
        </w:rPr>
        <w:t>102</w:t>
      </w:r>
      <w:r>
        <w:rPr>
          <w:rFonts w:hint="eastAsia" w:ascii="仿宋_GB2312" w:hAnsi="仿宋" w:eastAsia="仿宋_GB2312" w:cs="??_GB2312"/>
          <w:sz w:val="32"/>
          <w:szCs w:val="32"/>
        </w:rPr>
        <w:t>人，在职行政人员</w:t>
      </w:r>
      <w:r>
        <w:rPr>
          <w:rFonts w:ascii="仿宋_GB2312" w:hAnsi="仿宋" w:eastAsia="仿宋_GB2312" w:cs="??_GB2312"/>
          <w:sz w:val="32"/>
          <w:szCs w:val="32"/>
        </w:rPr>
        <w:t>95</w:t>
      </w:r>
      <w:r>
        <w:rPr>
          <w:rFonts w:hint="eastAsia" w:ascii="仿宋_GB2312" w:hAnsi="仿宋" w:eastAsia="仿宋_GB2312" w:cs="??_GB2312"/>
          <w:sz w:val="32"/>
          <w:szCs w:val="32"/>
        </w:rPr>
        <w:t>人，在职事业人员</w:t>
      </w:r>
      <w:r>
        <w:rPr>
          <w:rFonts w:ascii="仿宋_GB2312" w:hAnsi="仿宋" w:eastAsia="仿宋_GB2312" w:cs="??_GB2312"/>
          <w:sz w:val="32"/>
          <w:szCs w:val="32"/>
        </w:rPr>
        <w:t>79</w:t>
      </w:r>
      <w:r>
        <w:rPr>
          <w:rFonts w:hint="eastAsia" w:ascii="仿宋_GB2312" w:hAnsi="仿宋" w:eastAsia="仿宋_GB2312" w:cs="??_GB2312"/>
          <w:sz w:val="32"/>
          <w:szCs w:val="32"/>
        </w:rPr>
        <w:t>人。</w:t>
      </w:r>
    </w:p>
    <w:p>
      <w:pPr>
        <w:spacing w:line="580" w:lineRule="exact"/>
        <w:ind w:firstLine="643" w:firstLineChars="200"/>
        <w:rPr>
          <w:rFonts w:ascii="宋体" w:cs="黑体"/>
          <w:b/>
          <w:sz w:val="32"/>
          <w:szCs w:val="32"/>
        </w:rPr>
      </w:pPr>
      <w:r>
        <w:rPr>
          <w:rFonts w:hint="eastAsia" w:ascii="宋体" w:hAnsi="宋体" w:cs="黑体"/>
          <w:b/>
          <w:sz w:val="32"/>
          <w:szCs w:val="32"/>
        </w:rPr>
        <w:t>二、部门财政资金收支情况</w:t>
      </w:r>
    </w:p>
    <w:p>
      <w:pPr>
        <w:spacing w:line="580" w:lineRule="exact"/>
        <w:ind w:firstLine="643" w:firstLineChars="200"/>
        <w:rPr>
          <w:rFonts w:ascii="楷体_GB2312" w:hAnsi="仿宋" w:eastAsia="楷体_GB2312" w:cs="??_GB2312"/>
          <w:b/>
          <w:sz w:val="32"/>
          <w:szCs w:val="32"/>
        </w:rPr>
      </w:pPr>
      <w:r>
        <w:rPr>
          <w:rFonts w:hint="eastAsia" w:ascii="楷体_GB2312" w:hAnsi="仿宋" w:eastAsia="楷体_GB2312" w:cs="??_GB2312"/>
          <w:b/>
          <w:sz w:val="32"/>
          <w:szCs w:val="32"/>
        </w:rPr>
        <w:t>（一）部门财政资金收入情况</w:t>
      </w:r>
    </w:p>
    <w:p>
      <w:pPr>
        <w:spacing w:line="600" w:lineRule="exact"/>
        <w:ind w:firstLine="640" w:firstLineChars="200"/>
        <w:outlineLvl w:val="1"/>
        <w:rPr>
          <w:rFonts w:ascii="仿宋_GB2312" w:hAnsi="仿宋" w:eastAsia="仿宋_GB2312" w:cs="??_GB2312"/>
          <w:sz w:val="32"/>
          <w:szCs w:val="32"/>
        </w:rPr>
      </w:pPr>
      <w:r>
        <w:rPr>
          <w:rFonts w:ascii="仿宋_GB2312" w:hAnsi="仿宋" w:eastAsia="仿宋_GB2312"/>
          <w:color w:val="000000"/>
          <w:sz w:val="32"/>
          <w:szCs w:val="32"/>
        </w:rPr>
        <w:t>2018</w:t>
      </w:r>
      <w:r>
        <w:rPr>
          <w:rFonts w:hint="eastAsia" w:ascii="仿宋_GB2312" w:hAnsi="仿宋" w:eastAsia="仿宋_GB2312"/>
          <w:color w:val="000000"/>
          <w:sz w:val="32"/>
          <w:szCs w:val="32"/>
        </w:rPr>
        <w:t>年本年收入合计</w:t>
      </w:r>
      <w:r>
        <w:rPr>
          <w:rFonts w:ascii="仿宋_GB2312" w:hAnsi="仿宋" w:eastAsia="仿宋_GB2312"/>
          <w:color w:val="000000"/>
          <w:sz w:val="32"/>
          <w:szCs w:val="32"/>
        </w:rPr>
        <w:t>5201.29</w:t>
      </w:r>
      <w:r>
        <w:rPr>
          <w:rFonts w:hint="eastAsia" w:ascii="仿宋_GB2312" w:hAnsi="仿宋" w:eastAsia="仿宋_GB2312"/>
          <w:color w:val="000000"/>
          <w:sz w:val="32"/>
          <w:szCs w:val="32"/>
        </w:rPr>
        <w:t>万元，其中：一般公共预算财政拨款收入</w:t>
      </w:r>
      <w:r>
        <w:rPr>
          <w:rFonts w:ascii="仿宋_GB2312" w:hAnsi="仿宋" w:eastAsia="仿宋_GB2312"/>
          <w:color w:val="000000"/>
          <w:sz w:val="32"/>
          <w:szCs w:val="32"/>
        </w:rPr>
        <w:t>4510.48</w:t>
      </w:r>
      <w:r>
        <w:rPr>
          <w:rFonts w:hint="eastAsia" w:ascii="仿宋_GB2312" w:hAnsi="仿宋" w:eastAsia="仿宋_GB2312"/>
          <w:color w:val="000000"/>
          <w:sz w:val="32"/>
          <w:szCs w:val="32"/>
        </w:rPr>
        <w:t>万元，占</w:t>
      </w:r>
      <w:r>
        <w:rPr>
          <w:rFonts w:ascii="仿宋_GB2312" w:hAnsi="仿宋" w:eastAsia="仿宋_GB2312"/>
          <w:color w:val="000000"/>
          <w:sz w:val="32"/>
          <w:szCs w:val="32"/>
        </w:rPr>
        <w:t>86.72%</w:t>
      </w:r>
      <w:r>
        <w:rPr>
          <w:rFonts w:hint="eastAsia" w:ascii="仿宋_GB2312" w:hAnsi="仿宋" w:eastAsia="仿宋_GB2312"/>
          <w:color w:val="000000"/>
          <w:sz w:val="32"/>
          <w:szCs w:val="32"/>
        </w:rPr>
        <w:t>；其他收入</w:t>
      </w:r>
      <w:r>
        <w:rPr>
          <w:rFonts w:ascii="仿宋_GB2312" w:hAnsi="仿宋" w:eastAsia="仿宋_GB2312"/>
          <w:color w:val="000000"/>
          <w:sz w:val="32"/>
          <w:szCs w:val="32"/>
        </w:rPr>
        <w:t>349.16</w:t>
      </w:r>
      <w:r>
        <w:rPr>
          <w:rFonts w:hint="eastAsia" w:ascii="仿宋_GB2312" w:hAnsi="仿宋" w:eastAsia="仿宋_GB2312"/>
          <w:color w:val="000000"/>
          <w:sz w:val="32"/>
          <w:szCs w:val="32"/>
        </w:rPr>
        <w:t>万元，占</w:t>
      </w:r>
      <w:r>
        <w:rPr>
          <w:rFonts w:ascii="仿宋_GB2312" w:hAnsi="仿宋" w:eastAsia="仿宋_GB2312"/>
          <w:color w:val="000000"/>
          <w:sz w:val="32"/>
          <w:szCs w:val="32"/>
        </w:rPr>
        <w:t>6.71%</w:t>
      </w:r>
      <w:r>
        <w:rPr>
          <w:rFonts w:hint="eastAsia" w:ascii="仿宋_GB2312" w:hAnsi="仿宋" w:eastAsia="仿宋_GB2312"/>
          <w:color w:val="000000"/>
          <w:sz w:val="32"/>
          <w:szCs w:val="32"/>
        </w:rPr>
        <w:t>，年初结转和结余</w:t>
      </w:r>
      <w:r>
        <w:rPr>
          <w:rFonts w:ascii="仿宋_GB2312" w:hAnsi="仿宋" w:eastAsia="仿宋_GB2312"/>
          <w:color w:val="000000"/>
          <w:sz w:val="32"/>
          <w:szCs w:val="32"/>
        </w:rPr>
        <w:t>341.65</w:t>
      </w:r>
      <w:r>
        <w:rPr>
          <w:rFonts w:hint="eastAsia" w:ascii="仿宋_GB2312" w:hAnsi="仿宋" w:eastAsia="仿宋_GB2312"/>
          <w:color w:val="000000"/>
          <w:sz w:val="32"/>
          <w:szCs w:val="32"/>
        </w:rPr>
        <w:t>万元，占</w:t>
      </w:r>
      <w:r>
        <w:rPr>
          <w:rFonts w:ascii="仿宋_GB2312" w:hAnsi="仿宋" w:eastAsia="仿宋_GB2312"/>
          <w:color w:val="000000"/>
          <w:sz w:val="32"/>
          <w:szCs w:val="32"/>
        </w:rPr>
        <w:t>6.57%</w:t>
      </w:r>
    </w:p>
    <w:p>
      <w:pPr>
        <w:numPr>
          <w:ilvl w:val="0"/>
          <w:numId w:val="4"/>
        </w:numPr>
        <w:spacing w:line="580" w:lineRule="exact"/>
        <w:ind w:firstLine="643" w:firstLineChars="200"/>
        <w:rPr>
          <w:rFonts w:ascii="楷体_GB2312" w:hAnsi="仿宋" w:eastAsia="楷体_GB2312" w:cs="??_GB2312"/>
          <w:b/>
          <w:sz w:val="32"/>
          <w:szCs w:val="32"/>
        </w:rPr>
      </w:pPr>
      <w:r>
        <w:rPr>
          <w:rFonts w:hint="eastAsia" w:ascii="楷体_GB2312" w:hAnsi="仿宋" w:eastAsia="楷体_GB2312"/>
          <w:b/>
          <w:sz w:val="32"/>
          <w:szCs w:val="32"/>
        </w:rPr>
        <w:t>部门财政资金支出情况</w:t>
      </w:r>
    </w:p>
    <w:p>
      <w:pPr>
        <w:spacing w:line="600" w:lineRule="exact"/>
        <w:ind w:firstLine="640"/>
        <w:rPr>
          <w:rFonts w:ascii="仿宋_GB2312" w:hAnsi="仿宋" w:eastAsia="仿宋_GB2312" w:cs="??_GB2312"/>
          <w:sz w:val="32"/>
          <w:szCs w:val="32"/>
        </w:rPr>
      </w:pPr>
      <w:r>
        <w:rPr>
          <w:rFonts w:ascii="仿宋_GB2312" w:hAnsi="仿宋" w:eastAsia="仿宋_GB2312"/>
          <w:color w:val="000000"/>
          <w:sz w:val="32"/>
          <w:szCs w:val="32"/>
        </w:rPr>
        <w:t>2018</w:t>
      </w:r>
      <w:r>
        <w:rPr>
          <w:rFonts w:hint="eastAsia" w:ascii="仿宋_GB2312" w:hAnsi="仿宋" w:eastAsia="仿宋_GB2312"/>
          <w:color w:val="000000"/>
          <w:sz w:val="32"/>
          <w:szCs w:val="32"/>
        </w:rPr>
        <w:t>年本年支出合计</w:t>
      </w:r>
      <w:r>
        <w:rPr>
          <w:rFonts w:ascii="仿宋_GB2312" w:hAnsi="仿宋" w:eastAsia="仿宋_GB2312"/>
          <w:color w:val="000000"/>
          <w:sz w:val="32"/>
          <w:szCs w:val="32"/>
        </w:rPr>
        <w:t>4678.28</w:t>
      </w:r>
      <w:r>
        <w:rPr>
          <w:rFonts w:hint="eastAsia" w:ascii="仿宋_GB2312" w:hAnsi="仿宋" w:eastAsia="仿宋_GB2312"/>
          <w:color w:val="000000"/>
          <w:sz w:val="32"/>
          <w:szCs w:val="32"/>
        </w:rPr>
        <w:t>万元，其中：基本支出</w:t>
      </w:r>
      <w:r>
        <w:rPr>
          <w:rFonts w:ascii="仿宋_GB2312" w:hAnsi="仿宋" w:eastAsia="仿宋_GB2312"/>
          <w:color w:val="000000"/>
          <w:sz w:val="32"/>
          <w:szCs w:val="32"/>
        </w:rPr>
        <w:t>3206.57</w:t>
      </w:r>
      <w:r>
        <w:rPr>
          <w:rFonts w:hint="eastAsia" w:ascii="仿宋_GB2312" w:hAnsi="仿宋" w:eastAsia="仿宋_GB2312"/>
          <w:color w:val="000000"/>
          <w:sz w:val="32"/>
          <w:szCs w:val="32"/>
        </w:rPr>
        <w:t>万元，占</w:t>
      </w:r>
      <w:r>
        <w:rPr>
          <w:rFonts w:ascii="仿宋_GB2312" w:hAnsi="仿宋" w:eastAsia="仿宋_GB2312"/>
          <w:color w:val="000000"/>
          <w:sz w:val="32"/>
          <w:szCs w:val="32"/>
        </w:rPr>
        <w:t>68.54%</w:t>
      </w:r>
      <w:r>
        <w:rPr>
          <w:rFonts w:hint="eastAsia" w:ascii="仿宋_GB2312" w:hAnsi="仿宋" w:eastAsia="仿宋_GB2312"/>
          <w:color w:val="000000"/>
          <w:sz w:val="32"/>
          <w:szCs w:val="32"/>
        </w:rPr>
        <w:t>；项目支出</w:t>
      </w:r>
      <w:r>
        <w:rPr>
          <w:rFonts w:ascii="仿宋_GB2312" w:hAnsi="仿宋" w:eastAsia="仿宋_GB2312"/>
          <w:color w:val="000000"/>
          <w:sz w:val="32"/>
          <w:szCs w:val="32"/>
        </w:rPr>
        <w:t>1471.72</w:t>
      </w:r>
      <w:r>
        <w:rPr>
          <w:rFonts w:hint="eastAsia" w:ascii="仿宋_GB2312" w:hAnsi="仿宋" w:eastAsia="仿宋_GB2312"/>
          <w:color w:val="000000"/>
          <w:sz w:val="32"/>
          <w:szCs w:val="32"/>
        </w:rPr>
        <w:t>万元，占</w:t>
      </w:r>
      <w:r>
        <w:rPr>
          <w:rFonts w:ascii="仿宋_GB2312" w:hAnsi="仿宋" w:eastAsia="仿宋_GB2312"/>
          <w:color w:val="000000"/>
          <w:sz w:val="32"/>
          <w:szCs w:val="32"/>
        </w:rPr>
        <w:t>31.46%</w:t>
      </w:r>
      <w:r>
        <w:rPr>
          <w:rFonts w:hint="eastAsia" w:ascii="仿宋_GB2312" w:hAnsi="仿宋" w:eastAsia="仿宋_GB2312"/>
          <w:color w:val="000000"/>
          <w:sz w:val="32"/>
          <w:szCs w:val="32"/>
        </w:rPr>
        <w:t>。</w:t>
      </w:r>
    </w:p>
    <w:p>
      <w:pPr>
        <w:spacing w:line="580" w:lineRule="exact"/>
        <w:ind w:firstLine="643" w:firstLineChars="200"/>
        <w:rPr>
          <w:rFonts w:ascii="宋体" w:cs="黑体"/>
          <w:b/>
          <w:sz w:val="32"/>
          <w:szCs w:val="32"/>
        </w:rPr>
      </w:pPr>
      <w:r>
        <w:rPr>
          <w:rFonts w:hint="eastAsia" w:ascii="宋体" w:hAnsi="宋体" w:cs="黑体"/>
          <w:b/>
          <w:sz w:val="32"/>
          <w:szCs w:val="32"/>
        </w:rPr>
        <w:t>三、部门整体预算绩效管理情况（根据适用指标体系进行调整）</w:t>
      </w:r>
    </w:p>
    <w:p>
      <w:pPr>
        <w:spacing w:line="580" w:lineRule="exact"/>
        <w:ind w:firstLine="643" w:firstLineChars="200"/>
        <w:rPr>
          <w:rFonts w:ascii="楷体_GB2312" w:hAnsi="仿宋" w:eastAsia="楷体_GB2312" w:cs="??_GB2312"/>
          <w:b/>
          <w:sz w:val="32"/>
          <w:szCs w:val="32"/>
        </w:rPr>
      </w:pPr>
      <w:r>
        <w:rPr>
          <w:rFonts w:hint="eastAsia" w:ascii="楷体_GB2312" w:hAnsi="仿宋" w:eastAsia="楷体_GB2312" w:cs="??_GB2312"/>
          <w:b/>
          <w:sz w:val="32"/>
          <w:szCs w:val="32"/>
        </w:rPr>
        <w:t>（一）部门预算管理。</w:t>
      </w:r>
    </w:p>
    <w:p>
      <w:pPr>
        <w:spacing w:line="580" w:lineRule="exact"/>
        <w:ind w:firstLine="643" w:firstLineChars="200"/>
        <w:rPr>
          <w:rFonts w:ascii="仿宋_GB2312" w:hAnsi="仿宋" w:eastAsia="仿宋_GB2312" w:cs="??_GB2312"/>
          <w:sz w:val="32"/>
          <w:szCs w:val="32"/>
        </w:rPr>
      </w:pPr>
      <w:r>
        <w:rPr>
          <w:rFonts w:ascii="仿宋_GB2312" w:hAnsi="仿宋" w:eastAsia="仿宋_GB2312" w:cs="??_GB2312"/>
          <w:b/>
          <w:sz w:val="32"/>
          <w:szCs w:val="32"/>
        </w:rPr>
        <w:t>1</w:t>
      </w:r>
      <w:r>
        <w:rPr>
          <w:rFonts w:hint="eastAsia" w:ascii="仿宋_GB2312" w:hAnsi="仿宋" w:eastAsia="仿宋_GB2312" w:cs="??_GB2312"/>
          <w:b/>
          <w:sz w:val="32"/>
          <w:szCs w:val="32"/>
        </w:rPr>
        <w:t>、重预算精准</w:t>
      </w:r>
      <w:r>
        <w:rPr>
          <w:rFonts w:hint="eastAsia" w:ascii="仿宋_GB2312" w:hAnsi="仿宋" w:eastAsia="仿宋_GB2312" w:cs="??_GB2312"/>
          <w:sz w:val="32"/>
          <w:szCs w:val="32"/>
        </w:rPr>
        <w:t>。在预算编制过程中，我们采取了三项措施；一是摸实情。多次召开科室相关负责人会议，掌握情况，了解需求，提高预算编制的针对性和科学性。二是讲原则。坚持年度收支平衡、紧跟政策变化、守底三公经费、突出重点项目，充分考虑质监分级改革、取消降标收费对非税收入预算的影响，确保部门预算编制编细编实。</w:t>
      </w:r>
    </w:p>
    <w:p>
      <w:pPr>
        <w:spacing w:line="580" w:lineRule="exact"/>
        <w:ind w:firstLine="643" w:firstLineChars="200"/>
        <w:rPr>
          <w:rFonts w:ascii="仿宋_GB2312" w:hAnsi="仿宋" w:eastAsia="仿宋_GB2312" w:cs="??_GB2312"/>
          <w:b/>
          <w:sz w:val="32"/>
          <w:szCs w:val="32"/>
        </w:rPr>
      </w:pPr>
      <w:r>
        <w:rPr>
          <w:rFonts w:ascii="仿宋_GB2312" w:hAnsi="仿宋" w:eastAsia="仿宋_GB2312" w:cs="??_GB2312"/>
          <w:b/>
          <w:sz w:val="32"/>
          <w:szCs w:val="32"/>
        </w:rPr>
        <w:t>2</w:t>
      </w:r>
      <w:r>
        <w:rPr>
          <w:rFonts w:hint="eastAsia" w:ascii="仿宋_GB2312" w:hAnsi="仿宋" w:eastAsia="仿宋_GB2312" w:cs="??_GB2312"/>
          <w:b/>
          <w:sz w:val="32"/>
          <w:szCs w:val="32"/>
        </w:rPr>
        <w:t>、重管理规范。</w:t>
      </w:r>
      <w:r>
        <w:rPr>
          <w:rFonts w:hint="eastAsia" w:ascii="仿宋_GB2312" w:hAnsi="仿宋" w:eastAsia="仿宋_GB2312" w:cs="??_GB2312"/>
          <w:sz w:val="32"/>
          <w:szCs w:val="32"/>
        </w:rPr>
        <w:t>我局及时倡导“转变、规矩、制度、干事”办法工作理念，组织编印了财务制度，严格执行专项资金管理办法，将权力关进制度的笼子。同时对所有申报项目全部实施合法性、廉洁性和公正性“三性审查”，经费分配、使用、结果严格实行“三公开”，最大可能保障了资金安全，降低了廉政风险。</w:t>
      </w:r>
    </w:p>
    <w:p>
      <w:pPr>
        <w:spacing w:line="580" w:lineRule="exact"/>
        <w:ind w:firstLine="643" w:firstLineChars="200"/>
        <w:rPr>
          <w:rFonts w:ascii="仿宋_GB2312" w:hAnsi="仿宋" w:eastAsia="仿宋_GB2312" w:cs="??_GB2312"/>
          <w:sz w:val="32"/>
          <w:szCs w:val="32"/>
        </w:rPr>
      </w:pPr>
      <w:r>
        <w:rPr>
          <w:rFonts w:ascii="仿宋_GB2312" w:hAnsi="仿宋" w:eastAsia="仿宋_GB2312" w:cs="??_GB2312"/>
          <w:b/>
          <w:sz w:val="32"/>
          <w:szCs w:val="32"/>
        </w:rPr>
        <w:t>3</w:t>
      </w:r>
      <w:r>
        <w:rPr>
          <w:rFonts w:hint="eastAsia" w:ascii="仿宋_GB2312" w:hAnsi="仿宋" w:eastAsia="仿宋_GB2312" w:cs="??_GB2312"/>
          <w:b/>
          <w:sz w:val="32"/>
          <w:szCs w:val="32"/>
        </w:rPr>
        <w:t>、重资金效益。</w:t>
      </w:r>
      <w:r>
        <w:rPr>
          <w:rFonts w:hint="eastAsia" w:ascii="仿宋_GB2312" w:hAnsi="仿宋" w:eastAsia="仿宋_GB2312" w:cs="??_GB2312"/>
          <w:sz w:val="32"/>
          <w:szCs w:val="32"/>
        </w:rPr>
        <w:t>在财政资金的分配和使用上，注重向一线倾斜、向产业倾斜、向民生倾斜“把钱用在刀刃上”，严格监督检查和绩效评价，年中各业务部门组织对专项工作开展情况进行检查，财务部门负责对专项资金使用情况进行检查，确保财政资金用之有法、用之有度、用之有效、发挥了财政资金最大效益。全面推行预决算公开，按要求在广元市质量技术监督局和市政府门户网站上同时公开了部门预算和决算，接受社会监督。</w:t>
      </w:r>
    </w:p>
    <w:p>
      <w:pPr>
        <w:spacing w:line="580" w:lineRule="exact"/>
        <w:ind w:firstLine="643" w:firstLineChars="200"/>
        <w:rPr>
          <w:rFonts w:ascii="宋体" w:cs="??_GB2312"/>
          <w:b/>
          <w:sz w:val="32"/>
          <w:szCs w:val="32"/>
        </w:rPr>
      </w:pPr>
      <w:r>
        <w:rPr>
          <w:rFonts w:hint="eastAsia" w:ascii="宋体" w:hAnsi="宋体" w:cs="??_GB2312"/>
          <w:b/>
          <w:sz w:val="32"/>
          <w:szCs w:val="32"/>
        </w:rPr>
        <w:t>（二）专项预算管理。</w:t>
      </w:r>
    </w:p>
    <w:p>
      <w:pPr>
        <w:spacing w:line="580" w:lineRule="exact"/>
        <w:ind w:firstLine="640" w:firstLineChars="200"/>
        <w:rPr>
          <w:rFonts w:ascii="仿宋_GB2312" w:hAnsi="仿宋" w:eastAsia="仿宋_GB2312" w:cs="??_GB2312"/>
          <w:sz w:val="32"/>
          <w:szCs w:val="32"/>
        </w:rPr>
      </w:pPr>
      <w:r>
        <w:rPr>
          <w:rFonts w:hint="eastAsia" w:ascii="仿宋_GB2312" w:hAnsi="仿宋" w:eastAsia="仿宋_GB2312" w:cs="??_GB2312"/>
          <w:sz w:val="32"/>
          <w:szCs w:val="32"/>
        </w:rPr>
        <w:t>编制了</w:t>
      </w:r>
      <w:r>
        <w:rPr>
          <w:rFonts w:ascii="仿宋_GB2312" w:hAnsi="仿宋" w:eastAsia="仿宋_GB2312" w:cs="??_GB2312"/>
          <w:sz w:val="32"/>
          <w:szCs w:val="32"/>
        </w:rPr>
        <w:t>2018</w:t>
      </w:r>
      <w:r>
        <w:rPr>
          <w:rFonts w:hint="eastAsia" w:ascii="仿宋_GB2312" w:hAnsi="仿宋" w:eastAsia="仿宋_GB2312" w:cs="??_GB2312"/>
          <w:sz w:val="32"/>
          <w:szCs w:val="32"/>
        </w:rPr>
        <w:t>年项目绩效目标，专项预算项目程序严密、规划合理、结果符合、分配科学、分配及时、全面完成专项预算绩效目标，无违规情况。</w:t>
      </w:r>
    </w:p>
    <w:p>
      <w:pPr>
        <w:tabs>
          <w:tab w:val="left" w:pos="1284"/>
        </w:tabs>
        <w:spacing w:line="580" w:lineRule="exact"/>
        <w:ind w:left="420" w:leftChars="200"/>
        <w:rPr>
          <w:rFonts w:ascii="宋体" w:cs="??_GB2312"/>
          <w:b/>
          <w:sz w:val="32"/>
          <w:szCs w:val="32"/>
        </w:rPr>
      </w:pPr>
      <w:r>
        <w:rPr>
          <w:rFonts w:hint="eastAsia" w:ascii="宋体" w:hAnsi="宋体" w:cs="??_GB2312"/>
          <w:b/>
          <w:sz w:val="32"/>
          <w:szCs w:val="32"/>
        </w:rPr>
        <w:t>（三）结果应用情况。</w:t>
      </w:r>
    </w:p>
    <w:p>
      <w:pPr>
        <w:spacing w:line="580" w:lineRule="exact"/>
        <w:ind w:firstLine="640" w:firstLineChars="200"/>
        <w:rPr>
          <w:rFonts w:ascii="仿宋_GB2312" w:hAnsi="仿宋" w:eastAsia="仿宋_GB2312" w:cs="??_GB2312"/>
          <w:sz w:val="32"/>
          <w:szCs w:val="32"/>
        </w:rPr>
      </w:pPr>
      <w:r>
        <w:rPr>
          <w:rFonts w:hint="eastAsia" w:ascii="仿宋_GB2312" w:hAnsi="仿宋" w:eastAsia="仿宋_GB2312" w:cs="??_GB2312"/>
          <w:sz w:val="32"/>
          <w:szCs w:val="32"/>
        </w:rPr>
        <w:t>绩效评价工作由市局财务科牵头、局办公室、机关党委参与部门整体绩效考评，自评结果为优秀，对绩效考评中存在的问题也及时反馈给相关科室进行整改。</w:t>
      </w:r>
    </w:p>
    <w:p>
      <w:pPr>
        <w:spacing w:line="580" w:lineRule="exact"/>
        <w:ind w:firstLine="643" w:firstLineChars="200"/>
        <w:rPr>
          <w:rFonts w:ascii="宋体" w:cs="黑体"/>
          <w:b/>
          <w:sz w:val="32"/>
          <w:szCs w:val="32"/>
        </w:rPr>
      </w:pPr>
      <w:r>
        <w:rPr>
          <w:rFonts w:hint="eastAsia" w:ascii="宋体" w:hAnsi="宋体" w:cs="黑体"/>
          <w:b/>
          <w:sz w:val="32"/>
          <w:szCs w:val="32"/>
        </w:rPr>
        <w:t>四、评价结论及建议</w:t>
      </w:r>
    </w:p>
    <w:p>
      <w:pPr>
        <w:spacing w:line="580" w:lineRule="exact"/>
        <w:ind w:firstLine="640" w:firstLineChars="200"/>
        <w:rPr>
          <w:rFonts w:ascii="楷体_GB2312" w:hAnsi="仿宋" w:eastAsia="楷体_GB2312" w:cs="??_GB2312"/>
          <w:sz w:val="32"/>
          <w:szCs w:val="32"/>
        </w:rPr>
      </w:pPr>
      <w:r>
        <w:rPr>
          <w:rFonts w:hint="eastAsia" w:ascii="楷体_GB2312" w:hAnsi="仿宋" w:eastAsia="楷体_GB2312" w:cs="??_GB2312"/>
          <w:sz w:val="32"/>
          <w:szCs w:val="32"/>
        </w:rPr>
        <w:t>（一）评价结论。</w:t>
      </w:r>
    </w:p>
    <w:p>
      <w:pPr>
        <w:spacing w:line="580" w:lineRule="exact"/>
        <w:ind w:firstLine="640" w:firstLineChars="200"/>
        <w:rPr>
          <w:rFonts w:ascii="仿宋_GB2312" w:hAnsi="仿宋" w:eastAsia="仿宋_GB2312" w:cs="??_GB2312"/>
          <w:sz w:val="32"/>
          <w:szCs w:val="32"/>
        </w:rPr>
      </w:pPr>
      <w:r>
        <w:rPr>
          <w:rFonts w:hint="eastAsia" w:ascii="仿宋_GB2312" w:hAnsi="仿宋" w:eastAsia="仿宋_GB2312" w:cs="??_GB2312"/>
          <w:sz w:val="32"/>
          <w:szCs w:val="32"/>
        </w:rPr>
        <w:t>根据《部门整体支出绩效评价指标》评分，绩效评价等级为优。</w:t>
      </w:r>
    </w:p>
    <w:p>
      <w:pPr>
        <w:numPr>
          <w:ilvl w:val="0"/>
          <w:numId w:val="6"/>
        </w:numPr>
        <w:spacing w:line="580" w:lineRule="exact"/>
        <w:ind w:firstLine="640" w:firstLineChars="200"/>
        <w:rPr>
          <w:rFonts w:ascii="楷体_GB2312" w:hAnsi="仿宋" w:eastAsia="楷体_GB2312" w:cs="??_GB2312"/>
          <w:sz w:val="32"/>
          <w:szCs w:val="32"/>
        </w:rPr>
      </w:pPr>
      <w:r>
        <w:rPr>
          <w:rFonts w:hint="eastAsia" w:ascii="楷体_GB2312" w:hAnsi="仿宋" w:eastAsia="楷体_GB2312"/>
          <w:sz w:val="32"/>
          <w:szCs w:val="32"/>
        </w:rPr>
        <w:t>存在问题。</w:t>
      </w:r>
    </w:p>
    <w:p>
      <w:pPr>
        <w:numPr>
          <w:ilvl w:val="0"/>
          <w:numId w:val="7"/>
        </w:num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基本支出保障水平较低，综合近几年的预算批复，工会经费、福利费都未按照标准进行预算，扶贫经费和职工体检费均未列入部门预算。</w:t>
      </w:r>
    </w:p>
    <w:p>
      <w:pPr>
        <w:numPr>
          <w:ilvl w:val="0"/>
          <w:numId w:val="7"/>
        </w:numPr>
        <w:spacing w:line="580" w:lineRule="exact"/>
        <w:ind w:firstLine="640" w:firstLineChars="200"/>
        <w:rPr>
          <w:rFonts w:ascii="仿宋_GB2312" w:hAnsi="仿宋" w:eastAsia="仿宋_GB2312" w:cs="??_GB2312"/>
          <w:sz w:val="32"/>
          <w:szCs w:val="32"/>
        </w:rPr>
      </w:pPr>
      <w:r>
        <w:rPr>
          <w:rFonts w:hint="eastAsia" w:ascii="仿宋_GB2312" w:eastAsia="仿宋_GB2312"/>
          <w:color w:val="000000"/>
          <w:sz w:val="32"/>
          <w:szCs w:val="32"/>
        </w:rPr>
        <w:t>二是执行预算不够严格。</w:t>
      </w:r>
    </w:p>
    <w:p>
      <w:pPr>
        <w:spacing w:line="580" w:lineRule="exact"/>
        <w:ind w:firstLine="640" w:firstLineChars="200"/>
        <w:rPr>
          <w:rFonts w:ascii="仿宋_GB2312" w:hAnsi="仿宋" w:eastAsia="仿宋_GB2312" w:cs="??_GB2312"/>
          <w:sz w:val="32"/>
          <w:szCs w:val="32"/>
        </w:rPr>
      </w:pPr>
      <w:r>
        <w:rPr>
          <w:rFonts w:ascii="仿宋_GB2312" w:hAnsi="仿宋" w:eastAsia="仿宋_GB2312" w:cs="??_GB2312"/>
          <w:sz w:val="32"/>
          <w:szCs w:val="32"/>
        </w:rPr>
        <w:t>3</w:t>
      </w:r>
      <w:r>
        <w:rPr>
          <w:rFonts w:hint="eastAsia" w:ascii="仿宋_GB2312" w:hAnsi="仿宋" w:eastAsia="仿宋_GB2312" w:cs="??_GB2312"/>
          <w:sz w:val="32"/>
          <w:szCs w:val="32"/>
        </w:rPr>
        <w:t>、资金安排还有待增加。特别是技术机构建设方面有待进一步加强，如人才培养引进，设备更新及基础设施建设等。</w:t>
      </w:r>
    </w:p>
    <w:p>
      <w:pPr>
        <w:numPr>
          <w:ilvl w:val="0"/>
          <w:numId w:val="6"/>
        </w:numPr>
        <w:spacing w:line="580" w:lineRule="exact"/>
        <w:ind w:firstLine="640" w:firstLineChars="200"/>
        <w:rPr>
          <w:rFonts w:ascii="楷体_GB2312" w:hAnsi="仿宋" w:eastAsia="楷体_GB2312" w:cs="??_GB2312"/>
          <w:sz w:val="32"/>
          <w:szCs w:val="32"/>
        </w:rPr>
      </w:pPr>
      <w:r>
        <w:rPr>
          <w:rFonts w:hint="eastAsia" w:ascii="楷体_GB2312" w:hAnsi="仿宋" w:eastAsia="楷体_GB2312"/>
          <w:sz w:val="32"/>
          <w:szCs w:val="32"/>
        </w:rPr>
        <w:t>改进建议。</w:t>
      </w:r>
    </w:p>
    <w:p>
      <w:pPr>
        <w:numPr>
          <w:ilvl w:val="0"/>
          <w:numId w:val="8"/>
        </w:num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建议增加基本支出保障水平，工会经费、福利经费按规定标准进行预算，扶贫经费也应考虑列入预算；</w:t>
      </w:r>
    </w:p>
    <w:p>
      <w:pPr>
        <w:numPr>
          <w:ilvl w:val="0"/>
          <w:numId w:val="8"/>
        </w:numPr>
        <w:spacing w:line="580" w:lineRule="exact"/>
        <w:ind w:firstLine="640" w:firstLineChars="200"/>
        <w:rPr>
          <w:rFonts w:ascii="仿宋_GB2312" w:hAnsi="仿宋" w:eastAsia="仿宋_GB2312" w:cs="??_GB2312"/>
          <w:sz w:val="32"/>
          <w:szCs w:val="32"/>
        </w:rPr>
      </w:pPr>
      <w:r>
        <w:rPr>
          <w:rFonts w:hint="eastAsia" w:ascii="仿宋_GB2312" w:eastAsia="仿宋_GB2312"/>
          <w:color w:val="000000"/>
          <w:sz w:val="32"/>
          <w:szCs w:val="32"/>
        </w:rPr>
        <w:t>加强预算编制的前瞻性，按照新《预算法》的相关规定，按政策规定及本部门的发展规划，结合上一年度预算执行情况和本年度预算收支变化因素，科学、合理地编制本年预算草案，避免项目支出与基本支出划分不准或预算支出与实际执行出现较大偏差的情况，执行中确需调剂预算的，按规定程序报经批准。</w:t>
      </w:r>
    </w:p>
    <w:p>
      <w:pPr>
        <w:spacing w:line="580" w:lineRule="exact"/>
        <w:ind w:firstLine="640" w:firstLineChars="200"/>
        <w:rPr>
          <w:rFonts w:ascii="仿宋_GB2312" w:hAnsi="仿宋" w:eastAsia="仿宋_GB2312" w:cs="??_GB2312"/>
          <w:sz w:val="32"/>
          <w:szCs w:val="32"/>
        </w:rPr>
      </w:pPr>
      <w:r>
        <w:rPr>
          <w:rFonts w:ascii="仿宋_GB2312" w:hAnsi="仿宋" w:eastAsia="仿宋_GB2312" w:cs="??_GB2312"/>
          <w:sz w:val="32"/>
          <w:szCs w:val="32"/>
        </w:rPr>
        <w:t>3</w:t>
      </w:r>
      <w:r>
        <w:rPr>
          <w:rFonts w:hint="eastAsia" w:ascii="仿宋_GB2312" w:hAnsi="仿宋" w:eastAsia="仿宋_GB2312" w:cs="??_GB2312"/>
          <w:sz w:val="32"/>
          <w:szCs w:val="32"/>
        </w:rPr>
        <w:t>、分解、落实工作职责。切实加强履职履责，让职责不留空缺，使工作经费合理、有效使用。</w:t>
      </w:r>
    </w:p>
    <w:p>
      <w:pPr>
        <w:spacing w:line="580" w:lineRule="exact"/>
        <w:ind w:left="420" w:leftChars="200"/>
        <w:rPr>
          <w:rFonts w:ascii="仿宋_GB2312" w:hAnsi="仿宋" w:eastAsia="仿宋_GB2312" w:cs="??_GB2312"/>
          <w:sz w:val="32"/>
          <w:szCs w:val="32"/>
        </w:rPr>
      </w:pPr>
    </w:p>
    <w:p>
      <w:pPr>
        <w:spacing w:line="600" w:lineRule="exact"/>
        <w:outlineLvl w:val="0"/>
        <w:rPr>
          <w:rFonts w:ascii="仿宋_GB2312" w:hAnsi="黑体" w:eastAsia="仿宋_GB2312"/>
          <w:color w:val="000000"/>
          <w:sz w:val="32"/>
          <w:szCs w:val="32"/>
        </w:rPr>
      </w:pPr>
      <w:bookmarkStart w:id="60" w:name="_Toc15396618"/>
    </w:p>
    <w:p>
      <w:pPr>
        <w:spacing w:line="600" w:lineRule="exact"/>
        <w:jc w:val="center"/>
        <w:outlineLvl w:val="0"/>
        <w:rPr>
          <w:rFonts w:hint="eastAsia" w:ascii="宋体" w:hAnsi="宋体"/>
          <w:b/>
          <w:bCs/>
          <w:color w:val="000000"/>
          <w:sz w:val="32"/>
          <w:szCs w:val="32"/>
        </w:rPr>
      </w:pPr>
    </w:p>
    <w:p>
      <w:pPr>
        <w:spacing w:line="600" w:lineRule="exact"/>
        <w:jc w:val="center"/>
        <w:outlineLvl w:val="0"/>
        <w:rPr>
          <w:rFonts w:hint="eastAsia" w:ascii="宋体" w:hAnsi="宋体"/>
          <w:b/>
          <w:bCs/>
          <w:color w:val="000000"/>
          <w:sz w:val="32"/>
          <w:szCs w:val="32"/>
        </w:rPr>
      </w:pPr>
    </w:p>
    <w:p>
      <w:pPr>
        <w:spacing w:line="600" w:lineRule="exact"/>
        <w:jc w:val="center"/>
        <w:outlineLvl w:val="0"/>
        <w:rPr>
          <w:rFonts w:hint="eastAsia" w:ascii="宋体" w:hAnsi="宋体"/>
          <w:b/>
          <w:bCs/>
          <w:color w:val="000000"/>
          <w:sz w:val="32"/>
          <w:szCs w:val="32"/>
        </w:rPr>
      </w:pPr>
    </w:p>
    <w:p>
      <w:pPr>
        <w:spacing w:line="600" w:lineRule="exact"/>
        <w:jc w:val="center"/>
        <w:outlineLvl w:val="0"/>
        <w:rPr>
          <w:rFonts w:hint="eastAsia" w:ascii="宋体" w:hAnsi="宋体"/>
          <w:b/>
          <w:bCs/>
          <w:color w:val="000000"/>
          <w:sz w:val="32"/>
          <w:szCs w:val="32"/>
        </w:rPr>
      </w:pPr>
    </w:p>
    <w:p>
      <w:pPr>
        <w:spacing w:line="600" w:lineRule="exact"/>
        <w:jc w:val="center"/>
        <w:outlineLvl w:val="0"/>
        <w:rPr>
          <w:rFonts w:hint="eastAsia" w:ascii="宋体" w:hAnsi="宋体"/>
          <w:b/>
          <w:bCs/>
          <w:color w:val="000000"/>
          <w:sz w:val="32"/>
          <w:szCs w:val="32"/>
        </w:rPr>
      </w:pPr>
    </w:p>
    <w:p>
      <w:pPr>
        <w:spacing w:line="600" w:lineRule="exact"/>
        <w:jc w:val="center"/>
        <w:outlineLvl w:val="0"/>
        <w:rPr>
          <w:rFonts w:hint="eastAsia" w:ascii="宋体" w:hAnsi="宋体"/>
          <w:b/>
          <w:bCs/>
          <w:color w:val="000000"/>
          <w:sz w:val="32"/>
          <w:szCs w:val="32"/>
        </w:rPr>
      </w:pPr>
    </w:p>
    <w:p>
      <w:pPr>
        <w:spacing w:line="600" w:lineRule="exact"/>
        <w:jc w:val="center"/>
        <w:outlineLvl w:val="0"/>
        <w:rPr>
          <w:rFonts w:hint="eastAsia" w:ascii="宋体" w:hAnsi="宋体"/>
          <w:b/>
          <w:bCs/>
          <w:color w:val="000000"/>
          <w:sz w:val="32"/>
          <w:szCs w:val="32"/>
        </w:rPr>
      </w:pPr>
    </w:p>
    <w:p>
      <w:pPr>
        <w:spacing w:line="600" w:lineRule="exact"/>
        <w:jc w:val="center"/>
        <w:outlineLvl w:val="0"/>
        <w:rPr>
          <w:rFonts w:hint="eastAsia" w:ascii="宋体" w:hAnsi="宋体"/>
          <w:b/>
          <w:bCs/>
          <w:color w:val="000000"/>
          <w:sz w:val="32"/>
          <w:szCs w:val="32"/>
        </w:rPr>
      </w:pPr>
    </w:p>
    <w:p>
      <w:pPr>
        <w:spacing w:line="600" w:lineRule="exact"/>
        <w:jc w:val="center"/>
        <w:outlineLvl w:val="0"/>
        <w:rPr>
          <w:rFonts w:hint="eastAsia" w:ascii="宋体" w:hAnsi="宋体"/>
          <w:b/>
          <w:bCs/>
          <w:color w:val="000000"/>
          <w:sz w:val="32"/>
          <w:szCs w:val="32"/>
        </w:rPr>
      </w:pPr>
    </w:p>
    <w:p>
      <w:pPr>
        <w:spacing w:line="600" w:lineRule="exact"/>
        <w:jc w:val="center"/>
        <w:outlineLvl w:val="0"/>
        <w:rPr>
          <w:rFonts w:hint="eastAsia" w:ascii="宋体" w:hAnsi="宋体"/>
          <w:b/>
          <w:bCs/>
          <w:color w:val="000000"/>
          <w:sz w:val="32"/>
          <w:szCs w:val="32"/>
        </w:rPr>
      </w:pPr>
    </w:p>
    <w:p>
      <w:pPr>
        <w:spacing w:line="600" w:lineRule="exact"/>
        <w:jc w:val="center"/>
        <w:outlineLvl w:val="0"/>
        <w:rPr>
          <w:rFonts w:hint="eastAsia" w:ascii="宋体" w:hAnsi="宋体"/>
          <w:b/>
          <w:bCs/>
          <w:color w:val="000000"/>
          <w:sz w:val="32"/>
          <w:szCs w:val="32"/>
        </w:rPr>
      </w:pPr>
    </w:p>
    <w:p>
      <w:pPr>
        <w:spacing w:line="600" w:lineRule="exact"/>
        <w:jc w:val="center"/>
        <w:outlineLvl w:val="0"/>
        <w:rPr>
          <w:rFonts w:hint="eastAsia" w:ascii="宋体" w:hAnsi="宋体"/>
          <w:b/>
          <w:bCs/>
          <w:color w:val="000000"/>
          <w:sz w:val="32"/>
          <w:szCs w:val="32"/>
        </w:rPr>
      </w:pPr>
    </w:p>
    <w:p>
      <w:pPr>
        <w:spacing w:line="600" w:lineRule="exact"/>
        <w:jc w:val="center"/>
        <w:outlineLvl w:val="0"/>
        <w:rPr>
          <w:rFonts w:hint="eastAsia" w:ascii="宋体" w:hAnsi="宋体"/>
          <w:b/>
          <w:bCs/>
          <w:color w:val="000000"/>
          <w:sz w:val="32"/>
          <w:szCs w:val="32"/>
        </w:rPr>
      </w:pPr>
    </w:p>
    <w:p>
      <w:pPr>
        <w:spacing w:line="600" w:lineRule="exact"/>
        <w:jc w:val="center"/>
        <w:outlineLvl w:val="0"/>
        <w:rPr>
          <w:rFonts w:hint="eastAsia" w:ascii="宋体" w:hAnsi="宋体"/>
          <w:b/>
          <w:bCs/>
          <w:color w:val="000000"/>
          <w:sz w:val="32"/>
          <w:szCs w:val="32"/>
        </w:rPr>
      </w:pPr>
    </w:p>
    <w:p>
      <w:pPr>
        <w:spacing w:line="600" w:lineRule="exact"/>
        <w:jc w:val="center"/>
        <w:outlineLvl w:val="0"/>
        <w:rPr>
          <w:rFonts w:hint="eastAsia" w:ascii="宋体" w:hAnsi="宋体"/>
          <w:b/>
          <w:bCs/>
          <w:color w:val="000000"/>
          <w:sz w:val="32"/>
          <w:szCs w:val="32"/>
        </w:rPr>
      </w:pPr>
    </w:p>
    <w:p>
      <w:pPr>
        <w:spacing w:line="600" w:lineRule="exact"/>
        <w:jc w:val="center"/>
        <w:outlineLvl w:val="0"/>
        <w:rPr>
          <w:rFonts w:hint="eastAsia" w:ascii="宋体" w:hAnsi="宋体"/>
          <w:b/>
          <w:bCs/>
          <w:color w:val="000000"/>
          <w:sz w:val="32"/>
          <w:szCs w:val="32"/>
        </w:rPr>
      </w:pPr>
    </w:p>
    <w:p>
      <w:pPr>
        <w:spacing w:line="600" w:lineRule="exact"/>
        <w:jc w:val="center"/>
        <w:outlineLvl w:val="0"/>
        <w:rPr>
          <w:rFonts w:hint="eastAsia" w:ascii="宋体" w:hAnsi="宋体"/>
          <w:b/>
          <w:bCs/>
          <w:color w:val="000000"/>
          <w:sz w:val="32"/>
          <w:szCs w:val="32"/>
        </w:rPr>
      </w:pPr>
    </w:p>
    <w:p>
      <w:pPr>
        <w:spacing w:line="600" w:lineRule="exact"/>
        <w:jc w:val="center"/>
        <w:outlineLvl w:val="0"/>
        <w:rPr>
          <w:rStyle w:val="17"/>
          <w:rFonts w:ascii="宋体"/>
          <w:sz w:val="32"/>
          <w:szCs w:val="32"/>
        </w:rPr>
      </w:pPr>
      <w:r>
        <w:rPr>
          <w:rFonts w:hint="eastAsia" w:ascii="宋体" w:hAnsi="宋体"/>
          <w:b/>
          <w:bCs/>
          <w:color w:val="000000"/>
          <w:sz w:val="32"/>
          <w:szCs w:val="32"/>
        </w:rPr>
        <w:t>第</w:t>
      </w:r>
      <w:r>
        <w:rPr>
          <w:rStyle w:val="17"/>
          <w:rFonts w:hint="eastAsia" w:ascii="宋体" w:hAnsi="宋体"/>
          <w:sz w:val="32"/>
          <w:szCs w:val="32"/>
        </w:rPr>
        <w:t>五部分</w:t>
      </w:r>
      <w:r>
        <w:rPr>
          <w:rStyle w:val="17"/>
          <w:rFonts w:ascii="宋体" w:hAnsi="宋体"/>
          <w:sz w:val="32"/>
          <w:szCs w:val="32"/>
        </w:rPr>
        <w:t xml:space="preserve"> </w:t>
      </w:r>
      <w:r>
        <w:rPr>
          <w:rStyle w:val="17"/>
          <w:rFonts w:hint="eastAsia" w:ascii="宋体" w:hAnsi="宋体"/>
          <w:sz w:val="32"/>
          <w:szCs w:val="32"/>
        </w:rPr>
        <w:t>附</w:t>
      </w:r>
      <w:r>
        <w:rPr>
          <w:rStyle w:val="17"/>
          <w:rFonts w:ascii="宋体" w:hAnsi="宋体"/>
          <w:sz w:val="32"/>
          <w:szCs w:val="32"/>
        </w:rPr>
        <w:t xml:space="preserve"> </w:t>
      </w:r>
      <w:r>
        <w:rPr>
          <w:rStyle w:val="17"/>
          <w:rFonts w:hint="eastAsia" w:ascii="宋体" w:hAnsi="宋体"/>
          <w:sz w:val="32"/>
          <w:szCs w:val="32"/>
        </w:rPr>
        <w:t>表</w:t>
      </w:r>
      <w:bookmarkEnd w:id="58"/>
      <w:bookmarkEnd w:id="60"/>
    </w:p>
    <w:p>
      <w:pPr>
        <w:spacing w:line="600" w:lineRule="exact"/>
        <w:jc w:val="center"/>
        <w:outlineLvl w:val="0"/>
        <w:rPr>
          <w:rStyle w:val="17"/>
          <w:rFonts w:ascii="仿宋_GB2312" w:hAnsi="黑体" w:eastAsia="仿宋_GB2312"/>
          <w:b w:val="0"/>
          <w:sz w:val="32"/>
          <w:szCs w:val="32"/>
        </w:rPr>
      </w:pPr>
    </w:p>
    <w:p>
      <w:pPr>
        <w:pStyle w:val="3"/>
        <w:ind w:firstLine="643" w:firstLineChars="200"/>
        <w:rPr>
          <w:rFonts w:ascii="仿宋_GB2312" w:hAnsi="仿宋" w:eastAsia="仿宋_GB2312"/>
          <w:b/>
          <w:bCs w:val="0"/>
          <w:color w:val="000000"/>
        </w:rPr>
      </w:pPr>
      <w:bookmarkStart w:id="61" w:name="_Toc15396619"/>
      <w:r>
        <w:rPr>
          <w:rFonts w:hint="eastAsia" w:ascii="仿宋_GB2312" w:hAnsi="仿宋" w:eastAsia="仿宋_GB2312"/>
          <w:b/>
          <w:bCs w:val="0"/>
          <w:color w:val="000000"/>
        </w:rPr>
        <w:t>一、收</w:t>
      </w:r>
      <w:r>
        <w:rPr>
          <w:rStyle w:val="18"/>
          <w:rFonts w:hint="eastAsia" w:ascii="仿宋_GB2312" w:hAnsi="仿宋" w:eastAsia="仿宋_GB2312"/>
          <w:b/>
          <w:bCs w:val="0"/>
        </w:rPr>
        <w:t>入支出决算总表</w:t>
      </w:r>
      <w:bookmarkEnd w:id="61"/>
    </w:p>
    <w:p>
      <w:pPr>
        <w:pStyle w:val="3"/>
        <w:ind w:firstLine="643" w:firstLineChars="200"/>
        <w:rPr>
          <w:rFonts w:ascii="仿宋_GB2312" w:hAnsi="仿宋" w:eastAsia="仿宋_GB2312"/>
          <w:b/>
          <w:bCs w:val="0"/>
          <w:color w:val="000000"/>
        </w:rPr>
      </w:pPr>
      <w:bookmarkStart w:id="62" w:name="_Toc15396620"/>
      <w:r>
        <w:rPr>
          <w:rFonts w:hint="eastAsia" w:ascii="仿宋_GB2312" w:hAnsi="仿宋" w:eastAsia="仿宋_GB2312"/>
          <w:b/>
          <w:bCs w:val="0"/>
          <w:color w:val="000000"/>
        </w:rPr>
        <w:t>二、收</w:t>
      </w:r>
      <w:r>
        <w:rPr>
          <w:rStyle w:val="18"/>
          <w:rFonts w:hint="eastAsia" w:ascii="仿宋_GB2312" w:hAnsi="仿宋" w:eastAsia="仿宋_GB2312"/>
          <w:b/>
          <w:bCs w:val="0"/>
        </w:rPr>
        <w:t>入总表</w:t>
      </w:r>
      <w:bookmarkEnd w:id="62"/>
    </w:p>
    <w:p>
      <w:pPr>
        <w:pStyle w:val="3"/>
        <w:ind w:firstLine="643" w:firstLineChars="200"/>
        <w:rPr>
          <w:rFonts w:ascii="仿宋_GB2312" w:hAnsi="仿宋" w:eastAsia="仿宋_GB2312"/>
          <w:b/>
          <w:bCs w:val="0"/>
          <w:color w:val="000000"/>
        </w:rPr>
      </w:pPr>
      <w:bookmarkStart w:id="63" w:name="_Toc15396621"/>
      <w:r>
        <w:rPr>
          <w:rStyle w:val="18"/>
          <w:rFonts w:hint="eastAsia" w:ascii="仿宋_GB2312" w:hAnsi="仿宋" w:eastAsia="仿宋_GB2312"/>
          <w:b/>
          <w:bCs w:val="0"/>
        </w:rPr>
        <w:t>三、</w:t>
      </w:r>
      <w:r>
        <w:rPr>
          <w:rFonts w:hint="eastAsia" w:ascii="仿宋_GB2312" w:hAnsi="仿宋" w:eastAsia="仿宋_GB2312"/>
          <w:b/>
          <w:bCs w:val="0"/>
          <w:color w:val="000000"/>
        </w:rPr>
        <w:t>支</w:t>
      </w:r>
      <w:r>
        <w:rPr>
          <w:rStyle w:val="18"/>
          <w:rFonts w:hint="eastAsia" w:ascii="仿宋_GB2312" w:hAnsi="仿宋" w:eastAsia="仿宋_GB2312"/>
          <w:b/>
          <w:bCs w:val="0"/>
        </w:rPr>
        <w:t>出总表</w:t>
      </w:r>
      <w:bookmarkEnd w:id="63"/>
    </w:p>
    <w:p>
      <w:pPr>
        <w:pStyle w:val="3"/>
        <w:ind w:firstLine="643" w:firstLineChars="200"/>
        <w:rPr>
          <w:rFonts w:ascii="仿宋_GB2312" w:hAnsi="仿宋" w:eastAsia="仿宋_GB2312"/>
          <w:b/>
          <w:bCs w:val="0"/>
          <w:color w:val="000000"/>
        </w:rPr>
      </w:pPr>
      <w:bookmarkStart w:id="64" w:name="_Toc15396622"/>
      <w:r>
        <w:rPr>
          <w:rStyle w:val="18"/>
          <w:rFonts w:hint="eastAsia" w:ascii="仿宋_GB2312" w:hAnsi="仿宋" w:eastAsia="仿宋_GB2312"/>
          <w:b/>
          <w:bCs w:val="0"/>
        </w:rPr>
        <w:t>四、</w:t>
      </w:r>
      <w:r>
        <w:rPr>
          <w:rFonts w:hint="eastAsia" w:ascii="仿宋_GB2312" w:hAnsi="仿宋" w:eastAsia="仿宋_GB2312"/>
          <w:b/>
          <w:bCs w:val="0"/>
          <w:color w:val="000000"/>
        </w:rPr>
        <w:t>财</w:t>
      </w:r>
      <w:r>
        <w:rPr>
          <w:rStyle w:val="18"/>
          <w:rFonts w:hint="eastAsia" w:ascii="仿宋_GB2312" w:hAnsi="仿宋" w:eastAsia="仿宋_GB2312"/>
          <w:b/>
          <w:bCs w:val="0"/>
        </w:rPr>
        <w:t>政拨款收入支出决算总表</w:t>
      </w:r>
      <w:bookmarkEnd w:id="64"/>
    </w:p>
    <w:p>
      <w:pPr>
        <w:pStyle w:val="3"/>
        <w:ind w:firstLine="643" w:firstLineChars="200"/>
        <w:rPr>
          <w:rFonts w:ascii="仿宋_GB2312" w:hAnsi="仿宋" w:eastAsia="仿宋_GB2312"/>
          <w:b/>
          <w:bCs w:val="0"/>
          <w:color w:val="000000"/>
        </w:rPr>
      </w:pPr>
      <w:bookmarkStart w:id="65" w:name="_Toc15396623"/>
      <w:r>
        <w:rPr>
          <w:rStyle w:val="18"/>
          <w:rFonts w:hint="eastAsia" w:ascii="仿宋_GB2312" w:hAnsi="仿宋" w:eastAsia="仿宋_GB2312"/>
          <w:b/>
          <w:bCs w:val="0"/>
        </w:rPr>
        <w:t>五、</w:t>
      </w:r>
      <w:r>
        <w:rPr>
          <w:rFonts w:hint="eastAsia" w:ascii="仿宋_GB2312" w:hAnsi="仿宋" w:eastAsia="仿宋_GB2312"/>
          <w:b/>
          <w:bCs w:val="0"/>
          <w:color w:val="000000"/>
        </w:rPr>
        <w:t>财</w:t>
      </w:r>
      <w:r>
        <w:rPr>
          <w:rStyle w:val="18"/>
          <w:rFonts w:hint="eastAsia" w:ascii="仿宋_GB2312" w:hAnsi="仿宋" w:eastAsia="仿宋_GB2312"/>
          <w:b/>
          <w:bCs w:val="0"/>
        </w:rPr>
        <w:t>政拨款支出决算明细表（政府经济分类科目）</w:t>
      </w:r>
      <w:bookmarkEnd w:id="65"/>
    </w:p>
    <w:p>
      <w:pPr>
        <w:pStyle w:val="3"/>
        <w:ind w:firstLine="643" w:firstLineChars="200"/>
        <w:rPr>
          <w:rFonts w:ascii="仿宋_GB2312" w:hAnsi="仿宋" w:eastAsia="仿宋_GB2312"/>
          <w:b/>
          <w:bCs w:val="0"/>
          <w:color w:val="000000"/>
        </w:rPr>
      </w:pPr>
      <w:bookmarkStart w:id="66" w:name="_Toc15396624"/>
      <w:r>
        <w:rPr>
          <w:rStyle w:val="18"/>
          <w:rFonts w:hint="eastAsia" w:ascii="仿宋_GB2312" w:hAnsi="仿宋" w:eastAsia="仿宋_GB2312"/>
          <w:b/>
          <w:bCs w:val="0"/>
        </w:rPr>
        <w:t>六、</w:t>
      </w:r>
      <w:r>
        <w:rPr>
          <w:rFonts w:hint="eastAsia" w:ascii="仿宋_GB2312" w:hAnsi="仿宋" w:eastAsia="仿宋_GB2312"/>
          <w:b/>
          <w:bCs w:val="0"/>
          <w:color w:val="000000"/>
        </w:rPr>
        <w:t>一</w:t>
      </w:r>
      <w:r>
        <w:rPr>
          <w:rStyle w:val="18"/>
          <w:rFonts w:hint="eastAsia" w:ascii="仿宋_GB2312" w:hAnsi="仿宋" w:eastAsia="仿宋_GB2312"/>
          <w:b/>
          <w:bCs w:val="0"/>
        </w:rPr>
        <w:t>般公共预算财政拨款支出决算表</w:t>
      </w:r>
      <w:bookmarkEnd w:id="66"/>
    </w:p>
    <w:p>
      <w:pPr>
        <w:pStyle w:val="3"/>
        <w:ind w:firstLine="643" w:firstLineChars="200"/>
        <w:rPr>
          <w:rFonts w:ascii="仿宋_GB2312" w:hAnsi="仿宋" w:eastAsia="仿宋_GB2312"/>
          <w:b/>
          <w:bCs w:val="0"/>
          <w:color w:val="000000"/>
        </w:rPr>
      </w:pPr>
      <w:bookmarkStart w:id="67" w:name="_Toc15396625"/>
      <w:r>
        <w:rPr>
          <w:rStyle w:val="18"/>
          <w:rFonts w:hint="eastAsia" w:ascii="仿宋_GB2312" w:hAnsi="仿宋" w:eastAsia="仿宋_GB2312"/>
          <w:b/>
          <w:bCs w:val="0"/>
        </w:rPr>
        <w:t>七、</w:t>
      </w:r>
      <w:r>
        <w:rPr>
          <w:rFonts w:hint="eastAsia" w:ascii="仿宋_GB2312" w:hAnsi="仿宋" w:eastAsia="仿宋_GB2312"/>
          <w:b/>
          <w:bCs w:val="0"/>
          <w:color w:val="000000"/>
        </w:rPr>
        <w:t>一</w:t>
      </w:r>
      <w:r>
        <w:rPr>
          <w:rStyle w:val="18"/>
          <w:rFonts w:hint="eastAsia" w:ascii="仿宋_GB2312" w:hAnsi="仿宋" w:eastAsia="仿宋_GB2312"/>
          <w:b/>
          <w:bCs w:val="0"/>
        </w:rPr>
        <w:t>般公共预算财政拨款支出决算明细表</w:t>
      </w:r>
      <w:bookmarkEnd w:id="67"/>
    </w:p>
    <w:p>
      <w:pPr>
        <w:pStyle w:val="3"/>
        <w:ind w:firstLine="643" w:firstLineChars="200"/>
        <w:rPr>
          <w:rFonts w:ascii="仿宋_GB2312" w:hAnsi="仿宋" w:eastAsia="仿宋_GB2312"/>
          <w:b/>
          <w:bCs w:val="0"/>
          <w:color w:val="000000"/>
        </w:rPr>
      </w:pPr>
      <w:bookmarkStart w:id="68" w:name="_Toc15396626"/>
      <w:r>
        <w:rPr>
          <w:rStyle w:val="18"/>
          <w:rFonts w:hint="eastAsia" w:ascii="仿宋_GB2312" w:hAnsi="仿宋" w:eastAsia="仿宋_GB2312"/>
          <w:b/>
          <w:bCs w:val="0"/>
        </w:rPr>
        <w:t>八、</w:t>
      </w:r>
      <w:r>
        <w:rPr>
          <w:rFonts w:hint="eastAsia" w:ascii="仿宋_GB2312" w:hAnsi="仿宋" w:eastAsia="仿宋_GB2312"/>
          <w:b/>
          <w:bCs w:val="0"/>
          <w:color w:val="000000"/>
        </w:rPr>
        <w:t>一</w:t>
      </w:r>
      <w:r>
        <w:rPr>
          <w:rStyle w:val="18"/>
          <w:rFonts w:hint="eastAsia" w:ascii="仿宋_GB2312" w:hAnsi="仿宋" w:eastAsia="仿宋_GB2312"/>
          <w:b/>
          <w:bCs w:val="0"/>
        </w:rPr>
        <w:t>般公共预算财政拨款基本支出决算表</w:t>
      </w:r>
      <w:bookmarkEnd w:id="68"/>
    </w:p>
    <w:p>
      <w:pPr>
        <w:pStyle w:val="3"/>
        <w:ind w:firstLine="643" w:firstLineChars="200"/>
        <w:rPr>
          <w:rFonts w:ascii="仿宋_GB2312" w:hAnsi="仿宋" w:eastAsia="仿宋_GB2312"/>
          <w:b/>
          <w:bCs w:val="0"/>
          <w:color w:val="000000"/>
        </w:rPr>
      </w:pPr>
      <w:bookmarkStart w:id="69" w:name="_Toc15396627"/>
      <w:r>
        <w:rPr>
          <w:rStyle w:val="18"/>
          <w:rFonts w:hint="eastAsia" w:ascii="仿宋_GB2312" w:hAnsi="仿宋" w:eastAsia="仿宋_GB2312"/>
          <w:b/>
          <w:bCs w:val="0"/>
        </w:rPr>
        <w:t>九、</w:t>
      </w:r>
      <w:r>
        <w:rPr>
          <w:rFonts w:hint="eastAsia" w:ascii="仿宋_GB2312" w:hAnsi="仿宋" w:eastAsia="仿宋_GB2312"/>
          <w:b/>
          <w:bCs w:val="0"/>
          <w:color w:val="000000"/>
        </w:rPr>
        <w:t>一</w:t>
      </w:r>
      <w:r>
        <w:rPr>
          <w:rStyle w:val="18"/>
          <w:rFonts w:hint="eastAsia" w:ascii="仿宋_GB2312" w:hAnsi="仿宋" w:eastAsia="仿宋_GB2312"/>
          <w:b/>
          <w:bCs w:val="0"/>
        </w:rPr>
        <w:t>般公共预算财政拨款项目支出决算表</w:t>
      </w:r>
      <w:bookmarkEnd w:id="69"/>
    </w:p>
    <w:p>
      <w:pPr>
        <w:pStyle w:val="3"/>
        <w:ind w:firstLine="643" w:firstLineChars="200"/>
        <w:rPr>
          <w:rFonts w:ascii="仿宋_GB2312" w:hAnsi="仿宋" w:eastAsia="仿宋_GB2312"/>
          <w:b/>
          <w:bCs w:val="0"/>
          <w:color w:val="000000"/>
        </w:rPr>
      </w:pPr>
      <w:bookmarkStart w:id="70" w:name="_Toc15396628"/>
      <w:r>
        <w:rPr>
          <w:rStyle w:val="18"/>
          <w:rFonts w:hint="eastAsia" w:ascii="仿宋_GB2312" w:hAnsi="仿宋" w:eastAsia="仿宋_GB2312"/>
          <w:b/>
          <w:bCs w:val="0"/>
        </w:rPr>
        <w:t>十、</w:t>
      </w:r>
      <w:r>
        <w:rPr>
          <w:rFonts w:hint="eastAsia" w:ascii="仿宋_GB2312" w:hAnsi="仿宋" w:eastAsia="仿宋_GB2312"/>
          <w:b/>
          <w:bCs w:val="0"/>
          <w:color w:val="000000"/>
        </w:rPr>
        <w:t>一</w:t>
      </w:r>
      <w:r>
        <w:rPr>
          <w:rStyle w:val="18"/>
          <w:rFonts w:hint="eastAsia" w:ascii="仿宋_GB2312" w:hAnsi="仿宋" w:eastAsia="仿宋_GB2312"/>
          <w:b/>
          <w:bCs w:val="0"/>
        </w:rPr>
        <w:t>般公共预算财政拨款“三公”经费支出决算表</w:t>
      </w:r>
      <w:bookmarkEnd w:id="70"/>
    </w:p>
    <w:p>
      <w:pPr>
        <w:pStyle w:val="3"/>
        <w:ind w:firstLine="643" w:firstLineChars="200"/>
        <w:rPr>
          <w:rFonts w:ascii="仿宋_GB2312" w:hAnsi="仿宋" w:eastAsia="仿宋_GB2312"/>
          <w:b/>
          <w:bCs w:val="0"/>
          <w:color w:val="000000"/>
        </w:rPr>
      </w:pPr>
      <w:bookmarkStart w:id="71" w:name="_Toc15396629"/>
      <w:r>
        <w:rPr>
          <w:rStyle w:val="18"/>
          <w:rFonts w:hint="eastAsia" w:ascii="仿宋_GB2312" w:hAnsi="仿宋" w:eastAsia="仿宋_GB2312"/>
          <w:b/>
          <w:bCs w:val="0"/>
        </w:rPr>
        <w:t>十一、</w:t>
      </w:r>
      <w:r>
        <w:rPr>
          <w:rFonts w:hint="eastAsia" w:ascii="仿宋_GB2312" w:hAnsi="仿宋" w:eastAsia="仿宋_GB2312"/>
          <w:b/>
          <w:bCs w:val="0"/>
          <w:color w:val="000000"/>
        </w:rPr>
        <w:t>政</w:t>
      </w:r>
      <w:r>
        <w:rPr>
          <w:rStyle w:val="18"/>
          <w:rFonts w:hint="eastAsia" w:ascii="仿宋_GB2312" w:hAnsi="仿宋" w:eastAsia="仿宋_GB2312"/>
          <w:b/>
          <w:bCs w:val="0"/>
        </w:rPr>
        <w:t>府性基金预算财政拨款收入支出决算表</w:t>
      </w:r>
      <w:bookmarkEnd w:id="71"/>
    </w:p>
    <w:p>
      <w:pPr>
        <w:pStyle w:val="3"/>
        <w:ind w:firstLine="643" w:firstLineChars="200"/>
        <w:rPr>
          <w:rFonts w:ascii="仿宋_GB2312" w:hAnsi="仿宋" w:eastAsia="仿宋_GB2312"/>
          <w:b/>
          <w:bCs w:val="0"/>
          <w:color w:val="000000"/>
        </w:rPr>
      </w:pPr>
      <w:bookmarkStart w:id="72" w:name="_Toc15396630"/>
      <w:r>
        <w:rPr>
          <w:rStyle w:val="18"/>
          <w:rFonts w:hint="eastAsia" w:ascii="仿宋_GB2312" w:hAnsi="仿宋" w:eastAsia="仿宋_GB2312"/>
          <w:b/>
          <w:bCs w:val="0"/>
        </w:rPr>
        <w:t>十二、</w:t>
      </w:r>
      <w:r>
        <w:rPr>
          <w:rFonts w:hint="eastAsia" w:ascii="仿宋_GB2312" w:hAnsi="仿宋" w:eastAsia="仿宋_GB2312"/>
          <w:b/>
          <w:bCs w:val="0"/>
          <w:color w:val="000000"/>
        </w:rPr>
        <w:t>政</w:t>
      </w:r>
      <w:r>
        <w:rPr>
          <w:rStyle w:val="18"/>
          <w:rFonts w:hint="eastAsia" w:ascii="仿宋_GB2312" w:hAnsi="仿宋" w:eastAsia="仿宋_GB2312"/>
          <w:b/>
          <w:bCs w:val="0"/>
        </w:rPr>
        <w:t>府性基金预算财政拨款“三公”经费支出决算表</w:t>
      </w:r>
      <w:bookmarkEnd w:id="72"/>
    </w:p>
    <w:p>
      <w:pPr>
        <w:pStyle w:val="3"/>
        <w:ind w:firstLine="643" w:firstLineChars="200"/>
        <w:rPr>
          <w:rFonts w:ascii="仿宋_GB2312" w:hAnsi="仿宋" w:eastAsia="仿宋_GB2312"/>
          <w:b/>
          <w:bCs w:val="0"/>
          <w:color w:val="000000"/>
        </w:rPr>
      </w:pPr>
      <w:bookmarkStart w:id="73" w:name="_Toc15396631"/>
      <w:r>
        <w:rPr>
          <w:rStyle w:val="18"/>
          <w:rFonts w:hint="eastAsia" w:ascii="仿宋_GB2312" w:hAnsi="仿宋" w:eastAsia="仿宋_GB2312"/>
          <w:b/>
          <w:bCs w:val="0"/>
        </w:rPr>
        <w:t>十三、</w:t>
      </w:r>
      <w:r>
        <w:rPr>
          <w:rFonts w:hint="eastAsia" w:ascii="仿宋_GB2312" w:hAnsi="仿宋" w:eastAsia="仿宋_GB2312"/>
          <w:b/>
          <w:bCs w:val="0"/>
          <w:color w:val="000000"/>
        </w:rPr>
        <w:t>国</w:t>
      </w:r>
      <w:r>
        <w:rPr>
          <w:rStyle w:val="18"/>
          <w:rFonts w:hint="eastAsia" w:ascii="仿宋_GB2312" w:hAnsi="仿宋" w:eastAsia="仿宋_GB2312"/>
          <w:b/>
          <w:bCs w:val="0"/>
        </w:rPr>
        <w:t>有资本经营预算支出决算表</w:t>
      </w:r>
      <w:bookmarkEnd w:id="73"/>
    </w:p>
    <w:sectPr>
      <w:headerReference r:id="rId3" w:type="default"/>
      <w:footerReference r:id="rId4" w:type="default"/>
      <w:footerReference r:id="rId5" w:type="even"/>
      <w:pgSz w:w="11906" w:h="16838"/>
      <w:pgMar w:top="1440" w:right="1587" w:bottom="1440" w:left="1587" w:header="851" w:footer="992" w:gutter="0"/>
      <w:pgNumType w:start="1"/>
      <w:cols w:space="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_GB2312">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0000000000000000000"/>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right" w:y="1"/>
      <w:rPr>
        <w:rStyle w:val="14"/>
      </w:rPr>
    </w:pPr>
    <w:r>
      <w:rPr>
        <w:rStyle w:val="14"/>
      </w:rPr>
      <w:fldChar w:fldCharType="begin"/>
    </w:r>
    <w:r>
      <w:rPr>
        <w:rStyle w:val="14"/>
      </w:rPr>
      <w:instrText xml:space="preserve">PAGE  </w:instrText>
    </w:r>
    <w:r>
      <w:rPr>
        <w:rStyle w:val="14"/>
      </w:rPr>
      <w:fldChar w:fldCharType="separate"/>
    </w:r>
    <w:r>
      <w:rPr>
        <w:rStyle w:val="14"/>
      </w:rPr>
      <w:t>3</w:t>
    </w:r>
    <w:r>
      <w:rPr>
        <w:rStyle w:val="14"/>
      </w:rPr>
      <w:fldChar w:fldCharType="end"/>
    </w:r>
  </w:p>
  <w:p>
    <w:pPr>
      <w:pStyle w:val="8"/>
      <w:ind w:right="360"/>
      <w:jc w:val="center"/>
    </w:pP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right" w:y="1"/>
      <w:rPr>
        <w:rStyle w:val="14"/>
      </w:rPr>
    </w:pPr>
    <w:r>
      <w:rPr>
        <w:rStyle w:val="14"/>
      </w:rPr>
      <w:fldChar w:fldCharType="begin"/>
    </w:r>
    <w:r>
      <w:rPr>
        <w:rStyle w:val="14"/>
      </w:rPr>
      <w:instrText xml:space="preserve">PAGE  </w:instrText>
    </w:r>
    <w:r>
      <w:rPr>
        <w:rStyle w:val="14"/>
      </w:rPr>
      <w:fldChar w:fldCharType="end"/>
    </w:r>
  </w:p>
  <w:p>
    <w:pPr>
      <w:pStyle w:val="8"/>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52CDAF0"/>
    <w:multiLevelType w:val="singleLevel"/>
    <w:tmpl w:val="852CDAF0"/>
    <w:lvl w:ilvl="0" w:tentative="0">
      <w:start w:val="1"/>
      <w:numFmt w:val="decimal"/>
      <w:suff w:val="nothing"/>
      <w:lvlText w:val="%1、"/>
      <w:lvlJc w:val="left"/>
    </w:lvl>
  </w:abstractNum>
  <w:abstractNum w:abstractNumId="1">
    <w:nsid w:val="87631918"/>
    <w:multiLevelType w:val="singleLevel"/>
    <w:tmpl w:val="87631918"/>
    <w:lvl w:ilvl="0" w:tentative="0">
      <w:start w:val="2"/>
      <w:numFmt w:val="chineseCounting"/>
      <w:suff w:val="nothing"/>
      <w:lvlText w:val="（%1）"/>
      <w:lvlJc w:val="left"/>
      <w:rPr>
        <w:rFonts w:hint="eastAsia" w:cs="Times New Roman"/>
      </w:rPr>
    </w:lvl>
  </w:abstractNum>
  <w:abstractNum w:abstractNumId="2">
    <w:nsid w:val="C49D9607"/>
    <w:multiLevelType w:val="singleLevel"/>
    <w:tmpl w:val="C49D9607"/>
    <w:lvl w:ilvl="0" w:tentative="0">
      <w:start w:val="1"/>
      <w:numFmt w:val="decimal"/>
      <w:suff w:val="nothing"/>
      <w:lvlText w:val="%1、"/>
      <w:lvlJc w:val="left"/>
      <w:rPr>
        <w:rFonts w:cs="Times New Roman"/>
      </w:rPr>
    </w:lvl>
  </w:abstractNum>
  <w:abstractNum w:abstractNumId="3">
    <w:nsid w:val="CF652CEC"/>
    <w:multiLevelType w:val="singleLevel"/>
    <w:tmpl w:val="CF652CEC"/>
    <w:lvl w:ilvl="0" w:tentative="0">
      <w:start w:val="9"/>
      <w:numFmt w:val="chineseCounting"/>
      <w:suff w:val="nothing"/>
      <w:lvlText w:val="%1、"/>
      <w:lvlJc w:val="left"/>
      <w:rPr>
        <w:rFonts w:hint="eastAsia" w:cs="Times New Roman"/>
      </w:rPr>
    </w:lvl>
  </w:abstractNum>
  <w:abstractNum w:abstractNumId="4">
    <w:nsid w:val="EC0BEF30"/>
    <w:multiLevelType w:val="singleLevel"/>
    <w:tmpl w:val="EC0BEF30"/>
    <w:lvl w:ilvl="0" w:tentative="0">
      <w:start w:val="1"/>
      <w:numFmt w:val="chineseCounting"/>
      <w:suff w:val="nothing"/>
      <w:lvlText w:val="（%1）"/>
      <w:lvlJc w:val="left"/>
      <w:rPr>
        <w:rFonts w:hint="eastAsia" w:ascii="楷体_GB2312" w:hAnsi="楷体_GB2312" w:eastAsia="楷体_GB2312" w:cs="楷体_GB2312"/>
        <w:b/>
        <w:bCs/>
        <w:sz w:val="32"/>
        <w:szCs w:val="32"/>
      </w:rPr>
    </w:lvl>
  </w:abstractNum>
  <w:abstractNum w:abstractNumId="5">
    <w:nsid w:val="1272550B"/>
    <w:multiLevelType w:val="multilevel"/>
    <w:tmpl w:val="1272550B"/>
    <w:lvl w:ilvl="0" w:tentative="0">
      <w:start w:val="1"/>
      <w:numFmt w:val="japaneseCounting"/>
      <w:lvlText w:val="%1、"/>
      <w:lvlJc w:val="left"/>
      <w:pPr>
        <w:ind w:left="1360" w:hanging="720"/>
      </w:pPr>
      <w:rPr>
        <w:rFonts w:hint="default" w:cs="Times New Roman"/>
        <w:b w:val="0"/>
      </w:rPr>
    </w:lvl>
    <w:lvl w:ilvl="1" w:tentative="0">
      <w:start w:val="1"/>
      <w:numFmt w:val="lowerLetter"/>
      <w:lvlText w:val="%2)"/>
      <w:lvlJc w:val="left"/>
      <w:pPr>
        <w:ind w:left="1480" w:hanging="420"/>
      </w:pPr>
      <w:rPr>
        <w:rFonts w:cs="Times New Roman"/>
      </w:rPr>
    </w:lvl>
    <w:lvl w:ilvl="2" w:tentative="0">
      <w:start w:val="1"/>
      <w:numFmt w:val="lowerRoman"/>
      <w:lvlText w:val="%3."/>
      <w:lvlJc w:val="right"/>
      <w:pPr>
        <w:ind w:left="1900" w:hanging="420"/>
      </w:pPr>
      <w:rPr>
        <w:rFonts w:cs="Times New Roman"/>
      </w:rPr>
    </w:lvl>
    <w:lvl w:ilvl="3" w:tentative="0">
      <w:start w:val="1"/>
      <w:numFmt w:val="decimal"/>
      <w:lvlText w:val="%4."/>
      <w:lvlJc w:val="left"/>
      <w:pPr>
        <w:ind w:left="2320" w:hanging="420"/>
      </w:pPr>
      <w:rPr>
        <w:rFonts w:cs="Times New Roman"/>
      </w:rPr>
    </w:lvl>
    <w:lvl w:ilvl="4" w:tentative="0">
      <w:start w:val="1"/>
      <w:numFmt w:val="lowerLetter"/>
      <w:lvlText w:val="%5)"/>
      <w:lvlJc w:val="left"/>
      <w:pPr>
        <w:ind w:left="2740" w:hanging="420"/>
      </w:pPr>
      <w:rPr>
        <w:rFonts w:cs="Times New Roman"/>
      </w:rPr>
    </w:lvl>
    <w:lvl w:ilvl="5" w:tentative="0">
      <w:start w:val="1"/>
      <w:numFmt w:val="lowerRoman"/>
      <w:lvlText w:val="%6."/>
      <w:lvlJc w:val="right"/>
      <w:pPr>
        <w:ind w:left="3160" w:hanging="420"/>
      </w:pPr>
      <w:rPr>
        <w:rFonts w:cs="Times New Roman"/>
      </w:rPr>
    </w:lvl>
    <w:lvl w:ilvl="6" w:tentative="0">
      <w:start w:val="1"/>
      <w:numFmt w:val="decimal"/>
      <w:lvlText w:val="%7."/>
      <w:lvlJc w:val="left"/>
      <w:pPr>
        <w:ind w:left="3580" w:hanging="420"/>
      </w:pPr>
      <w:rPr>
        <w:rFonts w:cs="Times New Roman"/>
      </w:rPr>
    </w:lvl>
    <w:lvl w:ilvl="7" w:tentative="0">
      <w:start w:val="1"/>
      <w:numFmt w:val="lowerLetter"/>
      <w:lvlText w:val="%8)"/>
      <w:lvlJc w:val="left"/>
      <w:pPr>
        <w:ind w:left="4000" w:hanging="420"/>
      </w:pPr>
      <w:rPr>
        <w:rFonts w:cs="Times New Roman"/>
      </w:rPr>
    </w:lvl>
    <w:lvl w:ilvl="8" w:tentative="0">
      <w:start w:val="1"/>
      <w:numFmt w:val="lowerRoman"/>
      <w:lvlText w:val="%9."/>
      <w:lvlJc w:val="right"/>
      <w:pPr>
        <w:ind w:left="4420" w:hanging="420"/>
      </w:pPr>
      <w:rPr>
        <w:rFonts w:cs="Times New Roman"/>
      </w:rPr>
    </w:lvl>
  </w:abstractNum>
  <w:abstractNum w:abstractNumId="6">
    <w:nsid w:val="17F426B7"/>
    <w:multiLevelType w:val="multilevel"/>
    <w:tmpl w:val="17F426B7"/>
    <w:lvl w:ilvl="0" w:tentative="0">
      <w:start w:val="10"/>
      <w:numFmt w:val="japaneseCounting"/>
      <w:lvlText w:val="%1、"/>
      <w:lvlJc w:val="left"/>
      <w:pPr>
        <w:ind w:left="1429" w:hanging="720"/>
      </w:pPr>
      <w:rPr>
        <w:rFonts w:hint="default" w:cs="Times New Roman"/>
      </w:rPr>
    </w:lvl>
    <w:lvl w:ilvl="1" w:tentative="0">
      <w:start w:val="1"/>
      <w:numFmt w:val="lowerLetter"/>
      <w:lvlText w:val="%2)"/>
      <w:lvlJc w:val="left"/>
      <w:pPr>
        <w:ind w:left="1549" w:hanging="420"/>
      </w:pPr>
      <w:rPr>
        <w:rFonts w:cs="Times New Roman"/>
      </w:rPr>
    </w:lvl>
    <w:lvl w:ilvl="2" w:tentative="0">
      <w:start w:val="1"/>
      <w:numFmt w:val="lowerRoman"/>
      <w:lvlText w:val="%3."/>
      <w:lvlJc w:val="right"/>
      <w:pPr>
        <w:ind w:left="1969" w:hanging="420"/>
      </w:pPr>
      <w:rPr>
        <w:rFonts w:cs="Times New Roman"/>
      </w:rPr>
    </w:lvl>
    <w:lvl w:ilvl="3" w:tentative="0">
      <w:start w:val="1"/>
      <w:numFmt w:val="decimal"/>
      <w:lvlText w:val="%4."/>
      <w:lvlJc w:val="left"/>
      <w:pPr>
        <w:ind w:left="2389" w:hanging="420"/>
      </w:pPr>
      <w:rPr>
        <w:rFonts w:cs="Times New Roman"/>
      </w:rPr>
    </w:lvl>
    <w:lvl w:ilvl="4" w:tentative="0">
      <w:start w:val="1"/>
      <w:numFmt w:val="lowerLetter"/>
      <w:lvlText w:val="%5)"/>
      <w:lvlJc w:val="left"/>
      <w:pPr>
        <w:ind w:left="2809" w:hanging="420"/>
      </w:pPr>
      <w:rPr>
        <w:rFonts w:cs="Times New Roman"/>
      </w:rPr>
    </w:lvl>
    <w:lvl w:ilvl="5" w:tentative="0">
      <w:start w:val="1"/>
      <w:numFmt w:val="lowerRoman"/>
      <w:lvlText w:val="%6."/>
      <w:lvlJc w:val="right"/>
      <w:pPr>
        <w:ind w:left="3229" w:hanging="420"/>
      </w:pPr>
      <w:rPr>
        <w:rFonts w:cs="Times New Roman"/>
      </w:rPr>
    </w:lvl>
    <w:lvl w:ilvl="6" w:tentative="0">
      <w:start w:val="1"/>
      <w:numFmt w:val="decimal"/>
      <w:lvlText w:val="%7."/>
      <w:lvlJc w:val="left"/>
      <w:pPr>
        <w:ind w:left="3649" w:hanging="420"/>
      </w:pPr>
      <w:rPr>
        <w:rFonts w:cs="Times New Roman"/>
      </w:rPr>
    </w:lvl>
    <w:lvl w:ilvl="7" w:tentative="0">
      <w:start w:val="1"/>
      <w:numFmt w:val="lowerLetter"/>
      <w:lvlText w:val="%8)"/>
      <w:lvlJc w:val="left"/>
      <w:pPr>
        <w:ind w:left="4069" w:hanging="420"/>
      </w:pPr>
      <w:rPr>
        <w:rFonts w:cs="Times New Roman"/>
      </w:rPr>
    </w:lvl>
    <w:lvl w:ilvl="8" w:tentative="0">
      <w:start w:val="1"/>
      <w:numFmt w:val="lowerRoman"/>
      <w:lvlText w:val="%9."/>
      <w:lvlJc w:val="right"/>
      <w:pPr>
        <w:ind w:left="4489" w:hanging="420"/>
      </w:pPr>
      <w:rPr>
        <w:rFonts w:cs="Times New Roman"/>
      </w:rPr>
    </w:lvl>
  </w:abstractNum>
  <w:abstractNum w:abstractNumId="7">
    <w:nsid w:val="2865F29B"/>
    <w:multiLevelType w:val="singleLevel"/>
    <w:tmpl w:val="2865F29B"/>
    <w:lvl w:ilvl="0" w:tentative="0">
      <w:start w:val="1"/>
      <w:numFmt w:val="decimal"/>
      <w:suff w:val="nothing"/>
      <w:lvlText w:val="%1、"/>
      <w:lvlJc w:val="left"/>
      <w:rPr>
        <w:rFonts w:cs="Times New Roman"/>
      </w:rPr>
    </w:lvl>
  </w:abstractNum>
  <w:num w:numId="1">
    <w:abstractNumId w:val="5"/>
  </w:num>
  <w:num w:numId="2">
    <w:abstractNumId w:val="3"/>
  </w:num>
  <w:num w:numId="3">
    <w:abstractNumId w:val="6"/>
  </w:num>
  <w:num w:numId="4">
    <w:abstractNumId w:val="4"/>
  </w:num>
  <w:num w:numId="5">
    <w:abstractNumId w:val="0"/>
  </w:num>
  <w:num w:numId="6">
    <w:abstractNumId w:val="1"/>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1361C"/>
    <w:rsid w:val="000173B8"/>
    <w:rsid w:val="000222C6"/>
    <w:rsid w:val="0002549F"/>
    <w:rsid w:val="0006487A"/>
    <w:rsid w:val="00065F8F"/>
    <w:rsid w:val="000768F2"/>
    <w:rsid w:val="0009184B"/>
    <w:rsid w:val="0009593C"/>
    <w:rsid w:val="000A35D8"/>
    <w:rsid w:val="000A3DD2"/>
    <w:rsid w:val="000B047F"/>
    <w:rsid w:val="000B5923"/>
    <w:rsid w:val="000B5A48"/>
    <w:rsid w:val="000B6FF3"/>
    <w:rsid w:val="000C1E24"/>
    <w:rsid w:val="000C3467"/>
    <w:rsid w:val="000C3CA6"/>
    <w:rsid w:val="000D1267"/>
    <w:rsid w:val="000D1D50"/>
    <w:rsid w:val="000D5782"/>
    <w:rsid w:val="000E6613"/>
    <w:rsid w:val="000E7119"/>
    <w:rsid w:val="00114E9B"/>
    <w:rsid w:val="00130675"/>
    <w:rsid w:val="0014729F"/>
    <w:rsid w:val="00157BAB"/>
    <w:rsid w:val="001654D1"/>
    <w:rsid w:val="0018106D"/>
    <w:rsid w:val="001877A7"/>
    <w:rsid w:val="00191536"/>
    <w:rsid w:val="00191DA2"/>
    <w:rsid w:val="001943AC"/>
    <w:rsid w:val="00196687"/>
    <w:rsid w:val="00197642"/>
    <w:rsid w:val="001A4B4B"/>
    <w:rsid w:val="001C0962"/>
    <w:rsid w:val="001D045A"/>
    <w:rsid w:val="001D7531"/>
    <w:rsid w:val="001E737D"/>
    <w:rsid w:val="001F0592"/>
    <w:rsid w:val="001F7506"/>
    <w:rsid w:val="002006CD"/>
    <w:rsid w:val="00202B36"/>
    <w:rsid w:val="00204B7A"/>
    <w:rsid w:val="0021101A"/>
    <w:rsid w:val="00220536"/>
    <w:rsid w:val="00235629"/>
    <w:rsid w:val="00250C9D"/>
    <w:rsid w:val="00260C38"/>
    <w:rsid w:val="002616C0"/>
    <w:rsid w:val="002662AA"/>
    <w:rsid w:val="00280496"/>
    <w:rsid w:val="00295495"/>
    <w:rsid w:val="002B2613"/>
    <w:rsid w:val="002F1818"/>
    <w:rsid w:val="002F567B"/>
    <w:rsid w:val="0032096A"/>
    <w:rsid w:val="003216A9"/>
    <w:rsid w:val="00351C25"/>
    <w:rsid w:val="0037013F"/>
    <w:rsid w:val="00380C92"/>
    <w:rsid w:val="003A484F"/>
    <w:rsid w:val="003B0BE0"/>
    <w:rsid w:val="003B0C1B"/>
    <w:rsid w:val="003B688C"/>
    <w:rsid w:val="003C0291"/>
    <w:rsid w:val="003C2156"/>
    <w:rsid w:val="003C39AE"/>
    <w:rsid w:val="003C7B60"/>
    <w:rsid w:val="003D1FB2"/>
    <w:rsid w:val="003D66DA"/>
    <w:rsid w:val="003E1310"/>
    <w:rsid w:val="003E6F55"/>
    <w:rsid w:val="00406254"/>
    <w:rsid w:val="004223DE"/>
    <w:rsid w:val="00434489"/>
    <w:rsid w:val="004363C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35154"/>
    <w:rsid w:val="005664BB"/>
    <w:rsid w:val="0057481D"/>
    <w:rsid w:val="0058486E"/>
    <w:rsid w:val="005D1C8B"/>
    <w:rsid w:val="005D31EE"/>
    <w:rsid w:val="005D5CED"/>
    <w:rsid w:val="005F1A4C"/>
    <w:rsid w:val="00605688"/>
    <w:rsid w:val="006070AF"/>
    <w:rsid w:val="00607E6C"/>
    <w:rsid w:val="006101B1"/>
    <w:rsid w:val="00614E44"/>
    <w:rsid w:val="00622830"/>
    <w:rsid w:val="00630AEF"/>
    <w:rsid w:val="006325F8"/>
    <w:rsid w:val="00634C9A"/>
    <w:rsid w:val="006440E4"/>
    <w:rsid w:val="0066343B"/>
    <w:rsid w:val="00664777"/>
    <w:rsid w:val="006748A4"/>
    <w:rsid w:val="00683E73"/>
    <w:rsid w:val="00687188"/>
    <w:rsid w:val="00690CF8"/>
    <w:rsid w:val="006A1684"/>
    <w:rsid w:val="006A3141"/>
    <w:rsid w:val="006A5E34"/>
    <w:rsid w:val="006B2422"/>
    <w:rsid w:val="006B2B9A"/>
    <w:rsid w:val="006C1937"/>
    <w:rsid w:val="006D39CE"/>
    <w:rsid w:val="006F020C"/>
    <w:rsid w:val="00704C9C"/>
    <w:rsid w:val="007127B7"/>
    <w:rsid w:val="007256A9"/>
    <w:rsid w:val="007416B6"/>
    <w:rsid w:val="00746F48"/>
    <w:rsid w:val="0075404D"/>
    <w:rsid w:val="0076182A"/>
    <w:rsid w:val="00767B7E"/>
    <w:rsid w:val="007770C3"/>
    <w:rsid w:val="00784D24"/>
    <w:rsid w:val="00785FBA"/>
    <w:rsid w:val="00786E4A"/>
    <w:rsid w:val="007875EB"/>
    <w:rsid w:val="0079426B"/>
    <w:rsid w:val="007D312A"/>
    <w:rsid w:val="007D3ACA"/>
    <w:rsid w:val="007D3F19"/>
    <w:rsid w:val="007E23B0"/>
    <w:rsid w:val="007F1991"/>
    <w:rsid w:val="007F2C2F"/>
    <w:rsid w:val="007F3B10"/>
    <w:rsid w:val="007F55FC"/>
    <w:rsid w:val="007F5665"/>
    <w:rsid w:val="00800112"/>
    <w:rsid w:val="00814AD0"/>
    <w:rsid w:val="008253BB"/>
    <w:rsid w:val="0083706E"/>
    <w:rsid w:val="008423A5"/>
    <w:rsid w:val="00850625"/>
    <w:rsid w:val="00853718"/>
    <w:rsid w:val="00855221"/>
    <w:rsid w:val="00860645"/>
    <w:rsid w:val="00871F71"/>
    <w:rsid w:val="00885AF4"/>
    <w:rsid w:val="008939CD"/>
    <w:rsid w:val="008B768C"/>
    <w:rsid w:val="008C4DB1"/>
    <w:rsid w:val="008C4EAF"/>
    <w:rsid w:val="008C5176"/>
    <w:rsid w:val="008C7FD0"/>
    <w:rsid w:val="008E1DE7"/>
    <w:rsid w:val="008E707C"/>
    <w:rsid w:val="00900B08"/>
    <w:rsid w:val="00902155"/>
    <w:rsid w:val="00902FA3"/>
    <w:rsid w:val="009069B5"/>
    <w:rsid w:val="00923564"/>
    <w:rsid w:val="0092392E"/>
    <w:rsid w:val="009315F9"/>
    <w:rsid w:val="00946945"/>
    <w:rsid w:val="00951248"/>
    <w:rsid w:val="0095152F"/>
    <w:rsid w:val="00954C49"/>
    <w:rsid w:val="0097099F"/>
    <w:rsid w:val="00971997"/>
    <w:rsid w:val="00971FFC"/>
    <w:rsid w:val="0098660A"/>
    <w:rsid w:val="009931C3"/>
    <w:rsid w:val="009B2C43"/>
    <w:rsid w:val="009B4EAE"/>
    <w:rsid w:val="009B7573"/>
    <w:rsid w:val="009C1DF9"/>
    <w:rsid w:val="009C22F4"/>
    <w:rsid w:val="009C2E98"/>
    <w:rsid w:val="009D3447"/>
    <w:rsid w:val="009D4711"/>
    <w:rsid w:val="009F1185"/>
    <w:rsid w:val="009F18CD"/>
    <w:rsid w:val="009F2A13"/>
    <w:rsid w:val="00A04EB0"/>
    <w:rsid w:val="00A13CC1"/>
    <w:rsid w:val="00A16847"/>
    <w:rsid w:val="00A237D8"/>
    <w:rsid w:val="00A268C4"/>
    <w:rsid w:val="00A307CD"/>
    <w:rsid w:val="00A32D2D"/>
    <w:rsid w:val="00A40A00"/>
    <w:rsid w:val="00A4142F"/>
    <w:rsid w:val="00A56DF2"/>
    <w:rsid w:val="00A67AB5"/>
    <w:rsid w:val="00A91760"/>
    <w:rsid w:val="00A93B00"/>
    <w:rsid w:val="00A93C21"/>
    <w:rsid w:val="00AC3C6A"/>
    <w:rsid w:val="00AD5620"/>
    <w:rsid w:val="00AD7C1B"/>
    <w:rsid w:val="00AE16BA"/>
    <w:rsid w:val="00AE1EBE"/>
    <w:rsid w:val="00AE3561"/>
    <w:rsid w:val="00B03C9D"/>
    <w:rsid w:val="00B060AE"/>
    <w:rsid w:val="00B10517"/>
    <w:rsid w:val="00B14E76"/>
    <w:rsid w:val="00B161B8"/>
    <w:rsid w:val="00B174FE"/>
    <w:rsid w:val="00B2048C"/>
    <w:rsid w:val="00B2325A"/>
    <w:rsid w:val="00B310B9"/>
    <w:rsid w:val="00B35F3F"/>
    <w:rsid w:val="00B36CBB"/>
    <w:rsid w:val="00B425E0"/>
    <w:rsid w:val="00B440AA"/>
    <w:rsid w:val="00B44B70"/>
    <w:rsid w:val="00B507C2"/>
    <w:rsid w:val="00B53C56"/>
    <w:rsid w:val="00B6772E"/>
    <w:rsid w:val="00B77EA6"/>
    <w:rsid w:val="00B81598"/>
    <w:rsid w:val="00B841F1"/>
    <w:rsid w:val="00B851C2"/>
    <w:rsid w:val="00B85EBE"/>
    <w:rsid w:val="00B944D6"/>
    <w:rsid w:val="00BB4DF0"/>
    <w:rsid w:val="00BC289F"/>
    <w:rsid w:val="00BC5361"/>
    <w:rsid w:val="00BC5460"/>
    <w:rsid w:val="00BC6B50"/>
    <w:rsid w:val="00BD0E25"/>
    <w:rsid w:val="00BF5BD6"/>
    <w:rsid w:val="00BF7B18"/>
    <w:rsid w:val="00C03E31"/>
    <w:rsid w:val="00C33E72"/>
    <w:rsid w:val="00C354B2"/>
    <w:rsid w:val="00C35554"/>
    <w:rsid w:val="00C42709"/>
    <w:rsid w:val="00C533CC"/>
    <w:rsid w:val="00C5751C"/>
    <w:rsid w:val="00C61BFC"/>
    <w:rsid w:val="00C62B85"/>
    <w:rsid w:val="00C65438"/>
    <w:rsid w:val="00C91CBB"/>
    <w:rsid w:val="00CB759F"/>
    <w:rsid w:val="00CC09B6"/>
    <w:rsid w:val="00CC666F"/>
    <w:rsid w:val="00CD1E3F"/>
    <w:rsid w:val="00CE44F6"/>
    <w:rsid w:val="00CE49DA"/>
    <w:rsid w:val="00CE7B61"/>
    <w:rsid w:val="00D00095"/>
    <w:rsid w:val="00D20620"/>
    <w:rsid w:val="00D26091"/>
    <w:rsid w:val="00D34E7C"/>
    <w:rsid w:val="00D35489"/>
    <w:rsid w:val="00D51276"/>
    <w:rsid w:val="00D7035F"/>
    <w:rsid w:val="00DA65AC"/>
    <w:rsid w:val="00DB1913"/>
    <w:rsid w:val="00DC410D"/>
    <w:rsid w:val="00DC68CA"/>
    <w:rsid w:val="00DC7CBA"/>
    <w:rsid w:val="00DD73B7"/>
    <w:rsid w:val="00DF28BC"/>
    <w:rsid w:val="00DF34B9"/>
    <w:rsid w:val="00E01053"/>
    <w:rsid w:val="00E07ACF"/>
    <w:rsid w:val="00E1605A"/>
    <w:rsid w:val="00E331A1"/>
    <w:rsid w:val="00E33202"/>
    <w:rsid w:val="00E33457"/>
    <w:rsid w:val="00E336A9"/>
    <w:rsid w:val="00E50624"/>
    <w:rsid w:val="00E568DF"/>
    <w:rsid w:val="00E64269"/>
    <w:rsid w:val="00E82267"/>
    <w:rsid w:val="00EA010F"/>
    <w:rsid w:val="00ED1B63"/>
    <w:rsid w:val="00ED3C1F"/>
    <w:rsid w:val="00ED4085"/>
    <w:rsid w:val="00ED420E"/>
    <w:rsid w:val="00ED5F7E"/>
    <w:rsid w:val="00EE2F57"/>
    <w:rsid w:val="00EF4C34"/>
    <w:rsid w:val="00EF77C6"/>
    <w:rsid w:val="00F018FF"/>
    <w:rsid w:val="00F05438"/>
    <w:rsid w:val="00F1361C"/>
    <w:rsid w:val="00F160C7"/>
    <w:rsid w:val="00F36D8F"/>
    <w:rsid w:val="00F417B1"/>
    <w:rsid w:val="00F47786"/>
    <w:rsid w:val="00F602DF"/>
    <w:rsid w:val="00F81FD9"/>
    <w:rsid w:val="00F841AA"/>
    <w:rsid w:val="00FA23E8"/>
    <w:rsid w:val="00FC05E6"/>
    <w:rsid w:val="00FD3CC1"/>
    <w:rsid w:val="00FF1E02"/>
    <w:rsid w:val="00FF30B4"/>
    <w:rsid w:val="03EF38F0"/>
    <w:rsid w:val="075F6536"/>
    <w:rsid w:val="079451D2"/>
    <w:rsid w:val="07984DF3"/>
    <w:rsid w:val="0961562C"/>
    <w:rsid w:val="0A7C6702"/>
    <w:rsid w:val="0C440046"/>
    <w:rsid w:val="0DAD53A9"/>
    <w:rsid w:val="0F521D79"/>
    <w:rsid w:val="1004044D"/>
    <w:rsid w:val="10C055FF"/>
    <w:rsid w:val="12A12C14"/>
    <w:rsid w:val="13B839C6"/>
    <w:rsid w:val="15EE11B4"/>
    <w:rsid w:val="16BB723D"/>
    <w:rsid w:val="177A0016"/>
    <w:rsid w:val="1E153340"/>
    <w:rsid w:val="1E7F612C"/>
    <w:rsid w:val="1EC92221"/>
    <w:rsid w:val="21006F80"/>
    <w:rsid w:val="21D00780"/>
    <w:rsid w:val="22C85D42"/>
    <w:rsid w:val="240371BF"/>
    <w:rsid w:val="26396DE5"/>
    <w:rsid w:val="29E96252"/>
    <w:rsid w:val="29FD04D3"/>
    <w:rsid w:val="2EDF37D4"/>
    <w:rsid w:val="30693F6B"/>
    <w:rsid w:val="319F7F4E"/>
    <w:rsid w:val="31BC5286"/>
    <w:rsid w:val="32DE2EFE"/>
    <w:rsid w:val="351C2F7F"/>
    <w:rsid w:val="35FB3ED7"/>
    <w:rsid w:val="3AA744A0"/>
    <w:rsid w:val="3CA01EE6"/>
    <w:rsid w:val="3CAC1295"/>
    <w:rsid w:val="3CBE570C"/>
    <w:rsid w:val="417607DF"/>
    <w:rsid w:val="424F7120"/>
    <w:rsid w:val="44AA765E"/>
    <w:rsid w:val="451C796E"/>
    <w:rsid w:val="4A120412"/>
    <w:rsid w:val="505A7669"/>
    <w:rsid w:val="50EE5C70"/>
    <w:rsid w:val="546B1E35"/>
    <w:rsid w:val="56B3635C"/>
    <w:rsid w:val="59347BDF"/>
    <w:rsid w:val="59C6380B"/>
    <w:rsid w:val="5EBE065C"/>
    <w:rsid w:val="61FF64B7"/>
    <w:rsid w:val="624B64AF"/>
    <w:rsid w:val="63E10556"/>
    <w:rsid w:val="6594534E"/>
    <w:rsid w:val="66F9635C"/>
    <w:rsid w:val="68317166"/>
    <w:rsid w:val="68E77650"/>
    <w:rsid w:val="691F2151"/>
    <w:rsid w:val="6A813689"/>
    <w:rsid w:val="6B5B437F"/>
    <w:rsid w:val="6B5B7956"/>
    <w:rsid w:val="6C565703"/>
    <w:rsid w:val="6CCF5952"/>
    <w:rsid w:val="6D3A5F91"/>
    <w:rsid w:val="6F072392"/>
    <w:rsid w:val="700434F7"/>
    <w:rsid w:val="76596BCA"/>
    <w:rsid w:val="76B554D0"/>
    <w:rsid w:val="76F24BB1"/>
    <w:rsid w:val="772A6950"/>
    <w:rsid w:val="781127DF"/>
    <w:rsid w:val="795E17CF"/>
    <w:rsid w:val="79BA7612"/>
    <w:rsid w:val="7E2D06F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qFormat="1" w:unhideWhenUsed="0" w:uiPriority="99" w:semiHidden="0" w:name="toc 2"/>
    <w:lsdException w:qFormat="1" w:unhideWhenUsed="0" w:uiPriority="99" w:semiHidden="0" w:name="toc 3"/>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7"/>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18"/>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19"/>
    <w:qFormat/>
    <w:uiPriority w:val="99"/>
    <w:pPr>
      <w:keepNext/>
      <w:keepLines/>
      <w:spacing w:before="260" w:after="260" w:line="416" w:lineRule="auto"/>
      <w:outlineLvl w:val="2"/>
    </w:pPr>
    <w:rPr>
      <w:b/>
      <w:bCs/>
      <w:sz w:val="32"/>
      <w:szCs w:val="32"/>
    </w:rPr>
  </w:style>
  <w:style w:type="character" w:default="1" w:styleId="12">
    <w:name w:val="Default Paragraph Font"/>
    <w:semiHidden/>
    <w:qFormat/>
    <w:uiPriority w:val="99"/>
  </w:style>
  <w:style w:type="table" w:default="1" w:styleId="16">
    <w:name w:val="Normal Table"/>
    <w:semiHidden/>
    <w:unhideWhenUsed/>
    <w:qFormat/>
    <w:uiPriority w:val="99"/>
    <w:tblPr>
      <w:tblLayout w:type="fixed"/>
      <w:tblCellMar>
        <w:top w:w="0" w:type="dxa"/>
        <w:left w:w="108" w:type="dxa"/>
        <w:bottom w:w="0" w:type="dxa"/>
        <w:right w:w="108" w:type="dxa"/>
      </w:tblCellMar>
    </w:tblPr>
  </w:style>
  <w:style w:type="paragraph" w:styleId="5">
    <w:name w:val="Body Text"/>
    <w:basedOn w:val="1"/>
    <w:link w:val="26"/>
    <w:qFormat/>
    <w:uiPriority w:val="99"/>
    <w:pPr>
      <w:spacing w:beforeLines="30"/>
    </w:pPr>
    <w:rPr>
      <w:rFonts w:ascii="??_GB2312" w:eastAsia="Times New Roman"/>
      <w:kern w:val="0"/>
      <w:sz w:val="24"/>
      <w:szCs w:val="20"/>
    </w:rPr>
  </w:style>
  <w:style w:type="paragraph" w:styleId="6">
    <w:name w:val="toc 3"/>
    <w:basedOn w:val="1"/>
    <w:next w:val="1"/>
    <w:qFormat/>
    <w:uiPriority w:val="99"/>
    <w:pPr>
      <w:tabs>
        <w:tab w:val="right" w:leader="dot" w:pos="8296"/>
      </w:tabs>
      <w:ind w:left="840" w:leftChars="400"/>
    </w:pPr>
  </w:style>
  <w:style w:type="paragraph" w:styleId="7">
    <w:name w:val="Balloon Text"/>
    <w:basedOn w:val="1"/>
    <w:link w:val="21"/>
    <w:semiHidden/>
    <w:qFormat/>
    <w:uiPriority w:val="99"/>
    <w:rPr>
      <w:sz w:val="18"/>
      <w:szCs w:val="18"/>
    </w:rPr>
  </w:style>
  <w:style w:type="paragraph" w:styleId="8">
    <w:name w:val="footer"/>
    <w:basedOn w:val="1"/>
    <w:link w:val="25"/>
    <w:qFormat/>
    <w:uiPriority w:val="99"/>
    <w:pPr>
      <w:tabs>
        <w:tab w:val="center" w:pos="4153"/>
        <w:tab w:val="right" w:pos="8306"/>
      </w:tabs>
      <w:snapToGrid w:val="0"/>
      <w:jc w:val="left"/>
    </w:pPr>
    <w:rPr>
      <w:kern w:val="0"/>
      <w:sz w:val="18"/>
      <w:szCs w:val="20"/>
    </w:rPr>
  </w:style>
  <w:style w:type="paragraph" w:styleId="9">
    <w:name w:val="header"/>
    <w:basedOn w:val="1"/>
    <w:link w:val="24"/>
    <w:semiHidden/>
    <w:qFormat/>
    <w:uiPriority w:val="99"/>
    <w:pPr>
      <w:pBdr>
        <w:bottom w:val="single" w:color="auto" w:sz="6" w:space="1"/>
      </w:pBdr>
      <w:tabs>
        <w:tab w:val="center" w:pos="4153"/>
        <w:tab w:val="right" w:pos="8306"/>
      </w:tabs>
      <w:snapToGrid w:val="0"/>
      <w:jc w:val="center"/>
    </w:pPr>
    <w:rPr>
      <w:kern w:val="0"/>
      <w:sz w:val="18"/>
      <w:szCs w:val="20"/>
    </w:rPr>
  </w:style>
  <w:style w:type="paragraph" w:styleId="10">
    <w:name w:val="toc 1"/>
    <w:basedOn w:val="1"/>
    <w:next w:val="1"/>
    <w:qFormat/>
    <w:uiPriority w:val="99"/>
    <w:pPr>
      <w:tabs>
        <w:tab w:val="right" w:leader="dot" w:pos="8296"/>
      </w:tabs>
      <w:spacing w:before="93"/>
      <w:jc w:val="center"/>
    </w:pPr>
    <w:rPr>
      <w:rFonts w:ascii="仿宋" w:hAnsi="仿宋" w:eastAsia="仿宋"/>
      <w:sz w:val="28"/>
      <w:szCs w:val="28"/>
    </w:rPr>
  </w:style>
  <w:style w:type="paragraph" w:styleId="11">
    <w:name w:val="toc 2"/>
    <w:basedOn w:val="1"/>
    <w:next w:val="1"/>
    <w:qFormat/>
    <w:uiPriority w:val="99"/>
    <w:pPr>
      <w:tabs>
        <w:tab w:val="right" w:leader="dot" w:pos="8296"/>
      </w:tabs>
      <w:ind w:left="420" w:leftChars="200"/>
    </w:pPr>
  </w:style>
  <w:style w:type="character" w:styleId="13">
    <w:name w:val="Strong"/>
    <w:basedOn w:val="12"/>
    <w:qFormat/>
    <w:uiPriority w:val="99"/>
    <w:rPr>
      <w:rFonts w:cs="Times New Roman"/>
      <w:b/>
    </w:rPr>
  </w:style>
  <w:style w:type="character" w:styleId="14">
    <w:name w:val="page number"/>
    <w:basedOn w:val="12"/>
    <w:qFormat/>
    <w:uiPriority w:val="99"/>
    <w:rPr>
      <w:rFonts w:cs="Times New Roman"/>
    </w:rPr>
  </w:style>
  <w:style w:type="character" w:styleId="15">
    <w:name w:val="Hyperlink"/>
    <w:basedOn w:val="12"/>
    <w:qFormat/>
    <w:uiPriority w:val="99"/>
    <w:rPr>
      <w:rFonts w:cs="Times New Roman"/>
      <w:color w:val="0000FF"/>
      <w:u w:val="single"/>
    </w:rPr>
  </w:style>
  <w:style w:type="character" w:customStyle="1" w:styleId="17">
    <w:name w:val="Heading 1 Char"/>
    <w:basedOn w:val="12"/>
    <w:link w:val="2"/>
    <w:qFormat/>
    <w:locked/>
    <w:uiPriority w:val="99"/>
    <w:rPr>
      <w:rFonts w:ascii="Times New Roman" w:hAnsi="Times New Roman" w:cs="Times New Roman"/>
      <w:b/>
      <w:bCs/>
      <w:kern w:val="44"/>
      <w:sz w:val="44"/>
      <w:szCs w:val="44"/>
    </w:rPr>
  </w:style>
  <w:style w:type="character" w:customStyle="1" w:styleId="18">
    <w:name w:val="Heading 2 Char"/>
    <w:basedOn w:val="12"/>
    <w:link w:val="3"/>
    <w:qFormat/>
    <w:locked/>
    <w:uiPriority w:val="99"/>
    <w:rPr>
      <w:rFonts w:ascii="Cambria" w:hAnsi="Cambria" w:eastAsia="宋体" w:cs="Times New Roman"/>
      <w:b/>
      <w:bCs/>
      <w:kern w:val="2"/>
      <w:sz w:val="32"/>
      <w:szCs w:val="32"/>
    </w:rPr>
  </w:style>
  <w:style w:type="character" w:customStyle="1" w:styleId="19">
    <w:name w:val="Heading 3 Char"/>
    <w:basedOn w:val="12"/>
    <w:link w:val="4"/>
    <w:qFormat/>
    <w:locked/>
    <w:uiPriority w:val="99"/>
    <w:rPr>
      <w:rFonts w:ascii="Times New Roman" w:hAnsi="Times New Roman" w:cs="Times New Roman"/>
      <w:b/>
      <w:bCs/>
      <w:kern w:val="2"/>
      <w:sz w:val="32"/>
      <w:szCs w:val="32"/>
    </w:rPr>
  </w:style>
  <w:style w:type="character" w:customStyle="1" w:styleId="20">
    <w:name w:val="Body Text Char"/>
    <w:basedOn w:val="12"/>
    <w:link w:val="5"/>
    <w:semiHidden/>
    <w:qFormat/>
    <w:locked/>
    <w:uiPriority w:val="99"/>
    <w:rPr>
      <w:rFonts w:ascii="Times New Roman" w:hAnsi="Times New Roman" w:cs="Times New Roman"/>
      <w:sz w:val="24"/>
      <w:szCs w:val="24"/>
    </w:rPr>
  </w:style>
  <w:style w:type="character" w:customStyle="1" w:styleId="21">
    <w:name w:val="Balloon Text Char"/>
    <w:basedOn w:val="12"/>
    <w:link w:val="7"/>
    <w:semiHidden/>
    <w:qFormat/>
    <w:locked/>
    <w:uiPriority w:val="99"/>
    <w:rPr>
      <w:rFonts w:ascii="Times New Roman" w:hAnsi="Times New Roman" w:cs="Times New Roman"/>
      <w:kern w:val="2"/>
      <w:sz w:val="18"/>
      <w:szCs w:val="18"/>
    </w:rPr>
  </w:style>
  <w:style w:type="character" w:customStyle="1" w:styleId="22">
    <w:name w:val="Footer Char"/>
    <w:basedOn w:val="12"/>
    <w:link w:val="8"/>
    <w:semiHidden/>
    <w:qFormat/>
    <w:locked/>
    <w:uiPriority w:val="99"/>
    <w:rPr>
      <w:rFonts w:ascii="Times New Roman" w:hAnsi="Times New Roman" w:cs="Times New Roman"/>
      <w:sz w:val="18"/>
      <w:szCs w:val="18"/>
    </w:rPr>
  </w:style>
  <w:style w:type="character" w:customStyle="1" w:styleId="23">
    <w:name w:val="Header Char"/>
    <w:basedOn w:val="12"/>
    <w:link w:val="9"/>
    <w:semiHidden/>
    <w:qFormat/>
    <w:locked/>
    <w:uiPriority w:val="99"/>
    <w:rPr>
      <w:rFonts w:ascii="Times New Roman" w:hAnsi="Times New Roman" w:cs="Times New Roman"/>
      <w:sz w:val="18"/>
      <w:szCs w:val="18"/>
    </w:rPr>
  </w:style>
  <w:style w:type="character" w:customStyle="1" w:styleId="24">
    <w:name w:val="Header Char1"/>
    <w:link w:val="9"/>
    <w:semiHidden/>
    <w:qFormat/>
    <w:locked/>
    <w:uiPriority w:val="99"/>
    <w:rPr>
      <w:sz w:val="18"/>
    </w:rPr>
  </w:style>
  <w:style w:type="character" w:customStyle="1" w:styleId="25">
    <w:name w:val="Footer Char1"/>
    <w:link w:val="8"/>
    <w:qFormat/>
    <w:locked/>
    <w:uiPriority w:val="99"/>
    <w:rPr>
      <w:sz w:val="18"/>
    </w:rPr>
  </w:style>
  <w:style w:type="character" w:customStyle="1" w:styleId="26">
    <w:name w:val="Body Text Char1"/>
    <w:link w:val="5"/>
    <w:qFormat/>
    <w:locked/>
    <w:uiPriority w:val="99"/>
    <w:rPr>
      <w:rFonts w:ascii="??_GB2312" w:hAnsi="Times New Roman" w:eastAsia="Times New Roman"/>
      <w:sz w:val="24"/>
    </w:rPr>
  </w:style>
  <w:style w:type="paragraph" w:customStyle="1" w:styleId="27">
    <w:name w:val="Default"/>
    <w:qFormat/>
    <w:uiPriority w:val="99"/>
    <w:pPr>
      <w:widowControl w:val="0"/>
      <w:autoSpaceDE w:val="0"/>
      <w:autoSpaceDN w:val="0"/>
      <w:adjustRightInd w:val="0"/>
    </w:pPr>
    <w:rPr>
      <w:rFonts w:ascii="仿宋" w:hAnsi="Calibri" w:eastAsia="仿宋" w:cs="仿宋"/>
      <w:color w:val="000000"/>
      <w:kern w:val="0"/>
      <w:sz w:val="24"/>
      <w:szCs w:val="24"/>
      <w:lang w:val="en-US" w:eastAsia="zh-CN" w:bidi="ar-SA"/>
    </w:rPr>
  </w:style>
  <w:style w:type="paragraph" w:styleId="28">
    <w:name w:val="List Paragraph"/>
    <w:basedOn w:val="1"/>
    <w:qFormat/>
    <w:uiPriority w:val="99"/>
    <w:pPr>
      <w:ind w:firstLine="420" w:firstLineChars="200"/>
    </w:pPr>
  </w:style>
  <w:style w:type="paragraph" w:customStyle="1" w:styleId="29">
    <w:name w:val="TOC Heading1"/>
    <w:basedOn w:val="2"/>
    <w:next w:val="1"/>
    <w:qFormat/>
    <w:uiPriority w:val="99"/>
    <w:pPr>
      <w:widowControl/>
      <w:spacing w:before="480" w:after="0" w:line="276" w:lineRule="auto"/>
      <w:jc w:val="left"/>
      <w:outlineLvl w:val="9"/>
    </w:pPr>
    <w:rPr>
      <w:rFonts w:ascii="Cambria" w:hAnsi="Cambria"/>
      <w:color w:val="365F91"/>
      <w:kern w:val="0"/>
      <w:sz w:val="28"/>
      <w:szCs w:val="28"/>
    </w:rPr>
  </w:style>
  <w:style w:type="paragraph" w:customStyle="1" w:styleId="30">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四川省财政厅</Company>
  <Pages>24</Pages>
  <Words>1934</Words>
  <Characters>11028</Characters>
  <Lines>0</Lines>
  <Paragraphs>0</Paragraphs>
  <TotalTime>4</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2019-08-01T01:14:00Z</dcterms:created>
  <dc:creator>张彬茜</dc:creator>
  <cp:lastModifiedBy>财务科:徐泽涛</cp:lastModifiedBy>
  <cp:lastPrinted>2019-09-23T05:10:00Z</cp:lastPrinted>
  <dcterms:modified xsi:type="dcterms:W3CDTF">2019-09-27T02:34:44Z</dcterms:modified>
  <dc:title>四川省***</dc:title>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